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w:t>
      </w:r>
      <w:r>
        <w:rPr>
          <w:rFonts w:eastAsia="Calibri"/>
          <w:b/>
          <w:lang w:val="ru-RU"/>
        </w:rPr>
        <w:t xml:space="preserve"> _____________</w:t>
      </w:r>
    </w:p>
    <w:p>
      <w:pPr>
        <w:pStyle w:val="Normal"/>
        <w:jc w:val="center"/>
        <w:rPr>
          <w:b/>
          <w:lang w:val="ru-RU"/>
        </w:rPr>
      </w:pPr>
      <w:r>
        <w:rPr>
          <w:b/>
          <w:lang w:val="ru-RU"/>
        </w:rPr>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p>
    <w:p>
      <w:pPr>
        <w:pStyle w:val="Normal"/>
        <w:tabs>
          <w:tab w:val="clear" w:pos="708"/>
          <w:tab w:val="left" w:pos="7938" w:leader="none"/>
        </w:tabs>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с одной стороны, и </w:t>
      </w:r>
      <w:r>
        <w:rPr>
          <w:b/>
          <w:bCs/>
          <w:sz w:val="24"/>
          <w:szCs w:val="24"/>
          <w:lang w:val="ru-RU"/>
        </w:rPr>
        <w:t>________________________</w:t>
      </w:r>
      <w:r>
        <w:rPr>
          <w:bCs/>
          <w:sz w:val="24"/>
          <w:szCs w:val="24"/>
          <w:lang w:val="ru-RU"/>
        </w:rPr>
        <w:t xml:space="preserve">, именуемое в дальнейшем </w:t>
      </w:r>
      <w:r>
        <w:rPr>
          <w:b/>
          <w:sz w:val="24"/>
          <w:szCs w:val="24"/>
          <w:lang w:val="ru-RU"/>
        </w:rPr>
        <w:t>«Исполнитель»</w:t>
      </w:r>
      <w:r>
        <w:rPr>
          <w:bCs/>
          <w:sz w:val="24"/>
          <w:szCs w:val="24"/>
          <w:lang w:val="ru-RU"/>
        </w:rPr>
        <w:t xml:space="preserve">, в лице _____________________, действующего на основании 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sz w:val="24"/>
          <w:szCs w:val="24"/>
          <w:shd w:fill="auto" w:val="clear"/>
          <w:lang w:val="ru-RU"/>
        </w:rPr>
        <w:t>,</w:t>
      </w:r>
    </w:p>
    <w:p>
      <w:pPr>
        <w:pStyle w:val="BodyText3"/>
        <w:widowControl/>
        <w:suppressAutoHyphens w:val="true"/>
        <w:overflowPunct w:val="false"/>
        <w:bidi w:val="0"/>
        <w:spacing w:before="0" w:after="0"/>
        <w:ind w:left="0" w:right="0" w:hanging="0"/>
        <w:jc w:val="both"/>
        <w:rPr>
          <w:position w:val="0"/>
          <w:sz w:val="24"/>
          <w:sz w:val="24"/>
          <w:szCs w:val="24"/>
          <w:vertAlign w:val="baseline"/>
        </w:rPr>
      </w:pPr>
      <w:r>
        <w:rPr>
          <w:position w:val="0"/>
          <w:sz w:val="24"/>
          <w:sz w:val="24"/>
          <w:szCs w:val="24"/>
          <w:highlight w:val="lightGray"/>
          <w:shd w:fill="auto" w:val="clear"/>
          <w:vertAlign w:val="baseline"/>
          <w:lang w:val="ru-RU"/>
        </w:rPr>
        <w:t>по результатам проведенной Покупателем конкурентной процедуры по лоту № ____________ и на основании протокола о результатах __________ от «___» _________ г. №_______,1</w:t>
      </w:r>
    </w:p>
    <w:p>
      <w:pPr>
        <w:pStyle w:val="BodyText3"/>
        <w:spacing w:before="0" w:after="0"/>
        <w:ind w:firstLine="709"/>
        <w:jc w:val="both"/>
        <w:rPr>
          <w:bCs/>
          <w:sz w:val="24"/>
          <w:szCs w:val="24"/>
          <w:lang w:val="ru-RU"/>
        </w:rPr>
      </w:pPr>
      <w:r>
        <w:rPr>
          <w:sz w:val="24"/>
          <w:szCs w:val="24"/>
          <w:shd w:fill="auto" w:val="clear"/>
          <w:vertAlign w:val="superscript"/>
          <w:lang w:val="ru-RU"/>
        </w:rPr>
        <w:t xml:space="preserve"> </w:t>
      </w:r>
      <w:r>
        <w:rPr>
          <w:bCs/>
          <w:sz w:val="24"/>
          <w:szCs w:val="24"/>
          <w:shd w:fill="auto" w:val="clear"/>
          <w:lang w:val="ru-RU"/>
        </w:rPr>
        <w:t>з</w:t>
      </w:r>
      <w:r>
        <w:rPr>
          <w:bCs/>
          <w:sz w:val="24"/>
          <w:szCs w:val="24"/>
          <w:lang w:val="ru-RU"/>
        </w:rPr>
        <w:t>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highlight w:val="none"/>
          <w:shd w:fill="CCCCCC" w:val="clear"/>
        </w:rPr>
      </w:pPr>
      <w:r>
        <w:rPr>
          <w:b/>
          <w:shd w:fill="CCCCCC" w:val="clear"/>
          <w:lang w:val="ru-RU" w:eastAsia="en-US"/>
        </w:rPr>
        <w:t>«Субъект МСП»</w:t>
      </w:r>
      <w:r>
        <w:rPr>
          <w:shd w:fill="CCCCCC" w:val="clear"/>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2"/>
        </w:numPr>
        <w:shd w:val="clear" w:color="auto" w:fill="FFFFFF"/>
        <w:tabs>
          <w:tab w:val="clear" w:pos="708"/>
          <w:tab w:val="left" w:pos="284" w:leader="none"/>
          <w:tab w:val="left" w:pos="709" w:leader="none"/>
        </w:tabs>
        <w:ind w:left="0" w:hanging="0"/>
        <w:jc w:val="center"/>
        <w:rPr>
          <w:b/>
        </w:rPr>
      </w:pPr>
      <w:r>
        <w:rPr>
          <w:b/>
        </w:rPr>
        <w:t>Предмет Договора</w:t>
      </w:r>
    </w:p>
    <w:p>
      <w:pPr>
        <w:pStyle w:val="ListParagraph"/>
        <w:numPr>
          <w:ilvl w:val="1"/>
          <w:numId w:val="2"/>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аэрофотосъёмке с применением беспилотных авиационных систем (БАС) на объекте филиала ПАО «РусГидро» - «Новосибирская ГЭС»</w:t>
      </w:r>
      <w:r>
        <w:rPr>
          <w:rStyle w:val="Style18"/>
          <w:rFonts w:eastAsia="Calibri"/>
          <w:b/>
          <w:bCs/>
          <w:i w:val="false"/>
          <w:iCs w:val="false"/>
          <w:color w:val="000000"/>
          <w:spacing w:val="-2"/>
          <w:sz w:val="24"/>
          <w:szCs w:val="24"/>
          <w:shd w:fill="FFFFFF" w:val="clear"/>
          <w:lang w:eastAsia="x-none"/>
        </w:rPr>
        <w:t xml:space="preserve">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lang w:val="ru-RU"/>
        </w:rPr>
        <w:t>Услуги по Договору оказываются для нужд: АО «СК РусГидро».</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lang w:val="ru-RU"/>
        </w:rPr>
        <w:t xml:space="preserve">Место оказания Услуг: </w:t>
      </w:r>
      <w:r>
        <w:rPr>
          <w:rFonts w:cs="Times New Roman"/>
          <w:bCs/>
          <w:iCs/>
          <w:color w:val="000000"/>
          <w:spacing w:val="-2"/>
          <w:sz w:val="24"/>
          <w:szCs w:val="24"/>
          <w:shd w:fill="FFFFFF" w:val="clear"/>
          <w:lang w:val="ru-RU"/>
        </w:rPr>
        <w:t>Территория Новосибирской ГЭС, г. Новосибирск, ул. Новоморская, д. 4</w:t>
      </w:r>
    </w:p>
    <w:p>
      <w:pPr>
        <w:pStyle w:val="Normal"/>
        <w:widowControl w:val="false"/>
        <w:numPr>
          <w:ilvl w:val="1"/>
          <w:numId w:val="2"/>
        </w:numPr>
        <w:tabs>
          <w:tab w:val="clear" w:pos="708"/>
          <w:tab w:val="left" w:pos="1134" w:leader="none"/>
        </w:tabs>
        <w:ind w:left="709" w:hanging="0"/>
        <w:jc w:val="both"/>
        <w:rPr>
          <w:sz w:val="24"/>
          <w:szCs w:val="24"/>
        </w:rPr>
      </w:pPr>
      <w:r>
        <w:rPr>
          <w:bCs/>
          <w:sz w:val="24"/>
          <w:szCs w:val="24"/>
          <w:lang w:val="ru-RU"/>
        </w:rPr>
        <w:t>Начало оказания Услуг: с даты заключения Договора..</w:t>
      </w:r>
    </w:p>
    <w:p>
      <w:pPr>
        <w:pStyle w:val="Normal"/>
        <w:widowControl w:val="false"/>
        <w:numPr>
          <w:ilvl w:val="1"/>
          <w:numId w:val="2"/>
        </w:numPr>
        <w:tabs>
          <w:tab w:val="clear" w:pos="708"/>
          <w:tab w:val="left" w:pos="1134" w:leader="none"/>
        </w:tabs>
        <w:ind w:left="709" w:hanging="0"/>
        <w:jc w:val="both"/>
        <w:rPr>
          <w:sz w:val="24"/>
          <w:szCs w:val="24"/>
        </w:rPr>
      </w:pPr>
      <w:r>
        <w:rPr>
          <w:bCs/>
          <w:sz w:val="24"/>
          <w:szCs w:val="24"/>
          <w:lang w:val="ru-RU"/>
        </w:rPr>
        <w:t>Окончание оказания Услуг: в течение 12 (двенадцати) календарных дней с даты заключения Договора.</w:t>
      </w:r>
    </w:p>
    <w:p>
      <w:pPr>
        <w:pStyle w:val="Normal"/>
        <w:widowControl w:val="false"/>
        <w:numPr>
          <w:ilvl w:val="0"/>
          <w:numId w:val="0"/>
        </w:numPr>
        <w:tabs>
          <w:tab w:val="clear" w:pos="708"/>
          <w:tab w:val="left" w:pos="1134" w:leader="none"/>
        </w:tabs>
        <w:ind w:left="0" w:hanging="0"/>
        <w:jc w:val="both"/>
        <w:rPr>
          <w:sz w:val="24"/>
          <w:szCs w:val="24"/>
        </w:rPr>
      </w:pPr>
      <w:r>
        <w:rPr>
          <w:sz w:val="24"/>
          <w:szCs w:val="24"/>
        </w:rPr>
      </w:r>
    </w:p>
    <w:p>
      <w:pPr>
        <w:pStyle w:val="Normal"/>
        <w:widowControl w:val="false"/>
        <w:shd w:val="clear" w:color="auto" w:fill="FFFFFF"/>
        <w:tabs>
          <w:tab w:val="clear" w:pos="708"/>
          <w:tab w:val="left" w:pos="1134" w:leader="none"/>
        </w:tabs>
        <w:jc w:val="both"/>
        <w:rPr>
          <w:bCs/>
          <w:sz w:val="24"/>
          <w:szCs w:val="24"/>
          <w:lang w:val="ru-RU"/>
        </w:rPr>
      </w:pPr>
      <w:r>
        <w:rPr>
          <w:bCs/>
          <w:sz w:val="24"/>
          <w:szCs w:val="24"/>
          <w:lang w:val="ru-RU"/>
        </w:rPr>
      </w:r>
    </w:p>
    <w:p>
      <w:pPr>
        <w:pStyle w:val="ListParagraph"/>
        <w:numPr>
          <w:ilvl w:val="0"/>
          <w:numId w:val="2"/>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2"/>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2"/>
        </w:numPr>
        <w:ind w:left="0" w:firstLine="709"/>
        <w:jc w:val="both"/>
        <w:rPr>
          <w:lang w:val="ru-RU"/>
        </w:rPr>
      </w:pPr>
      <w:r>
        <w:rPr>
          <w:lang w:val="ru-RU"/>
        </w:rPr>
        <w:t>Обеспечить доступ к объектам обслуживания.</w:t>
      </w:r>
    </w:p>
    <w:p>
      <w:pPr>
        <w:pStyle w:val="Normal"/>
        <w:numPr>
          <w:ilvl w:val="2"/>
          <w:numId w:val="2"/>
        </w:numPr>
        <w:ind w:left="0" w:firstLine="709"/>
        <w:jc w:val="both"/>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2"/>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4"/>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4"/>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4"/>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4"/>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4"/>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4"/>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 и поданной Заявкой сроки.</w:t>
      </w:r>
    </w:p>
    <w:p>
      <w:pPr>
        <w:pStyle w:val="ListParagraph"/>
        <w:numPr>
          <w:ilvl w:val="2"/>
          <w:numId w:val="4"/>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5"/>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5"/>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4"/>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4"/>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4"/>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4"/>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4"/>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4"/>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4"/>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4"/>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4"/>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4"/>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4"/>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4"/>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6"/>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6"/>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6"/>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6"/>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4"/>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4"/>
        </w:numPr>
        <w:tabs>
          <w:tab w:val="clear" w:pos="708"/>
          <w:tab w:val="left" w:pos="1134" w:leader="none"/>
          <w:tab w:val="left" w:pos="1418" w:leader="none"/>
        </w:tabs>
        <w:ind w:left="0" w:firstLine="709"/>
        <w:jc w:val="both"/>
        <w:rPr/>
      </w:pPr>
      <w:r>
        <w:rPr/>
        <w:t xml:space="preserve">Соблюдать при оказании Услуг правила и требования, установленные нормативными документами, входящими в состав закупочной документации.   </w:t>
      </w:r>
    </w:p>
    <w:p>
      <w:pPr>
        <w:pStyle w:val="ListParagraph"/>
        <w:numPr>
          <w:ilvl w:val="2"/>
          <w:numId w:val="4"/>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4"/>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4"/>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4"/>
        </w:numPr>
        <w:shd w:val="clear" w:color="auto" w:fill="FFFFFF"/>
        <w:tabs>
          <w:tab w:val="clear" w:pos="708"/>
          <w:tab w:val="left" w:pos="1418" w:leader="none"/>
        </w:tabs>
        <w:ind w:left="0" w:firstLine="709"/>
        <w:jc w:val="both"/>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4"/>
        </w:numPr>
        <w:shd w:val="clear" w:color="auto" w:fill="FFFFFF"/>
        <w:tabs>
          <w:tab w:val="clear" w:pos="708"/>
          <w:tab w:val="left" w:pos="1418" w:leader="none"/>
        </w:tabs>
        <w:ind w:left="0" w:firstLine="709"/>
        <w:jc w:val="both"/>
        <w:rPr/>
      </w:pPr>
      <w:r>
        <w:rPr>
          <w:bCs/>
        </w:rPr>
        <w:t>Получать от Заказчика разъяснения и/или указания, необходимые для исполнения обязательств по Договору.</w:t>
      </w:r>
      <w:r>
        <w:rPr>
          <w:bCs/>
          <w:shd w:fill="C0C0C0" w:val="clear"/>
        </w:rPr>
        <w:t xml:space="preserve"> </w:t>
      </w:r>
    </w:p>
    <w:p>
      <w:pPr>
        <w:pStyle w:val="ListParagraph"/>
        <w:shd w:val="clear" w:color="auto" w:fill="FFFFFF"/>
        <w:tabs>
          <w:tab w:val="clear" w:pos="708"/>
          <w:tab w:val="left" w:pos="709" w:leader="none"/>
          <w:tab w:val="left" w:pos="1134" w:leader="none"/>
        </w:tabs>
        <w:ind w:left="0" w:firstLine="709"/>
        <w:jc w:val="both"/>
        <w:rPr>
          <w:bCs/>
          <w:shd w:fill="C0C0C0" w:val="clear"/>
        </w:rPr>
      </w:pPr>
      <w:r>
        <w:rPr>
          <w:bCs/>
          <w:shd w:fill="C0C0C0" w:val="clear"/>
        </w:rPr>
      </w:r>
    </w:p>
    <w:p>
      <w:pPr>
        <w:pStyle w:val="ListParagraph"/>
        <w:numPr>
          <w:ilvl w:val="0"/>
          <w:numId w:val="2"/>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2"/>
        </w:numPr>
        <w:shd w:val="clear" w:color="auto" w:fill="FFFFFF"/>
        <w:tabs>
          <w:tab w:val="clear" w:pos="708"/>
          <w:tab w:val="left" w:pos="284" w:leader="none"/>
          <w:tab w:val="left" w:pos="1134" w:leader="none"/>
        </w:tabs>
        <w:ind w:left="0" w:firstLine="709"/>
        <w:jc w:val="both"/>
        <w:rPr>
          <w:b/>
        </w:rPr>
      </w:pPr>
      <w:r>
        <w:rPr/>
        <w:t xml:space="preserve">Цена Договора в соответствии с Расчетом стоимости Услуг (Приложение № 3 к Договору) </w:t>
      </w:r>
      <w:r>
        <w:rPr>
          <w:bCs/>
        </w:rPr>
        <w:t xml:space="preserve">является предельной </w:t>
      </w:r>
      <w:r>
        <w:rPr/>
        <w:t>и составляет _______________рублей ___ копеек</w:t>
      </w:r>
      <w:r>
        <w:rPr>
          <w:b/>
          <w:color w:val="000000"/>
          <w:spacing w:val="-2"/>
        </w:rPr>
        <w:t>,</w:t>
      </w:r>
      <w:r>
        <w:rPr>
          <w:color w:val="000000"/>
          <w:spacing w:val="-2"/>
        </w:rPr>
        <w:t xml:space="preserve"> </w:t>
      </w:r>
      <w:bookmarkStart w:id="6" w:name="_Hlk104974277"/>
      <w:r>
        <w:rPr>
          <w:i/>
          <w:iCs/>
          <w:color w:val="000000"/>
          <w:spacing w:val="-2"/>
          <w:highlight w:val="lightGray"/>
          <w:shd w:fill="auto" w:val="clear"/>
        </w:rPr>
        <w:t>в соответствии с _____________________(указываются основания освобождения от НДС) НДС не предусмотрен / при этом НДС исчисляется дополнительно по ставке, установленной статьей 164 Налогового кодекса РФ</w:t>
      </w:r>
      <w:bookmarkEnd w:id="6"/>
      <w:r>
        <w:rPr>
          <w:i/>
          <w:iCs/>
          <w:color w:val="000000"/>
          <w:spacing w:val="-2"/>
          <w:highlight w:val="lightGray"/>
          <w:shd w:fill="auto" w:val="clear"/>
        </w:rPr>
        <w:t>.</w:t>
      </w:r>
    </w:p>
    <w:p>
      <w:pPr>
        <w:pStyle w:val="ListParagraph"/>
        <w:numPr>
          <w:ilvl w:val="1"/>
          <w:numId w:val="2"/>
        </w:numPr>
        <w:shd w:val="clear" w:color="auto" w:fill="FFFFFF"/>
        <w:tabs>
          <w:tab w:val="clear" w:pos="708"/>
          <w:tab w:val="left" w:pos="284" w:leader="none"/>
          <w:tab w:val="left" w:pos="1134" w:leader="none"/>
        </w:tabs>
        <w:ind w:left="0" w:firstLine="709"/>
        <w:jc w:val="both"/>
        <w:rPr/>
      </w:pPr>
      <w:r>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numPr>
          <w:ilvl w:val="1"/>
          <w:numId w:val="2"/>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7"/>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7"/>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7"/>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7"/>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требует заключения дополнительного соглашения к Договору.</w:t>
      </w:r>
    </w:p>
    <w:p>
      <w:pPr>
        <w:pStyle w:val="ListParagraph"/>
        <w:numPr>
          <w:ilvl w:val="1"/>
          <w:numId w:val="2"/>
        </w:numPr>
        <w:shd w:val="clear" w:color="auto" w:fill="FFFFFF"/>
        <w:tabs>
          <w:tab w:val="clear" w:pos="708"/>
          <w:tab w:val="left" w:pos="709" w:leader="none"/>
          <w:tab w:val="left" w:pos="851" w:leader="none"/>
          <w:tab w:val="left" w:pos="1134" w:leader="none"/>
        </w:tabs>
        <w:ind w:left="0" w:firstLine="709"/>
        <w:jc w:val="both"/>
        <w:rPr/>
      </w:pPr>
      <w:bookmarkStart w:id="7" w:name="_Ref361858588"/>
      <w:r>
        <w:rPr/>
        <w:t>Оплата по Договору осуществляется в течение</w:t>
      </w:r>
      <w:r>
        <w:rPr>
          <w:shd w:fill="auto" w:val="clear"/>
        </w:rPr>
        <w:t xml:space="preserve"> </w:t>
      </w:r>
      <w:bookmarkEnd w:id="7"/>
      <w:r>
        <w:rPr>
          <w:highlight w:val="lightGray"/>
          <w:shd w:fill="auto" w:val="clear"/>
        </w:rPr>
        <w:t xml:space="preserve">7 (семи) рабочих дней </w:t>
      </w:r>
      <w:r>
        <w:rPr>
          <w:i/>
          <w:iCs/>
          <w:highlight w:val="lightGray"/>
          <w:shd w:fill="auto" w:val="clear"/>
        </w:rPr>
        <w:t>(для МСП)</w:t>
      </w:r>
      <w:r>
        <w:rPr>
          <w:highlight w:val="lightGray"/>
          <w:shd w:fill="auto" w:val="clear"/>
        </w:rPr>
        <w:t xml:space="preserve"> / 20 (двадцати) календарных дней </w:t>
      </w:r>
      <w:r>
        <w:rPr>
          <w:i/>
          <w:iCs/>
          <w:highlight w:val="lightGray"/>
          <w:shd w:fill="auto" w:val="clear"/>
        </w:rPr>
        <w:t>(для не МСП)</w:t>
      </w:r>
      <w:r>
        <w:rPr>
          <w:color w:val="000000"/>
          <w:shd w:fill="auto" w:val="clear"/>
        </w:rPr>
        <w:t xml:space="preserve"> </w:t>
      </w:r>
      <w:r>
        <w:rPr>
          <w:shd w:fill="auto" w:val="clear"/>
        </w:rPr>
        <w:t>с</w:t>
      </w:r>
      <w:r>
        <w:rPr/>
        <w:t xml:space="preserve"> даты подписания Сторонами документов, указанных в пункте 4.2 Договора, на основании счета, выставленного Исполнителем, и с учетом пункта 3.6. Договора.</w:t>
      </w:r>
    </w:p>
    <w:p>
      <w:pPr>
        <w:pStyle w:val="ListParagraph"/>
        <w:numPr>
          <w:ilvl w:val="1"/>
          <w:numId w:val="2"/>
        </w:numPr>
        <w:shd w:val="clear" w:color="auto" w:fill="FFFFFF"/>
        <w:tabs>
          <w:tab w:val="clear" w:pos="708"/>
          <w:tab w:val="left" w:pos="709" w:leader="none"/>
          <w:tab w:val="left" w:pos="851" w:leader="none"/>
          <w:tab w:val="left" w:pos="1134" w:leader="none"/>
        </w:tabs>
        <w:ind w:left="0" w:firstLine="709"/>
        <w:jc w:val="both"/>
        <w:rPr/>
      </w:pPr>
      <w:bookmarkStart w:id="8" w:name="_Ref372549497"/>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8"/>
      <w:r>
        <w:rPr/>
        <w:t xml:space="preserve"> </w:t>
      </w:r>
    </w:p>
    <w:p>
      <w:pPr>
        <w:pStyle w:val="ListParagraph"/>
        <w:numPr>
          <w:ilvl w:val="1"/>
          <w:numId w:val="2"/>
        </w:numPr>
        <w:shd w:val="clear" w:color="auto" w:fill="FFFFFF"/>
        <w:tabs>
          <w:tab w:val="clear" w:pos="708"/>
          <w:tab w:val="left" w:pos="709" w:leader="none"/>
          <w:tab w:val="left" w:pos="851" w:leader="none"/>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color="auto" w:fill="FFFFFF"/>
        <w:tabs>
          <w:tab w:val="clear" w:pos="708"/>
          <w:tab w:val="left" w:pos="709" w:leader="none"/>
          <w:tab w:val="left" w:pos="851" w:leader="none"/>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
        </w:numPr>
        <w:shd w:val="clear" w:color="auto" w:fill="FFFFFF"/>
        <w:tabs>
          <w:tab w:val="clear" w:pos="708"/>
          <w:tab w:val="left" w:pos="1134" w:leader="none"/>
        </w:tabs>
        <w:ind w:left="0" w:firstLine="709"/>
        <w:jc w:val="both"/>
        <w:rPr/>
      </w:pPr>
      <w:r>
        <w:rPr>
          <w:i w:val="false"/>
          <w:iCs w:val="false"/>
          <w:highlight w:val="lightGray"/>
          <w:shd w:fill="auto" w:val="clea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i w:val="false"/>
          <w:iCs w:val="false"/>
          <w:color w:val="000000"/>
          <w:highlight w:val="lightGray"/>
          <w:shd w:fill="auto" w:val="clear"/>
        </w:rPr>
        <w:t>случае</w:t>
      </w:r>
      <w:r>
        <w:rPr>
          <w:i w:val="false"/>
          <w:iCs w:val="false"/>
          <w:highlight w:val="lightGray"/>
          <w:shd w:fill="auto" w:val="clea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r>
        <w:rPr>
          <w:i/>
          <w:iCs/>
          <w:highlight w:val="lightGray"/>
          <w:shd w:fill="auto" w:val="clear"/>
        </w:rPr>
        <w:t xml:space="preserve"> (если предусмотрен НДС).</w:t>
      </w:r>
    </w:p>
    <w:p>
      <w:pPr>
        <w:pStyle w:val="ListParagraph"/>
        <w:numPr>
          <w:ilvl w:val="1"/>
          <w:numId w:val="2"/>
        </w:numPr>
        <w:shd w:val="clear" w:color="auto" w:fill="FFFFFF"/>
        <w:tabs>
          <w:tab w:val="clear" w:pos="708"/>
          <w:tab w:val="left" w:pos="709" w:leader="none"/>
          <w:tab w:val="left" w:pos="851" w:leader="none"/>
          <w:tab w:val="left" w:pos="1134"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2"/>
        </w:numPr>
        <w:shd w:val="clear" w:color="auto" w:fill="FFFFFF"/>
        <w:tabs>
          <w:tab w:val="clear" w:pos="708"/>
          <w:tab w:val="left" w:pos="284" w:leader="none"/>
        </w:tabs>
        <w:spacing w:before="120" w:after="120"/>
        <w:ind w:left="0" w:hanging="0"/>
        <w:contextualSpacing/>
        <w:jc w:val="center"/>
        <w:rPr/>
      </w:pPr>
      <w:r>
        <w:rPr>
          <w:b/>
        </w:rPr>
        <w:t>Порядок оказания и сдачи-приемки Услуг</w:t>
      </w:r>
    </w:p>
    <w:p>
      <w:pPr>
        <w:pStyle w:val="ListParagraph"/>
        <w:numPr>
          <w:ilvl w:val="1"/>
          <w:numId w:val="2"/>
        </w:numPr>
        <w:shd w:val="clear" w:color="auto" w:fill="FFFFFF"/>
        <w:tabs>
          <w:tab w:val="clear" w:pos="708"/>
          <w:tab w:val="left" w:pos="284" w:leader="none"/>
          <w:tab w:val="left" w:pos="1134" w:leader="none"/>
        </w:tabs>
        <w:ind w:left="0" w:firstLine="709"/>
        <w:jc w:val="both"/>
        <w:rPr/>
      </w:pPr>
      <w:r>
        <w:rPr/>
        <w:t>Услуги по Договору оказываются в следующем порядке:</w:t>
      </w:r>
    </w:p>
    <w:p>
      <w:pPr>
        <w:pStyle w:val="ListParagraph"/>
        <w:numPr>
          <w:ilvl w:val="2"/>
          <w:numId w:val="2"/>
        </w:numPr>
        <w:shd w:val="clear" w:color="auto" w:fill="FFFFFF"/>
        <w:tabs>
          <w:tab w:val="clear" w:pos="708"/>
          <w:tab w:val="left" w:pos="284" w:leader="none"/>
          <w:tab w:val="left" w:pos="1134" w:leader="none"/>
        </w:tabs>
        <w:ind w:left="0" w:firstLine="709"/>
        <w:jc w:val="both"/>
        <w:rPr/>
      </w:pPr>
      <w:r>
        <w:rPr/>
        <w:t>Заказчик в лице своего представителя заблаговременно до начала оказания Услуг с использованием телефонных средств связи, посредством электронной почты или иным способом, обеспечивающим фиксацию факта получения Заявки, передает Заявку Исполнителю, в которой сообщает</w:t>
      </w:r>
      <w:r>
        <w:rPr>
          <w:i/>
          <w:iCs/>
        </w:rPr>
        <w:t xml:space="preserve"> </w:t>
      </w:r>
      <w:r>
        <w:rPr/>
        <w:t>все необходимые данные для исполнения Заявки.</w:t>
      </w:r>
    </w:p>
    <w:p>
      <w:pPr>
        <w:pStyle w:val="ListParagraph"/>
        <w:numPr>
          <w:ilvl w:val="2"/>
          <w:numId w:val="2"/>
        </w:numPr>
        <w:shd w:val="clear" w:color="auto" w:fill="FFFFFF"/>
        <w:tabs>
          <w:tab w:val="clear" w:pos="708"/>
          <w:tab w:val="left" w:pos="284" w:leader="none"/>
          <w:tab w:val="left" w:pos="1134" w:leader="none"/>
        </w:tabs>
        <w:ind w:left="0" w:firstLine="709"/>
        <w:jc w:val="both"/>
        <w:rPr/>
      </w:pPr>
      <w:r>
        <w:rPr/>
        <w:t>Исполнитель дает свое согласие и с использованием телефонных средств связи, посредством электронной почты или иным способом, обеспечивающим фиксацию факта подтверждения Заявки, подтверждает Заявку, переданную Заказчиком.</w:t>
      </w:r>
    </w:p>
    <w:p>
      <w:pPr>
        <w:pStyle w:val="ListParagraph"/>
        <w:numPr>
          <w:ilvl w:val="2"/>
          <w:numId w:val="2"/>
        </w:numPr>
        <w:shd w:val="clear" w:color="auto" w:fill="FFFFFF"/>
        <w:tabs>
          <w:tab w:val="clear" w:pos="708"/>
          <w:tab w:val="left" w:pos="284" w:leader="none"/>
          <w:tab w:val="left" w:pos="1134" w:leader="none"/>
        </w:tabs>
        <w:ind w:left="0" w:firstLine="709"/>
        <w:jc w:val="both"/>
        <w:rPr/>
      </w:pPr>
      <w:r>
        <w:rPr/>
        <w:t>В случае отказа Исполнителя оказать (полностью или в части) услуги, указанные в полученной от Заказчика Заявке, Заказчик вправе по своему усмотрению:</w:t>
      </w:r>
    </w:p>
    <w:p>
      <w:pPr>
        <w:pStyle w:val="ListParagraph"/>
        <w:numPr>
          <w:ilvl w:val="0"/>
          <w:numId w:val="8"/>
        </w:numPr>
        <w:tabs>
          <w:tab w:val="clear" w:pos="708"/>
          <w:tab w:val="left" w:pos="1134" w:leader="none"/>
        </w:tabs>
        <w:ind w:left="0" w:firstLine="709"/>
        <w:jc w:val="both"/>
        <w:rPr/>
      </w:pPr>
      <w:bookmarkStart w:id="9" w:name="_Hlk92979630"/>
      <w:r>
        <w:rPr/>
        <w:t>заявить Отказ от Договора и потребовать возмещения убытков, и/или;</w:t>
      </w:r>
      <w:bookmarkEnd w:id="9"/>
    </w:p>
    <w:p>
      <w:pPr>
        <w:pStyle w:val="ListParagraph"/>
        <w:numPr>
          <w:ilvl w:val="0"/>
          <w:numId w:val="8"/>
        </w:numPr>
        <w:tabs>
          <w:tab w:val="clear" w:pos="708"/>
          <w:tab w:val="left" w:pos="1134" w:leader="none"/>
        </w:tabs>
        <w:ind w:left="0" w:firstLine="709"/>
        <w:jc w:val="both"/>
        <w:rPr/>
      </w:pPr>
      <w:r>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numPr>
          <w:ilvl w:val="1"/>
          <w:numId w:val="2"/>
        </w:numPr>
        <w:shd w:val="clear" w:color="auto" w:fill="FFFFFF"/>
        <w:tabs>
          <w:tab w:val="clear" w:pos="708"/>
          <w:tab w:val="left" w:pos="284" w:leader="none"/>
          <w:tab w:val="left" w:pos="1134" w:leader="none"/>
        </w:tabs>
        <w:ind w:left="0" w:firstLine="709"/>
        <w:jc w:val="both"/>
        <w:rPr/>
      </w:pPr>
      <w:r>
        <w:rPr/>
        <w:t xml:space="preserve">По окончании оказания Услуг Исполнитель в течение 2 (двух) рабочих дней предоставляет Заказчику подписанные со своей стороны в 2 (двух) экземплярах УПД </w:t>
      </w:r>
      <w:bookmarkStart w:id="10" w:name="_Hlk147303752"/>
      <w:r>
        <w:rPr/>
        <w:t>с приложением Отчета об оказании Услуг и иных отчетных документов, предусмотренных Техническими требованиями (Приложение № 1 к Договору)</w:t>
      </w:r>
      <w:bookmarkEnd w:id="10"/>
      <w:r>
        <w:rPr/>
        <w:t>.</w:t>
      </w:r>
    </w:p>
    <w:p>
      <w:pPr>
        <w:pStyle w:val="ListParagraph"/>
        <w:numPr>
          <w:ilvl w:val="1"/>
          <w:numId w:val="2"/>
        </w:numPr>
        <w:shd w:val="clear" w:color="auto" w:fill="FFFFFF"/>
        <w:tabs>
          <w:tab w:val="clear" w:pos="708"/>
          <w:tab w:val="left" w:pos="284" w:leader="none"/>
          <w:tab w:val="left" w:pos="1134" w:leader="none"/>
        </w:tabs>
        <w:ind w:left="0" w:firstLine="709"/>
        <w:jc w:val="both"/>
        <w:rPr/>
      </w:pPr>
      <w:r>
        <w:rPr/>
        <w:t>В течение 15 (пятнадцати) рабочих дней с даты получения полного комплекта документов, указанных в пункте 4.2 Договора, Заказчик подписывает (утверждает) и передает Исполнителю 1 (один) экземпляр УПД с приложением Отчета об оказании Услуг и иных отчетных документов, предусмотренных Техническими требованиями (Приложение № 1 к Договору),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p>
    <w:p>
      <w:pPr>
        <w:pStyle w:val="ListParagraph"/>
        <w:numPr>
          <w:ilvl w:val="1"/>
          <w:numId w:val="2"/>
        </w:numPr>
        <w:shd w:val="clear" w:color="auto" w:fill="FFFFFF"/>
        <w:tabs>
          <w:tab w:val="clear" w:pos="708"/>
          <w:tab w:val="left" w:pos="284" w:leader="none"/>
          <w:tab w:val="left" w:pos="1134" w:leader="none"/>
        </w:tabs>
        <w:ind w:left="0" w:firstLine="709"/>
        <w:jc w:val="both"/>
        <w:rPr/>
      </w:pPr>
      <w:bookmarkStart w:id="11"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2" w:name="_Ref361337525"/>
      <w:bookmarkEnd w:id="11"/>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4.2 - 4.3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УПД.</w:t>
      </w:r>
    </w:p>
    <w:p>
      <w:pPr>
        <w:pStyle w:val="ListParagraph"/>
        <w:numPr>
          <w:ilvl w:val="1"/>
          <w:numId w:val="2"/>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2"/>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2"/>
        </w:numPr>
        <w:shd w:val="clear" w:color="auto" w:fill="FFFFFF"/>
        <w:ind w:left="0" w:hanging="0"/>
        <w:jc w:val="center"/>
        <w:rPr>
          <w:b/>
          <w:bCs/>
        </w:rPr>
      </w:pPr>
      <w:r>
        <w:rPr>
          <w:b/>
          <w:bCs/>
        </w:rPr>
        <w:t>Ответственность Сторон</w:t>
      </w:r>
    </w:p>
    <w:p>
      <w:pPr>
        <w:pStyle w:val="ListParagraph"/>
        <w:numPr>
          <w:ilvl w:val="1"/>
          <w:numId w:val="2"/>
        </w:numPr>
        <w:tabs>
          <w:tab w:val="clear" w:pos="708"/>
          <w:tab w:val="left" w:pos="1276" w:leader="none"/>
        </w:tabs>
        <w:ind w:left="0" w:firstLine="709"/>
        <w:jc w:val="both"/>
        <w:rPr/>
      </w:pPr>
      <w:r>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2"/>
        </w:numPr>
        <w:tabs>
          <w:tab w:val="clear" w:pos="708"/>
          <w:tab w:val="left" w:pos="709" w:leader="none"/>
          <w:tab w:val="left" w:pos="1134" w:leader="none"/>
        </w:tabs>
        <w:ind w:left="0" w:firstLine="709"/>
        <w:jc w:val="both"/>
        <w:rPr>
          <w:lang w:val="ru-RU"/>
        </w:rPr>
      </w:pPr>
      <w:r>
        <w:rPr>
          <w:bCs/>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numPr>
          <w:ilvl w:val="1"/>
          <w:numId w:val="2"/>
        </w:numPr>
        <w:tabs>
          <w:tab w:val="clear" w:pos="708"/>
          <w:tab w:val="left" w:pos="709" w:leader="none"/>
          <w:tab w:val="left" w:pos="1134" w:leader="none"/>
        </w:tabs>
        <w:ind w:left="0" w:firstLine="709"/>
        <w:jc w:val="both"/>
        <w:rPr>
          <w:lang w:val="ru-RU"/>
        </w:rPr>
      </w:pPr>
      <w:r>
        <w:rPr>
          <w:lang w:val="ru-RU"/>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lang w:val="ru-RU"/>
        </w:rPr>
        <w:t>трафной неустойки в размере 0,1 (ноль целых и одна десятая) процента от Цены Договора за каждый день просрочки.</w:t>
      </w:r>
    </w:p>
    <w:p>
      <w:pPr>
        <w:pStyle w:val="Normal"/>
        <w:numPr>
          <w:ilvl w:val="1"/>
          <w:numId w:val="2"/>
        </w:numPr>
        <w:tabs>
          <w:tab w:val="clear" w:pos="708"/>
          <w:tab w:val="left" w:pos="709" w:leader="none"/>
          <w:tab w:val="left" w:pos="1134" w:leader="none"/>
        </w:tabs>
        <w:ind w:left="0" w:firstLine="709"/>
        <w:jc w:val="both"/>
        <w:rPr>
          <w:lang w:val="ru-RU"/>
        </w:rPr>
      </w:pPr>
      <w:r>
        <w:rPr>
          <w:bCs/>
          <w:lang w:val="ru-RU"/>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w:t>
      </w:r>
      <w:r>
        <w:rPr>
          <w:bCs/>
          <w:shd w:fill="auto" w:val="clear"/>
          <w:lang w:val="ru-RU"/>
        </w:rPr>
        <w:t xml:space="preserve">уплаты Исполнителем штрафа в размерах, установленных Приложением № 2 к Договору. </w:t>
      </w:r>
    </w:p>
    <w:p>
      <w:pPr>
        <w:pStyle w:val="ListParagraph"/>
        <w:numPr>
          <w:ilvl w:val="1"/>
          <w:numId w:val="2"/>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highlight w:val="lightGray"/>
        </w:rPr>
      </w:pPr>
      <w:r>
        <w:rPr>
          <w:bCs/>
          <w:highlight w:val="lightGray"/>
          <w:shd w:fill="auto" w:val="clear"/>
          <w:lang w:val="ru-RU"/>
        </w:rPr>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3.9 Договора, Заказчик вправе требовать уплаты Исполнителем штрафа в размере 50 000 (Пятидесяти тысяч) рублей за каждый случай нарушения </w:t>
      </w:r>
      <w:r>
        <w:rPr>
          <w:bCs/>
          <w:i/>
          <w:iCs/>
          <w:highlight w:val="lightGray"/>
          <w:shd w:fill="auto" w:val="clear"/>
          <w:lang w:val="ru-RU"/>
        </w:rPr>
        <w:t>(цена договора свыше 500 000 рублей)</w:t>
      </w:r>
      <w:r>
        <w:rPr>
          <w:bCs/>
          <w:highlight w:val="lightGray"/>
          <w:shd w:fill="auto" w:val="clear"/>
          <w:lang w:val="ru-RU"/>
        </w:rPr>
        <w:t xml:space="preserve">. </w:t>
      </w:r>
      <w:r>
        <w:rPr>
          <w:bCs/>
          <w:i/>
          <w:iCs/>
          <w:highlight w:val="lightGray"/>
          <w:shd w:fill="auto" w:val="clear"/>
          <w:lang w:val="ru-RU"/>
        </w:rPr>
        <w:t>(если предусмотрен НДС)</w:t>
      </w:r>
    </w:p>
    <w:p>
      <w:pPr>
        <w:pStyle w:val="Normal"/>
        <w:numPr>
          <w:ilvl w:val="1"/>
          <w:numId w:val="2"/>
        </w:numPr>
        <w:tabs>
          <w:tab w:val="clear" w:pos="708"/>
          <w:tab w:val="left" w:pos="709" w:leader="none"/>
          <w:tab w:val="left" w:pos="1134" w:leader="none"/>
        </w:tabs>
        <w:ind w:left="0" w:firstLine="709"/>
        <w:jc w:val="both"/>
        <w:rPr>
          <w:lang w:val="ru-RU"/>
        </w:rPr>
      </w:pPr>
      <w:r>
        <w:rPr>
          <w:bCs/>
          <w:lang w:val="ru-RU"/>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Normal"/>
        <w:numPr>
          <w:ilvl w:val="1"/>
          <w:numId w:val="2"/>
        </w:numPr>
        <w:tabs>
          <w:tab w:val="clear" w:pos="708"/>
          <w:tab w:val="left" w:pos="709" w:leader="none"/>
          <w:tab w:val="left" w:pos="1134" w:leader="none"/>
        </w:tabs>
        <w:ind w:left="0" w:firstLine="709"/>
        <w:jc w:val="both"/>
        <w:rPr>
          <w:lang w:val="ru-RU"/>
        </w:rPr>
      </w:pPr>
      <w:r>
        <w:rPr>
          <w:rFonts w:eastAsia="Calibri"/>
          <w:bCs/>
          <w:lang w:val="ru-RU"/>
        </w:rPr>
        <w:t xml:space="preserve">Предусмотренная Договором неустойка за неисполнение (ненадлежащее исполнение) Исполнителем обязательств является штрафной. </w:t>
      </w:r>
      <w:r>
        <w:rPr>
          <w:rFonts w:eastAsia="Calibri"/>
          <w:bCs/>
        </w:rPr>
        <w:t>Убытки подлежат возмещению в полной сумме сверх неустойки.</w:t>
      </w:r>
    </w:p>
    <w:p>
      <w:pPr>
        <w:pStyle w:val="Normal"/>
        <w:numPr>
          <w:ilvl w:val="1"/>
          <w:numId w:val="2"/>
        </w:numPr>
        <w:tabs>
          <w:tab w:val="clear" w:pos="708"/>
          <w:tab w:val="left" w:pos="709" w:leader="none"/>
          <w:tab w:val="left" w:pos="1134" w:leader="none"/>
        </w:tabs>
        <w:ind w:left="0" w:firstLine="709"/>
        <w:jc w:val="both"/>
        <w:rPr>
          <w:lang w:val="ru-RU"/>
        </w:rPr>
      </w:pPr>
      <w:r>
        <w:rPr>
          <w:lang w:val="ru-RU"/>
        </w:rPr>
        <w:t>Ответственность Заказчика за причиненные Исполнителю убытки ограничивается реальным ущербом, но не более Цены Договора.</w:t>
      </w:r>
    </w:p>
    <w:p>
      <w:pPr>
        <w:pStyle w:val="Normal"/>
        <w:numPr>
          <w:ilvl w:val="1"/>
          <w:numId w:val="2"/>
        </w:numPr>
        <w:tabs>
          <w:tab w:val="clear" w:pos="708"/>
          <w:tab w:val="left" w:pos="709" w:leader="none"/>
          <w:tab w:val="left" w:pos="1134" w:leader="none"/>
        </w:tabs>
        <w:ind w:left="0" w:firstLine="709"/>
        <w:jc w:val="both"/>
        <w:rPr>
          <w:lang w:val="ru-RU"/>
        </w:rPr>
      </w:pPr>
      <w:r>
        <w:rPr>
          <w:bCs/>
          <w:lang w:val="ru-RU"/>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numPr>
          <w:ilvl w:val="1"/>
          <w:numId w:val="2"/>
        </w:numPr>
        <w:tabs>
          <w:tab w:val="clear" w:pos="708"/>
          <w:tab w:val="left" w:pos="709" w:leader="none"/>
          <w:tab w:val="left" w:pos="1134" w:leader="none"/>
        </w:tabs>
        <w:ind w:left="0" w:firstLine="709"/>
        <w:jc w:val="both"/>
        <w:rPr>
          <w:lang w:val="ru-RU"/>
        </w:rPr>
      </w:pPr>
      <w:r>
        <w:rPr>
          <w:bCs/>
          <w:lang w:val="ru-RU"/>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Normal"/>
        <w:numPr>
          <w:ilvl w:val="1"/>
          <w:numId w:val="2"/>
        </w:numPr>
        <w:tabs>
          <w:tab w:val="clear" w:pos="708"/>
          <w:tab w:val="left" w:pos="709" w:leader="none"/>
          <w:tab w:val="left" w:pos="1134" w:leader="none"/>
        </w:tabs>
        <w:ind w:left="0" w:firstLine="709"/>
        <w:jc w:val="both"/>
        <w:rPr>
          <w:lang w:val="ru-RU"/>
        </w:rPr>
      </w:pPr>
      <w:r>
        <w:rPr>
          <w:bCs/>
          <w:lang w:val="ru-RU"/>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Normal"/>
        <w:numPr>
          <w:ilvl w:val="1"/>
          <w:numId w:val="2"/>
        </w:numPr>
        <w:tabs>
          <w:tab w:val="clear" w:pos="708"/>
          <w:tab w:val="left" w:pos="709" w:leader="none"/>
          <w:tab w:val="left" w:pos="1134" w:leader="none"/>
        </w:tabs>
        <w:ind w:left="0" w:firstLine="709"/>
        <w:jc w:val="both"/>
        <w:rPr>
          <w:lang w:val="ru-RU"/>
        </w:rPr>
      </w:pPr>
      <w:r>
        <w:rPr>
          <w:bCs/>
          <w:lang w:val="ru-RU"/>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lang w:val="ru-RU"/>
        </w:rPr>
        <w:t xml:space="preserve"> </w:t>
      </w:r>
      <w:r>
        <w:rPr>
          <w:bCs/>
          <w:lang w:val="ru-RU"/>
        </w:rPr>
        <w:t>сумма неустойки, подлежащая уплате виновной Стороной, определяется на основании решения суда.</w:t>
      </w:r>
    </w:p>
    <w:p>
      <w:pPr>
        <w:pStyle w:val="Normal"/>
        <w:shd w:val="clear" w:color="auto" w:fill="FFFFFF"/>
        <w:jc w:val="both"/>
        <w:rPr>
          <w:lang w:val="ru-RU"/>
        </w:rPr>
      </w:pPr>
      <w:r>
        <w:rPr>
          <w:lang w:val="ru-RU"/>
        </w:rPr>
      </w:r>
    </w:p>
    <w:p>
      <w:pPr>
        <w:pStyle w:val="ListParagraph"/>
        <w:numPr>
          <w:ilvl w:val="0"/>
          <w:numId w:val="2"/>
        </w:numPr>
        <w:shd w:val="clear" w:color="auto" w:fill="FFFFFF"/>
        <w:tabs>
          <w:tab w:val="clear" w:pos="708"/>
          <w:tab w:val="left" w:pos="0" w:leader="none"/>
        </w:tabs>
        <w:ind w:left="0" w:hanging="0"/>
        <w:jc w:val="center"/>
        <w:rPr>
          <w:b/>
          <w:bCs/>
        </w:rPr>
      </w:pPr>
      <w:r>
        <w:rPr>
          <w:b/>
          <w:bCs/>
        </w:rPr>
        <w:t>Конфиденциальность</w:t>
      </w:r>
    </w:p>
    <w:p>
      <w:pPr>
        <w:pStyle w:val="ListParagraph"/>
        <w:numPr>
          <w:ilvl w:val="1"/>
          <w:numId w:val="2"/>
        </w:numPr>
        <w:shd w:val="clear" w:color="auto" w:fill="FFFFFF"/>
        <w:tabs>
          <w:tab w:val="clear" w:pos="708"/>
          <w:tab w:val="left" w:pos="0" w:leader="none"/>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9"/>
        </w:numPr>
        <w:tabs>
          <w:tab w:val="clear" w:pos="708"/>
          <w:tab w:val="left" w:pos="993"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9"/>
        </w:numPr>
        <w:tabs>
          <w:tab w:val="clear" w:pos="708"/>
          <w:tab w:val="left" w:pos="993"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
        </w:numPr>
        <w:shd w:val="clear" w:color="auto" w:fill="FFFFFF"/>
        <w:tabs>
          <w:tab w:val="clear" w:pos="708"/>
          <w:tab w:val="left" w:pos="355"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color="auto" w:fill="FFFFFF"/>
        <w:tabs>
          <w:tab w:val="clear" w:pos="708"/>
          <w:tab w:val="left" w:pos="355"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color="auto" w:fill="FFFFFF"/>
        <w:tabs>
          <w:tab w:val="clear" w:pos="708"/>
          <w:tab w:val="left" w:pos="355"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color="auto" w:fill="FFFFFF"/>
        <w:tabs>
          <w:tab w:val="clear" w:pos="708"/>
          <w:tab w:val="left" w:pos="355"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10"/>
        </w:numPr>
        <w:tabs>
          <w:tab w:val="clear" w:pos="708"/>
          <w:tab w:val="left" w:pos="993" w:leader="none"/>
        </w:tabs>
        <w:ind w:left="0" w:firstLine="709"/>
        <w:jc w:val="both"/>
        <w:rPr/>
      </w:pPr>
      <w:r>
        <w:rPr>
          <w:bCs/>
        </w:rPr>
        <w:t xml:space="preserve">финансовую </w:t>
      </w:r>
      <w:r>
        <w:rPr>
          <w:bCs/>
          <w:lang w:val="en-US"/>
        </w:rPr>
        <w:t>(</w:t>
      </w:r>
      <w:r>
        <w:rPr>
          <w:bCs/>
        </w:rPr>
        <w:t>бухгалтерскую) отчетность;</w:t>
      </w:r>
    </w:p>
    <w:p>
      <w:pPr>
        <w:pStyle w:val="Normal"/>
        <w:numPr>
          <w:ilvl w:val="0"/>
          <w:numId w:val="10"/>
        </w:numPr>
        <w:tabs>
          <w:tab w:val="clear" w:pos="708"/>
          <w:tab w:val="left" w:pos="993" w:leader="none"/>
        </w:tabs>
        <w:ind w:left="0" w:firstLine="709"/>
        <w:jc w:val="both"/>
        <w:rPr>
          <w:bCs/>
        </w:rPr>
      </w:pPr>
      <w:r>
        <w:rPr>
          <w:bCs/>
        </w:rPr>
        <w:t>учетные регистры бухгалтерского учета;</w:t>
      </w:r>
    </w:p>
    <w:p>
      <w:pPr>
        <w:pStyle w:val="Normal"/>
        <w:numPr>
          <w:ilvl w:val="0"/>
          <w:numId w:val="10"/>
        </w:numPr>
        <w:tabs>
          <w:tab w:val="clear" w:pos="708"/>
          <w:tab w:val="left" w:pos="993" w:leader="none"/>
        </w:tabs>
        <w:ind w:left="0" w:firstLine="709"/>
        <w:jc w:val="both"/>
        <w:rPr>
          <w:bCs/>
        </w:rPr>
      </w:pPr>
      <w:r>
        <w:rPr>
          <w:bCs/>
        </w:rPr>
        <w:t>бизнес-планы;</w:t>
      </w:r>
    </w:p>
    <w:p>
      <w:pPr>
        <w:pStyle w:val="Normal"/>
        <w:numPr>
          <w:ilvl w:val="0"/>
          <w:numId w:val="10"/>
        </w:numPr>
        <w:tabs>
          <w:tab w:val="clear" w:pos="708"/>
          <w:tab w:val="left" w:pos="993"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10"/>
        </w:numPr>
        <w:tabs>
          <w:tab w:val="clear" w:pos="708"/>
          <w:tab w:val="left" w:pos="993"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10"/>
        </w:numPr>
        <w:tabs>
          <w:tab w:val="clear" w:pos="708"/>
          <w:tab w:val="left" w:pos="993"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10"/>
        </w:numPr>
        <w:tabs>
          <w:tab w:val="clear" w:pos="708"/>
          <w:tab w:val="left" w:pos="993"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10"/>
        </w:numPr>
        <w:tabs>
          <w:tab w:val="clear" w:pos="708"/>
          <w:tab w:val="left" w:pos="993" w:leader="none"/>
        </w:tabs>
        <w:ind w:left="0" w:firstLine="709"/>
        <w:jc w:val="both"/>
        <w:rPr>
          <w:bCs/>
          <w:lang w:val="ru-RU"/>
        </w:rPr>
      </w:pPr>
      <w:r>
        <w:rPr>
          <w:bCs/>
          <w:lang w:val="ru-RU"/>
        </w:rPr>
        <w:t>сведения об объемах производства и/или реализации продукции и услуг Заказчика или его аффилированных лиц;</w:t>
      </w:r>
    </w:p>
    <w:p>
      <w:pPr>
        <w:pStyle w:val="Normal"/>
        <w:numPr>
          <w:ilvl w:val="0"/>
          <w:numId w:val="10"/>
        </w:numPr>
        <w:tabs>
          <w:tab w:val="clear" w:pos="708"/>
          <w:tab w:val="left" w:pos="993"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color="auto" w:fill="FFFFFF"/>
        <w:tabs>
          <w:tab w:val="clear" w:pos="708"/>
          <w:tab w:val="left" w:pos="1134" w:leader="none"/>
        </w:tabs>
        <w:ind w:left="0" w:firstLine="709"/>
        <w:jc w:val="both"/>
        <w:rPr>
          <w:bCs/>
        </w:rPr>
      </w:pPr>
      <w:bookmarkStart w:id="13"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3"/>
      <w:r>
        <w:rPr>
          <w:bCs/>
        </w:rPr>
        <w:t xml:space="preserve"> </w:t>
      </w:r>
    </w:p>
    <w:p>
      <w:pPr>
        <w:pStyle w:val="ListParagraph"/>
        <w:numPr>
          <w:ilvl w:val="2"/>
          <w:numId w:val="2"/>
        </w:numPr>
        <w:shd w:val="clear" w:color="auto" w:fill="FFFFFF"/>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2"/>
        </w:numPr>
        <w:shd w:val="clear" w:color="auto" w:fill="FFFFFF"/>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
        </w:numPr>
        <w:shd w:val="clear" w:color="auto" w:fill="FFFFFF"/>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
        </w:numPr>
        <w:shd w:val="clear" w:color="auto" w:fill="FFFFFF"/>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shd w:val="clear" w:color="auto" w:fill="FFFFFF"/>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shd w:val="clear" w:color="auto" w:fill="FFFFFF"/>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shd w:val="clear" w:color="auto" w:fill="FFFFFF"/>
        <w:tabs>
          <w:tab w:val="clear" w:pos="708"/>
          <w:tab w:val="left" w:pos="1134" w:leader="none"/>
        </w:tabs>
        <w:ind w:left="0" w:firstLine="709"/>
        <w:jc w:val="both"/>
        <w:rPr>
          <w:bCs/>
        </w:rPr>
      </w:pPr>
      <w:bookmarkStart w:id="14"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pPr>
        <w:pStyle w:val="ListParagraph"/>
        <w:numPr>
          <w:ilvl w:val="2"/>
          <w:numId w:val="2"/>
        </w:numPr>
        <w:shd w:val="clear" w:color="auto" w:fill="FFFFFF"/>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
        </w:numPr>
        <w:shd w:val="clear" w:color="auto" w:fill="FFFFFF"/>
        <w:tabs>
          <w:tab w:val="clear" w:pos="708"/>
          <w:tab w:val="left" w:pos="709" w:leader="none"/>
          <w:tab w:val="left" w:pos="1134" w:leader="none"/>
        </w:tabs>
        <w:ind w:left="0" w:firstLine="709"/>
        <w:jc w:val="both"/>
        <w:rPr>
          <w:bCs/>
        </w:rPr>
      </w:pPr>
      <w:bookmarkStart w:id="15"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pPr>
        <w:pStyle w:val="ListParagraph"/>
        <w:numPr>
          <w:ilvl w:val="1"/>
          <w:numId w:val="2"/>
        </w:numPr>
        <w:shd w:val="clear" w:color="auto" w:fill="FFFFFF"/>
        <w:tabs>
          <w:tab w:val="clear" w:pos="708"/>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shd w:val="clear" w:color="auto" w:fill="FFFFFF"/>
        <w:jc w:val="both"/>
        <w:rPr>
          <w:bCs/>
          <w:lang w:val="ru-RU"/>
        </w:rPr>
      </w:pPr>
      <w:r>
        <w:rPr>
          <w:bCs/>
          <w:lang w:val="ru-RU"/>
        </w:rPr>
      </w:r>
    </w:p>
    <w:p>
      <w:pPr>
        <w:pStyle w:val="ListParagraph"/>
        <w:numPr>
          <w:ilvl w:val="0"/>
          <w:numId w:val="2"/>
        </w:numPr>
        <w:shd w:val="clear" w:color="auto" w:fill="FFFFFF"/>
        <w:tabs>
          <w:tab w:val="clear" w:pos="708"/>
          <w:tab w:val="left" w:pos="426" w:leader="none"/>
        </w:tabs>
        <w:ind w:left="0" w:hanging="0"/>
        <w:jc w:val="center"/>
        <w:rPr>
          <w:b/>
          <w:bCs/>
        </w:rPr>
      </w:pPr>
      <w:r>
        <w:rPr>
          <w:b/>
          <w:bCs/>
        </w:rPr>
        <w:t>Разрешение споров</w:t>
      </w:r>
    </w:p>
    <w:p>
      <w:pPr>
        <w:pStyle w:val="ListParagraph"/>
        <w:numPr>
          <w:ilvl w:val="1"/>
          <w:numId w:val="2"/>
        </w:numPr>
        <w:shd w:val="clear" w:color="auto" w:fill="FFFFFF"/>
        <w:tabs>
          <w:tab w:val="clear" w:pos="708"/>
          <w:tab w:val="left" w:pos="0"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numPr>
          <w:ilvl w:val="1"/>
          <w:numId w:val="2"/>
        </w:numPr>
        <w:shd w:val="clear" w:color="auto" w:fill="FFFFFF"/>
        <w:tabs>
          <w:tab w:val="clear" w:pos="708"/>
          <w:tab w:val="left" w:pos="0" w:leader="none"/>
          <w:tab w:val="left" w:pos="1418" w:leader="none"/>
        </w:tabs>
        <w:ind w:left="0" w:firstLine="709"/>
        <w:jc w:val="both"/>
        <w:rPr>
          <w:bCs/>
        </w:rPr>
      </w:pPr>
      <w:r>
        <w:rPr>
          <w:bCs/>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numPr>
          <w:ilvl w:val="1"/>
          <w:numId w:val="2"/>
        </w:numPr>
        <w:shd w:val="clear" w:color="auto" w:fill="FFFFFF"/>
        <w:tabs>
          <w:tab w:val="clear" w:pos="708"/>
          <w:tab w:val="left" w:pos="0"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12.7 Договора.</w:t>
      </w:r>
    </w:p>
    <w:p>
      <w:pPr>
        <w:pStyle w:val="ListParagraph"/>
        <w:numPr>
          <w:ilvl w:val="1"/>
          <w:numId w:val="2"/>
        </w:numPr>
        <w:shd w:val="clear" w:color="auto" w:fill="FFFFFF"/>
        <w:tabs>
          <w:tab w:val="clear" w:pos="708"/>
          <w:tab w:val="left" w:pos="0"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shd w:val="clear" w:color="auto" w:fill="FFFFFF"/>
        <w:tabs>
          <w:tab w:val="clear" w:pos="708"/>
          <w:tab w:val="left" w:pos="0"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jc w:val="both"/>
        <w:rPr>
          <w:lang w:val="ru-RU"/>
        </w:rPr>
      </w:pPr>
      <w:r>
        <w:rPr>
          <w:lang w:val="ru-RU"/>
        </w:rPr>
      </w:r>
    </w:p>
    <w:p>
      <w:pPr>
        <w:pStyle w:val="ListParagraph"/>
        <w:numPr>
          <w:ilvl w:val="0"/>
          <w:numId w:val="2"/>
        </w:numPr>
        <w:shd w:val="clear" w:color="auto" w:fill="FFFFFF"/>
        <w:ind w:left="0" w:hanging="0"/>
        <w:jc w:val="center"/>
        <w:rPr>
          <w:b/>
          <w:bCs/>
        </w:rPr>
      </w:pPr>
      <w:r>
        <w:rPr>
          <w:b/>
          <w:bCs/>
        </w:rPr>
        <w:t>Антикоррупционная оговорка</w:t>
      </w:r>
    </w:p>
    <w:p>
      <w:pPr>
        <w:pStyle w:val="ListParagraph"/>
        <w:numPr>
          <w:ilvl w:val="1"/>
          <w:numId w:val="2"/>
        </w:numPr>
        <w:shd w:val="clear" w:color="auto" w:fill="FFFFFF"/>
        <w:tabs>
          <w:tab w:val="clear" w:pos="708"/>
          <w:tab w:val="left" w:pos="0" w:leader="none"/>
          <w:tab w:val="left" w:pos="1134" w:leader="none"/>
        </w:tabs>
        <w:ind w:left="0" w:firstLine="709"/>
        <w:jc w:val="both"/>
        <w:rPr>
          <w:bCs/>
        </w:rPr>
      </w:pPr>
      <w:r>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rPr>
        <w:t>.</w:t>
      </w:r>
    </w:p>
    <w:p>
      <w:pPr>
        <w:pStyle w:val="ListParagraph"/>
        <w:numPr>
          <w:ilvl w:val="1"/>
          <w:numId w:val="2"/>
        </w:numPr>
        <w:shd w:val="clear" w:color="auto" w:fill="FFFFFF"/>
        <w:tabs>
          <w:tab w:val="clear" w:pos="708"/>
          <w:tab w:val="left" w:pos="0" w:leader="none"/>
          <w:tab w:val="left" w:pos="1134" w:leader="none"/>
        </w:tabs>
        <w:ind w:left="0" w:firstLine="709"/>
        <w:jc w:val="both"/>
        <w:rPr>
          <w:bCs/>
        </w:rPr>
      </w:pPr>
      <w:r>
        <w:rPr>
          <w:bCs/>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0" w:leader="none"/>
          <w:tab w:val="left" w:pos="1134" w:leader="none"/>
        </w:tabs>
        <w:ind w:left="0" w:firstLine="709"/>
        <w:jc w:val="both"/>
        <w:rPr>
          <w:bCs/>
        </w:rPr>
      </w:pPr>
      <w:r>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0" w:leader="none"/>
          <w:tab w:val="left" w:pos="1134" w:leader="none"/>
        </w:tabs>
        <w:ind w:left="0" w:firstLine="709"/>
        <w:jc w:val="both"/>
        <w:rPr>
          <w:bCs/>
        </w:rPr>
      </w:pPr>
      <w:r>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0" w:leader="none"/>
          <w:tab w:val="left" w:pos="1134" w:leader="none"/>
        </w:tabs>
        <w:ind w:left="0" w:firstLine="709"/>
        <w:jc w:val="both"/>
        <w:rPr>
          <w:bCs/>
        </w:rPr>
      </w:pPr>
      <w:r>
        <w:rPr>
          <w:bCs/>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2"/>
        </w:numPr>
        <w:shd w:val="clear" w:color="auto" w:fill="FFFFFF"/>
        <w:tabs>
          <w:tab w:val="clear" w:pos="708"/>
          <w:tab w:val="left" w:pos="0" w:leader="none"/>
          <w:tab w:val="left" w:pos="1134" w:leader="none"/>
        </w:tabs>
        <w:ind w:left="0" w:firstLine="709"/>
        <w:jc w:val="both"/>
        <w:rPr>
          <w:bCs/>
        </w:rPr>
      </w:pPr>
      <w:r>
        <w:rPr>
          <w:bCs/>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8"/>
          <w:tab w:val="left" w:pos="0" w:leader="none"/>
          <w:tab w:val="left" w:pos="1134" w:leader="none"/>
        </w:tabs>
        <w:ind w:left="0" w:firstLine="709"/>
        <w:jc w:val="both"/>
        <w:rPr>
          <w:bCs/>
        </w:rPr>
      </w:pPr>
      <w:r>
        <w:rPr>
          <w:bCs/>
        </w:rPr>
        <w:t>Каналы связи Линия доверия Группы РусГидро.</w:t>
      </w:r>
    </w:p>
    <w:p>
      <w:pPr>
        <w:pStyle w:val="ListParagraph"/>
        <w:numPr>
          <w:ilvl w:val="2"/>
          <w:numId w:val="2"/>
        </w:numPr>
        <w:shd w:val="clear" w:color="auto" w:fill="FFFFFF"/>
        <w:tabs>
          <w:tab w:val="clear" w:pos="708"/>
          <w:tab w:val="left" w:pos="0" w:leader="none"/>
          <w:tab w:val="left" w:pos="1134" w:leader="none"/>
        </w:tabs>
        <w:ind w:left="0" w:firstLine="709"/>
        <w:jc w:val="both"/>
        <w:rPr>
          <w:bCs/>
        </w:rPr>
      </w:pPr>
      <w:r>
        <w:rPr>
          <w:bCs/>
        </w:rPr>
        <w:t xml:space="preserve">Электронная почта: </w:t>
      </w:r>
      <w:hyperlink r:id="rId2">
        <w:r>
          <w:rPr>
            <w:rStyle w:val="Hyperlink"/>
            <w:bCs/>
            <w:color w:val="auto"/>
          </w:rPr>
          <w:t>ld@rushydro.ru</w:t>
        </w:r>
      </w:hyperlink>
      <w:r>
        <w:rPr>
          <w:bCs/>
        </w:rPr>
        <w:t>.</w:t>
      </w:r>
    </w:p>
    <w:p>
      <w:pPr>
        <w:pStyle w:val="ListParagraph"/>
        <w:numPr>
          <w:ilvl w:val="2"/>
          <w:numId w:val="2"/>
        </w:numPr>
        <w:shd w:val="clear" w:color="auto" w:fill="FFFFFF"/>
        <w:tabs>
          <w:tab w:val="clear" w:pos="708"/>
          <w:tab w:val="left" w:pos="0" w:leader="none"/>
          <w:tab w:val="left" w:pos="1134" w:leader="none"/>
        </w:tabs>
        <w:ind w:left="0" w:firstLine="709"/>
        <w:jc w:val="both"/>
        <w:rPr>
          <w:bCs/>
        </w:rPr>
      </w:pPr>
      <w:r>
        <w:rPr>
          <w:bCs/>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shd w:val="clear" w:color="auto" w:fill="FFFFFF"/>
        <w:tabs>
          <w:tab w:val="clear" w:pos="708"/>
          <w:tab w:val="left" w:pos="0" w:leader="none"/>
          <w:tab w:val="left" w:pos="1134" w:leader="none"/>
        </w:tabs>
        <w:ind w:left="0" w:firstLine="709"/>
        <w:jc w:val="both"/>
        <w:rPr>
          <w:bCs/>
        </w:rPr>
      </w:pPr>
      <w:r>
        <w:rPr>
          <w:bC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hanging="0"/>
        <w:jc w:val="both"/>
        <w:rPr>
          <w:b/>
          <w:bCs/>
        </w:rPr>
      </w:pPr>
      <w:r>
        <w:rPr>
          <w:b/>
          <w:bCs/>
        </w:rPr>
      </w:r>
    </w:p>
    <w:p>
      <w:pPr>
        <w:pStyle w:val="ListParagraph"/>
        <w:numPr>
          <w:ilvl w:val="0"/>
          <w:numId w:val="2"/>
        </w:numPr>
        <w:shd w:val="clear" w:color="auto" w:fill="FFFFFF"/>
        <w:ind w:left="0" w:hanging="0"/>
        <w:jc w:val="center"/>
        <w:rPr>
          <w:b/>
          <w:bCs/>
        </w:rPr>
      </w:pPr>
      <w:r>
        <w:rPr>
          <w:b/>
          <w:bCs/>
        </w:rPr>
        <w:t>Обстоятельства непреодолимой силы (форс-мажор)</w:t>
      </w:r>
    </w:p>
    <w:p>
      <w:pPr>
        <w:pStyle w:val="ListParagraph"/>
        <w:numPr>
          <w:ilvl w:val="1"/>
          <w:numId w:val="2"/>
        </w:numPr>
        <w:shd w:val="clear" w:color="auto" w:fill="FFFFFF"/>
        <w:tabs>
          <w:tab w:val="clear" w:pos="708"/>
          <w:tab w:val="left" w:pos="0" w:leader="none"/>
          <w:tab w:val="left" w:pos="1134" w:leader="none"/>
          <w:tab w:val="left" w:pos="1418"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color="auto" w:fill="FFFFFF"/>
        <w:tabs>
          <w:tab w:val="clear" w:pos="708"/>
          <w:tab w:val="left" w:pos="0" w:leader="none"/>
          <w:tab w:val="left" w:pos="1134" w:leader="none"/>
          <w:tab w:val="left" w:pos="1418"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color="auto" w:fill="FFFFFF"/>
        <w:tabs>
          <w:tab w:val="clear" w:pos="708"/>
          <w:tab w:val="left" w:pos="0" w:leader="none"/>
          <w:tab w:val="left" w:pos="1134" w:leader="none"/>
          <w:tab w:val="left" w:pos="1418"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color="auto" w:fill="FFFFFF"/>
        <w:tabs>
          <w:tab w:val="clear" w:pos="708"/>
          <w:tab w:val="left" w:pos="0" w:leader="none"/>
          <w:tab w:val="left" w:pos="1134" w:leader="none"/>
          <w:tab w:val="left" w:pos="1418"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
        </w:numPr>
        <w:shd w:val="clear" w:color="auto" w:fill="FFFFFF"/>
        <w:tabs>
          <w:tab w:val="clear" w:pos="708"/>
          <w:tab w:val="left" w:pos="0" w:leader="none"/>
          <w:tab w:val="left" w:pos="1134" w:leader="none"/>
          <w:tab w:val="left" w:pos="1418"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color="auto" w:fill="FFFFFF"/>
        <w:tabs>
          <w:tab w:val="clear" w:pos="708"/>
          <w:tab w:val="left" w:pos="0" w:leader="none"/>
          <w:tab w:val="left" w:pos="1134" w:leader="none"/>
          <w:tab w:val="left" w:pos="141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134"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hd w:val="clear" w:color="auto" w:fill="FFFFFF"/>
        <w:jc w:val="both"/>
        <w:rPr>
          <w:bCs/>
          <w:lang w:val="ru-RU"/>
        </w:rPr>
      </w:pPr>
      <w:r>
        <w:rPr>
          <w:bCs/>
          <w:lang w:val="ru-RU"/>
        </w:rPr>
      </w:r>
    </w:p>
    <w:p>
      <w:pPr>
        <w:pStyle w:val="ListParagraph"/>
        <w:numPr>
          <w:ilvl w:val="0"/>
          <w:numId w:val="2"/>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2"/>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 xml:space="preserve">она является </w:t>
      </w:r>
      <w:r>
        <w:rPr>
          <w:shd w:fill="auto" w:val="clear"/>
        </w:rPr>
        <w:t xml:space="preserve">юридическим лицом </w:t>
      </w:r>
      <w:r>
        <w:rPr>
          <w:highlight w:val="lightGray"/>
          <w:shd w:fill="auto" w:val="clear"/>
        </w:rPr>
        <w:t>/ индивидуальным предпринимателем</w:t>
      </w:r>
      <w:r>
        <w:rPr>
          <w:shd w:fill="auto" w:val="clear"/>
        </w:rPr>
        <w:t xml:space="preserve">, надлежащим образом учрежденным </w:t>
      </w:r>
      <w:r>
        <w:rPr>
          <w:highlight w:val="lightGray"/>
          <w:shd w:fill="auto" w:val="clear"/>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1"/>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2"/>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
        </w:numPr>
        <w:shd w:val="clear" w:color="auto" w:fill="FFFFFF"/>
        <w:tabs>
          <w:tab w:val="clear" w:pos="708"/>
          <w:tab w:val="left" w:pos="355"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hanging="0"/>
        <w:jc w:val="both"/>
        <w:rPr/>
      </w:pPr>
      <w:r>
        <w:rPr/>
      </w:r>
    </w:p>
    <w:p>
      <w:pPr>
        <w:pStyle w:val="ListParagraph"/>
        <w:numPr>
          <w:ilvl w:val="0"/>
          <w:numId w:val="2"/>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2"/>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3"/>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3"/>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3"/>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3"/>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3"/>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3"/>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ListParagraph"/>
        <w:numPr>
          <w:ilvl w:val="0"/>
          <w:numId w:val="13"/>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4"/>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4"/>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4"/>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
        </w:numPr>
        <w:shd w:val="clear" w:color="auto" w:fill="FFFFFF"/>
        <w:tabs>
          <w:tab w:val="clear" w:pos="708"/>
          <w:tab w:val="left" w:pos="355"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jc w:val="both"/>
        <w:rPr>
          <w:lang w:val="ru-RU"/>
        </w:rPr>
      </w:pPr>
      <w:r>
        <w:rPr>
          <w:lang w:val="ru-RU"/>
        </w:rPr>
      </w:r>
    </w:p>
    <w:p>
      <w:pPr>
        <w:pStyle w:val="ListParagraph"/>
        <w:numPr>
          <w:ilvl w:val="0"/>
          <w:numId w:val="2"/>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2"/>
        </w:numPr>
        <w:shd w:val="clear" w:color="auto" w:fill="FFFFFF"/>
        <w:tabs>
          <w:tab w:val="clear" w:pos="708"/>
          <w:tab w:val="left" w:pos="0" w:leader="none"/>
          <w:tab w:val="left" w:pos="1418"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numPr>
          <w:ilvl w:val="1"/>
          <w:numId w:val="2"/>
        </w:numPr>
        <w:shd w:val="clear" w:color="auto" w:fill="FFFFFF"/>
        <w:tabs>
          <w:tab w:val="clear" w:pos="708"/>
          <w:tab w:val="left" w:pos="0" w:leader="none"/>
          <w:tab w:val="left" w:pos="1418" w:leader="none"/>
        </w:tabs>
        <w:ind w:left="0" w:firstLine="709"/>
        <w:jc w:val="both"/>
        <w:rPr/>
      </w:pPr>
      <w: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numPr>
          <w:ilvl w:val="1"/>
          <w:numId w:val="2"/>
        </w:numPr>
        <w:shd w:val="clear" w:color="auto" w:fill="FFFFFF"/>
        <w:tabs>
          <w:tab w:val="clear" w:pos="708"/>
          <w:tab w:val="left" w:pos="0" w:leader="none"/>
          <w:tab w:val="left" w:pos="1418"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tabs>
          <w:tab w:val="clear" w:pos="708"/>
          <w:tab w:val="left" w:pos="0" w:leader="none"/>
          <w:tab w:val="left" w:pos="1418"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color="auto" w:fill="FFFFFF"/>
        <w:tabs>
          <w:tab w:val="clear" w:pos="708"/>
          <w:tab w:val="left" w:pos="0" w:leader="none"/>
          <w:tab w:val="left" w:pos="1418"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12.7 Договора.</w:t>
      </w:r>
    </w:p>
    <w:p>
      <w:pPr>
        <w:pStyle w:val="ListParagraph"/>
        <w:numPr>
          <w:ilvl w:val="1"/>
          <w:numId w:val="2"/>
        </w:numPr>
        <w:shd w:val="clear" w:color="auto" w:fill="FFFFFF"/>
        <w:tabs>
          <w:tab w:val="clear" w:pos="708"/>
          <w:tab w:val="left" w:pos="0" w:leader="none"/>
          <w:tab w:val="left" w:pos="1418" w:leader="none"/>
        </w:tabs>
        <w:ind w:left="0" w:firstLine="709"/>
        <w:jc w:val="both"/>
        <w:rPr/>
      </w:pPr>
      <w:bookmarkStart w:id="16" w:name="_Ref361338004"/>
      <w:r>
        <w:rPr/>
        <w:t>Стороны обязуются уведомлять друг друга об изменении адреса и/или реквизитов, указанных в разделе 14 Договора, не позднее 3 (трех) рабочих дней после такого изменения в порядке, установленном пунктом 12.7 Договора.</w:t>
      </w:r>
      <w:bookmarkEnd w:id="16"/>
      <w:r>
        <w:rPr/>
        <w:t xml:space="preserve"> </w:t>
      </w:r>
    </w:p>
    <w:p>
      <w:pPr>
        <w:pStyle w:val="ListParagraph"/>
        <w:numPr>
          <w:ilvl w:val="1"/>
          <w:numId w:val="2"/>
        </w:numPr>
        <w:shd w:val="clear" w:color="auto" w:fill="FFFFFF"/>
        <w:tabs>
          <w:tab w:val="clear" w:pos="708"/>
          <w:tab w:val="left" w:pos="0" w:leader="none"/>
          <w:tab w:val="left" w:pos="1134" w:leader="none"/>
          <w:tab w:val="left" w:pos="1418" w:leader="none"/>
        </w:tabs>
        <w:ind w:left="0" w:firstLine="709"/>
        <w:jc w:val="both"/>
        <w:rPr>
          <w:bCs/>
        </w:rPr>
      </w:pPr>
      <w:r>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pPr>
        <w:pStyle w:val="ListParagraph"/>
        <w:numPr>
          <w:ilvl w:val="2"/>
          <w:numId w:val="2"/>
        </w:numPr>
        <w:ind w:left="0" w:firstLine="709"/>
        <w:jc w:val="both"/>
        <w:rPr/>
      </w:pPr>
      <w:r>
        <w:rPr>
          <w:bCs/>
        </w:rPr>
        <w:t xml:space="preserve">По </w:t>
      </w:r>
      <w:bookmarkStart w:id="17" w:name="_Hlk154477081"/>
      <w:r>
        <w:rPr>
          <w:bCs/>
        </w:rPr>
        <w:t>адресу ее места нахождения, указанному в 14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7"/>
      <w:r>
        <w:rPr/>
        <w:t>:</w:t>
      </w:r>
    </w:p>
    <w:p>
      <w:pPr>
        <w:pStyle w:val="ListParagraph"/>
        <w:numPr>
          <w:ilvl w:val="0"/>
          <w:numId w:val="15"/>
        </w:numPr>
        <w:tabs>
          <w:tab w:val="clear" w:pos="708"/>
          <w:tab w:val="left" w:pos="993" w:leader="none"/>
        </w:tabs>
        <w:ind w:left="0" w:firstLine="709"/>
        <w:jc w:val="both"/>
        <w:rPr/>
      </w:pPr>
      <w: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5"/>
        </w:numPr>
        <w:tabs>
          <w:tab w:val="clear" w:pos="708"/>
          <w:tab w:val="left" w:pos="993" w:leader="none"/>
        </w:tabs>
        <w:ind w:left="0" w:firstLine="709"/>
        <w:jc w:val="both"/>
        <w:rPr/>
      </w:pPr>
      <w:bookmarkStart w:id="18" w:name="_Hlk154477143"/>
      <w:r>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8"/>
    </w:p>
    <w:p>
      <w:pPr>
        <w:pStyle w:val="ListParagraph"/>
        <w:numPr>
          <w:ilvl w:val="2"/>
          <w:numId w:val="2"/>
        </w:numPr>
        <w:ind w:left="0" w:firstLine="709"/>
        <w:jc w:val="both"/>
        <w:rPr/>
      </w:pPr>
      <w:r>
        <w:rPr>
          <w:bCs/>
        </w:rPr>
        <w:t xml:space="preserve">Посредством </w:t>
      </w:r>
      <w:bookmarkStart w:id="19" w:name="_Hlk154477165"/>
      <w:r>
        <w:rPr>
          <w:bCs/>
        </w:rPr>
        <w:t>ЭДО через оператора системы ЭДО путем подписания УКЭП уполномоченного представителя Стороны-отправителя</w:t>
      </w:r>
      <w:bookmarkEnd w:id="19"/>
      <w:r>
        <w:rPr/>
        <w:t>.</w:t>
      </w:r>
    </w:p>
    <w:p>
      <w:pPr>
        <w:pStyle w:val="ListParagraph"/>
        <w:numPr>
          <w:ilvl w:val="1"/>
          <w:numId w:val="2"/>
        </w:numPr>
        <w:tabs>
          <w:tab w:val="clear" w:pos="708"/>
          <w:tab w:val="left" w:pos="0" w:leader="none"/>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tabs>
          <w:tab w:val="clear" w:pos="708"/>
          <w:tab w:val="left" w:pos="0" w:leader="none"/>
          <w:tab w:val="left" w:pos="1418" w:leader="none"/>
        </w:tabs>
        <w:ind w:left="0" w:firstLine="709"/>
        <w:jc w:val="both"/>
        <w:rPr>
          <w:bCs/>
        </w:rPr>
      </w:pPr>
      <w:r>
        <w:rPr/>
        <w:t xml:space="preserve">Уступка </w:t>
      </w:r>
      <w:bookmarkStart w:id="20" w:name="_Hlk154477337"/>
      <w:r>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0"/>
      <w:r>
        <w:rPr>
          <w:bCs/>
        </w:rPr>
        <w:t>.</w:t>
      </w:r>
      <w:r>
        <w:rPr/>
        <w:t xml:space="preserve"> </w:t>
      </w:r>
    </w:p>
    <w:p>
      <w:pPr>
        <w:pStyle w:val="ListParagraph"/>
        <w:numPr>
          <w:ilvl w:val="1"/>
          <w:numId w:val="2"/>
        </w:numPr>
        <w:tabs>
          <w:tab w:val="clear" w:pos="708"/>
          <w:tab w:val="left" w:pos="0" w:leader="none"/>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tabs>
          <w:tab w:val="clear" w:pos="708"/>
          <w:tab w:val="left" w:pos="0" w:leader="none"/>
          <w:tab w:val="left" w:pos="1418" w:leader="none"/>
        </w:tabs>
        <w:ind w:left="0" w:firstLine="709"/>
        <w:jc w:val="both"/>
        <w:rPr>
          <w:bCs/>
        </w:rPr>
      </w:pPr>
      <w:bookmarkStart w:id="21" w:name="_Hlk154477413"/>
      <w:r>
        <w:rPr/>
        <w:t>Договор заключается в электронной форме с использованием программно-аппаратных средств информационной системы путем его подписания УКЭП уполномоченных представителей Сторон</w:t>
      </w:r>
      <w:bookmarkEnd w:id="21"/>
      <w:r>
        <w:rPr/>
        <w:t>.</w:t>
      </w:r>
    </w:p>
    <w:p>
      <w:pPr>
        <w:pStyle w:val="ListParagraph"/>
        <w:shd w:val="clear" w:color="auto" w:fill="FFFFFF"/>
        <w:tabs>
          <w:tab w:val="clear" w:pos="708"/>
          <w:tab w:val="left" w:pos="0" w:leader="none"/>
          <w:tab w:val="left" w:pos="1418" w:leader="none"/>
        </w:tabs>
        <w:ind w:left="0" w:firstLine="709"/>
        <w:jc w:val="both"/>
        <w:rPr/>
      </w:pPr>
      <w:bookmarkStart w:id="22" w:name="_Hlk154477404"/>
      <w:bookmarkStart w:id="23" w:name="_Hlk154477430"/>
      <w:r>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2"/>
      <w:bookmarkEnd w:id="23"/>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2"/>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lang w:val="ru-RU"/>
        </w:rPr>
      </w:pPr>
      <w:r>
        <w:rPr>
          <w:lang w:val="ru-RU"/>
        </w:rPr>
        <w:t xml:space="preserve">Приложение № 2 – </w:t>
      </w:r>
      <w:r>
        <w:rPr>
          <w:bCs/>
          <w:lang w:val="ru-RU"/>
        </w:rPr>
        <w:t>Размер ответственности Исполнителя за нарушения пропускного и внутриобъектового режима, требований охраны труда, пожарной безопасности</w:t>
      </w:r>
      <w:r>
        <w:rPr>
          <w:lang w:val="ru-RU" w:eastAsia="en-US"/>
        </w:rPr>
        <w:t>;</w:t>
      </w:r>
    </w:p>
    <w:p>
      <w:pPr>
        <w:pStyle w:val="Normal"/>
        <w:tabs>
          <w:tab w:val="clear" w:pos="708"/>
          <w:tab w:val="left" w:pos="2127" w:leader="none"/>
          <w:tab w:val="left" w:pos="2410" w:leader="none"/>
        </w:tabs>
        <w:jc w:val="both"/>
        <w:rPr>
          <w:bCs/>
          <w:lang w:val="ru-RU"/>
        </w:rPr>
      </w:pPr>
      <w:r>
        <w:rPr>
          <w:lang w:val="ru-RU"/>
        </w:rPr>
        <w:t>Приложение № 3</w:t>
      </w:r>
      <w:r>
        <w:rPr>
          <w:bCs/>
          <w:lang w:val="ru-RU"/>
        </w:rPr>
        <w:t> </w:t>
      </w:r>
      <w:r>
        <w:rPr>
          <w:lang w:val="ru-RU"/>
        </w:rPr>
        <w:t>–</w:t>
      </w:r>
      <w:r>
        <w:rPr>
          <w:bCs/>
          <w:lang w:val="ru-RU"/>
        </w:rPr>
        <w:t> Расчет стоимости Услуг.</w:t>
      </w:r>
    </w:p>
    <w:p>
      <w:pPr>
        <w:pStyle w:val="Normal"/>
        <w:tabs>
          <w:tab w:val="clear" w:pos="708"/>
          <w:tab w:val="left" w:pos="2127" w:leader="none"/>
          <w:tab w:val="left" w:pos="2410" w:leader="none"/>
        </w:tabs>
        <w:jc w:val="both"/>
        <w:rPr>
          <w:bCs/>
          <w:lang w:val="ru-RU"/>
        </w:rPr>
      </w:pPr>
      <w:r>
        <w:rPr>
          <w:bCs/>
          <w:lang w:val="ru-RU"/>
        </w:rPr>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numPr>
          <w:ilvl w:val="0"/>
          <w:numId w:val="2"/>
        </w:numPr>
        <w:shd w:val="clear" w:color="auto" w:fill="FFFFFF"/>
        <w:tabs>
          <w:tab w:val="clear" w:pos="708"/>
          <w:tab w:val="left" w:pos="426" w:leader="none"/>
        </w:tabs>
        <w:jc w:val="center"/>
        <w:rPr>
          <w:b/>
          <w:bCs/>
          <w:color w:val="000000"/>
          <w:lang w:val="ru-RU"/>
        </w:rPr>
      </w:pPr>
      <w:r>
        <w:rPr>
          <w:b/>
          <w:bCs/>
          <w:color w:val="000000"/>
          <w:lang w:val="ru-RU"/>
        </w:rPr>
        <w:t>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106"/>
        <w:gridCol w:w="5094"/>
      </w:tblGrid>
      <w:tr>
        <w:trPr/>
        <w:tc>
          <w:tcPr>
            <w:tcW w:w="5106" w:type="dxa"/>
            <w:tcBorders/>
          </w:tcPr>
          <w:p>
            <w:pPr>
              <w:pStyle w:val="Normal"/>
              <w:widowControl w:val="false"/>
              <w:tabs>
                <w:tab w:val="clear" w:pos="708"/>
                <w:tab w:val="left" w:pos="426" w:leader="none"/>
              </w:tabs>
              <w:rPr>
                <w:b/>
                <w:bCs/>
                <w:color w:val="000000"/>
                <w:lang w:val="ru-RU"/>
              </w:rPr>
            </w:pPr>
            <w:r>
              <w:rPr>
                <w:b/>
                <w:bCs/>
                <w:color w:val="000000"/>
                <w:lang w:val="ru-RU"/>
              </w:rPr>
              <w:t>ЗАКАЗЧИК:</w:t>
            </w:r>
          </w:p>
        </w:tc>
        <w:tc>
          <w:tcPr>
            <w:tcW w:w="5094" w:type="dxa"/>
            <w:tcBorders/>
          </w:tcPr>
          <w:p>
            <w:pPr>
              <w:pStyle w:val="Normal"/>
              <w:widowControl w:val="false"/>
              <w:tabs>
                <w:tab w:val="clear" w:pos="708"/>
                <w:tab w:val="left" w:pos="426" w:leader="none"/>
              </w:tabs>
              <w:rPr>
                <w:b/>
                <w:bCs/>
                <w:color w:val="000000"/>
                <w:lang w:val="ru-RU"/>
              </w:rPr>
            </w:pPr>
            <w:r>
              <w:rPr>
                <w:b/>
                <w:bCs/>
                <w:color w:val="000000"/>
                <w:lang w:val="ru-RU"/>
              </w:rPr>
              <w:t>ИСПОЛНИТЕЛЬ:</w:t>
            </w:r>
          </w:p>
        </w:tc>
      </w:tr>
      <w:tr>
        <w:trPr/>
        <w:tc>
          <w:tcPr>
            <w:tcW w:w="5106" w:type="dxa"/>
            <w:tcBorders/>
          </w:tcPr>
          <w:p>
            <w:pPr>
              <w:pStyle w:val="Normal"/>
              <w:widowControl w:val="false"/>
              <w:tabs>
                <w:tab w:val="clear" w:pos="708"/>
                <w:tab w:val="left" w:pos="851" w:leader="none"/>
              </w:tabs>
              <w:spacing w:before="0" w:after="0"/>
              <w:contextualSpacing/>
              <w:rPr>
                <w:b/>
                <w:lang w:val="ru-RU"/>
              </w:rPr>
            </w:pPr>
            <w:r>
              <w:rPr>
                <w:b/>
                <w:lang w:val="ru-RU"/>
              </w:rPr>
              <w:t>Акционерное общество «</w:t>
            </w:r>
            <w:r>
              <w:rPr>
                <w:b/>
                <w:bCs/>
                <w:lang w:val="ru-RU"/>
              </w:rPr>
              <w:t>Сервисная Компания РусГидро</w:t>
            </w:r>
            <w:r>
              <w:rPr>
                <w:b/>
                <w:lang w:val="ru-RU"/>
              </w:rPr>
              <w:t xml:space="preserve">» </w:t>
            </w:r>
          </w:p>
          <w:p>
            <w:pPr>
              <w:pStyle w:val="Normal"/>
              <w:widowControl w:val="false"/>
              <w:tabs>
                <w:tab w:val="clear" w:pos="708"/>
                <w:tab w:val="left" w:pos="851" w:leader="none"/>
              </w:tabs>
              <w:spacing w:before="0" w:after="0"/>
              <w:contextualSpacing/>
              <w:jc w:val="both"/>
              <w:rPr>
                <w:b/>
                <w:lang w:val="ru-RU"/>
              </w:rPr>
            </w:pPr>
            <w:r>
              <w:rPr>
                <w:b/>
                <w:lang w:val="ru-RU"/>
              </w:rPr>
              <w:t>(</w:t>
            </w:r>
            <w:r>
              <w:rPr>
                <w:b/>
                <w:bCs/>
                <w:lang w:val="ru-RU"/>
              </w:rPr>
              <w:t>АО «СК РусГидро»</w:t>
            </w:r>
            <w:r>
              <w:rPr>
                <w:b/>
                <w:lang w:val="ru-RU"/>
              </w:rPr>
              <w:t>)</w:t>
            </w:r>
          </w:p>
          <w:p>
            <w:pPr>
              <w:pStyle w:val="Normal"/>
              <w:widowControl w:val="false"/>
              <w:tabs>
                <w:tab w:val="clear" w:pos="708"/>
                <w:tab w:val="left" w:pos="851" w:leader="none"/>
              </w:tabs>
              <w:spacing w:before="0" w:after="0"/>
              <w:contextualSpacing/>
              <w:jc w:val="both"/>
              <w:rPr>
                <w:lang w:val="ru-RU"/>
              </w:rPr>
            </w:pPr>
            <w:r>
              <w:rPr>
                <w:lang w:val="ru-RU"/>
              </w:rPr>
              <w:t xml:space="preserve">Адрес (юридический/почтовый):  </w:t>
            </w:r>
          </w:p>
          <w:p>
            <w:pPr>
              <w:pStyle w:val="Normal"/>
              <w:widowControl w:val="false"/>
              <w:tabs>
                <w:tab w:val="clear" w:pos="708"/>
                <w:tab w:val="left" w:pos="851" w:leader="none"/>
              </w:tabs>
              <w:spacing w:before="0" w:after="0"/>
              <w:contextualSpacing/>
              <w:jc w:val="both"/>
              <w:rPr>
                <w:lang w:val="ru-RU"/>
              </w:rPr>
            </w:pPr>
            <w:r>
              <w:rPr>
                <w:lang w:val="ru-RU"/>
              </w:rPr>
              <w:t xml:space="preserve">680000, Хабаровский край, г. Хабаровск, </w:t>
            </w:r>
          </w:p>
          <w:p>
            <w:pPr>
              <w:pStyle w:val="Normal"/>
              <w:widowControl w:val="false"/>
              <w:tabs>
                <w:tab w:val="clear" w:pos="708"/>
                <w:tab w:val="left" w:pos="851" w:leader="none"/>
              </w:tabs>
              <w:spacing w:before="0" w:after="0"/>
              <w:contextualSpacing/>
              <w:jc w:val="both"/>
              <w:rPr>
                <w:lang w:val="ru-RU"/>
              </w:rPr>
            </w:pPr>
            <w:r>
              <w:rPr>
                <w:lang w:val="ru-RU"/>
              </w:rPr>
              <w:t xml:space="preserve">ул. Тургенева, дом 80, этаж 2, помещ. </w:t>
            </w:r>
            <w:r>
              <w:rPr>
                <w:lang w:val="en-US"/>
              </w:rPr>
              <w:t>II</w:t>
            </w:r>
            <w:r>
              <w:rPr>
                <w:lang w:val="ru-RU"/>
              </w:rPr>
              <w:t xml:space="preserve"> (1-13)</w:t>
            </w:r>
          </w:p>
          <w:p>
            <w:pPr>
              <w:pStyle w:val="Normal"/>
              <w:widowControl w:val="false"/>
              <w:tabs>
                <w:tab w:val="clear" w:pos="708"/>
                <w:tab w:val="left" w:pos="851" w:leader="none"/>
              </w:tabs>
              <w:spacing w:before="0" w:after="0"/>
              <w:contextualSpacing/>
              <w:jc w:val="both"/>
              <w:rPr>
                <w:lang w:val="ru-RU"/>
              </w:rPr>
            </w:pPr>
            <w:r>
              <w:rPr>
                <w:lang w:val="ru-RU"/>
              </w:rPr>
              <w:t>ОГРН 1042502690339</w:t>
            </w:r>
          </w:p>
          <w:p>
            <w:pPr>
              <w:pStyle w:val="Normal"/>
              <w:widowControl w:val="false"/>
              <w:tabs>
                <w:tab w:val="clear" w:pos="708"/>
                <w:tab w:val="left" w:pos="851" w:leader="none"/>
              </w:tabs>
              <w:spacing w:before="0" w:after="0"/>
              <w:contextualSpacing/>
              <w:jc w:val="both"/>
              <w:rPr>
                <w:lang w:val="ru-RU"/>
              </w:rPr>
            </w:pPr>
            <w:r>
              <w:rPr>
                <w:lang w:val="ru-RU"/>
              </w:rPr>
              <w:t>ИНН 2526007482 КПП 272101001</w:t>
            </w:r>
          </w:p>
          <w:p>
            <w:pPr>
              <w:pStyle w:val="Normal"/>
              <w:widowControl w:val="false"/>
              <w:tabs>
                <w:tab w:val="clear" w:pos="708"/>
                <w:tab w:val="left" w:pos="851" w:leader="none"/>
              </w:tabs>
              <w:spacing w:before="0" w:after="0"/>
              <w:contextualSpacing/>
              <w:jc w:val="both"/>
              <w:rPr>
                <w:lang w:val="ru-RU"/>
              </w:rPr>
            </w:pPr>
            <w:r>
              <w:rPr>
                <w:lang w:val="ru-RU"/>
              </w:rPr>
              <w:t>р/с 40702810223022005387</w:t>
            </w:r>
          </w:p>
          <w:p>
            <w:pPr>
              <w:pStyle w:val="Normal"/>
              <w:widowControl w:val="false"/>
              <w:tabs>
                <w:tab w:val="clear" w:pos="708"/>
                <w:tab w:val="left" w:pos="851" w:leader="none"/>
              </w:tabs>
              <w:spacing w:before="0" w:after="0"/>
              <w:contextualSpacing/>
              <w:jc w:val="both"/>
              <w:rPr>
                <w:lang w:val="ru-RU"/>
              </w:rPr>
            </w:pPr>
            <w:r>
              <w:rPr>
                <w:lang w:val="ru-RU"/>
              </w:rPr>
              <w:t xml:space="preserve">Филиал Банка ВТБ (ПАО) в г. Хабаровске </w:t>
            </w:r>
          </w:p>
          <w:p>
            <w:pPr>
              <w:pStyle w:val="Normal"/>
              <w:widowControl w:val="false"/>
              <w:tabs>
                <w:tab w:val="clear" w:pos="708"/>
                <w:tab w:val="left" w:pos="851" w:leader="none"/>
              </w:tabs>
              <w:spacing w:before="0" w:after="0"/>
              <w:contextualSpacing/>
              <w:jc w:val="both"/>
              <w:rPr>
                <w:lang w:val="ru-RU"/>
              </w:rPr>
            </w:pPr>
            <w:r>
              <w:rPr>
                <w:lang w:val="ru-RU"/>
              </w:rPr>
              <w:t>к/с 30101810400000000727</w:t>
            </w:r>
          </w:p>
          <w:p>
            <w:pPr>
              <w:pStyle w:val="Normal"/>
              <w:widowControl w:val="false"/>
              <w:rPr>
                <w:lang w:val="ru-RU"/>
              </w:rPr>
            </w:pPr>
            <w:r>
              <w:rPr>
                <w:lang w:val="ru-RU"/>
              </w:rPr>
              <w:t>БИК 040813727</w:t>
            </w:r>
          </w:p>
          <w:p>
            <w:pPr>
              <w:pStyle w:val="Normal"/>
              <w:widowControl w:val="false"/>
              <w:tabs>
                <w:tab w:val="clear" w:pos="708"/>
                <w:tab w:val="left" w:pos="426" w:leader="none"/>
              </w:tabs>
              <w:rPr>
                <w:b/>
                <w:bCs/>
                <w:color w:val="000000"/>
                <w:lang w:val="ru-RU"/>
              </w:rPr>
            </w:pPr>
            <w:r>
              <w:rPr>
                <w:color w:val="000000"/>
                <w:lang w:val="en-US"/>
              </w:rPr>
              <w:t>E</w:t>
            </w:r>
            <w:r>
              <w:rPr>
                <w:color w:val="000000"/>
                <w:lang w:val="ru-RU"/>
              </w:rPr>
              <w:t>-</w:t>
            </w:r>
            <w:r>
              <w:rPr>
                <w:color w:val="000000"/>
                <w:lang w:val="en-US"/>
              </w:rPr>
              <w:t>mail</w:t>
            </w:r>
            <w:r>
              <w:rPr>
                <w:color w:val="000000"/>
                <w:lang w:val="ru-RU"/>
              </w:rPr>
              <w:t xml:space="preserve">: </w:t>
            </w:r>
            <w:r>
              <w:rPr>
                <w:color w:val="000000"/>
              </w:rPr>
              <w:t>sk</w:t>
            </w:r>
            <w:r>
              <w:rPr>
                <w:color w:val="000000"/>
                <w:lang w:val="ru-RU"/>
              </w:rPr>
              <w:t>@</w:t>
            </w:r>
            <w:r>
              <w:rPr>
                <w:color w:val="000000"/>
              </w:rPr>
              <w:t>rushydro</w:t>
            </w:r>
            <w:r>
              <w:rPr>
                <w:color w:val="000000"/>
                <w:lang w:val="ru-RU"/>
              </w:rPr>
              <w:t>.</w:t>
            </w:r>
            <w:r>
              <w:rPr>
                <w:color w:val="000000"/>
              </w:rPr>
              <w:t>r</w:t>
            </w:r>
            <w:r>
              <w:rPr>
                <w:color w:val="000000"/>
                <w:lang w:val="en-US"/>
              </w:rPr>
              <w:t>u</w:t>
            </w:r>
          </w:p>
        </w:tc>
        <w:tc>
          <w:tcPr>
            <w:tcW w:w="5094" w:type="dxa"/>
            <w:tcBorders/>
          </w:tcPr>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tc>
      </w:tr>
      <w:tr>
        <w:trPr>
          <w:trHeight w:val="1696" w:hRule="atLeast"/>
        </w:trPr>
        <w:tc>
          <w:tcPr>
            <w:tcW w:w="5106" w:type="dxa"/>
            <w:tcBorders/>
          </w:tcPr>
          <w:p>
            <w:pPr>
              <w:pStyle w:val="Normal"/>
              <w:widowControl w:val="false"/>
              <w:rPr>
                <w:lang w:val="ru-RU"/>
              </w:rPr>
            </w:pPr>
            <w:r>
              <w:rPr>
                <w:lang w:val="ru-RU"/>
              </w:rPr>
              <w:t>Заместитель Генерального директора по</w:t>
            </w:r>
          </w:p>
          <w:p>
            <w:pPr>
              <w:pStyle w:val="Normal"/>
              <w:widowControl w:val="false"/>
              <w:rPr>
                <w:lang w:val="ru-RU"/>
              </w:rPr>
            </w:pPr>
            <w:r>
              <w:rPr>
                <w:lang w:val="ru-RU"/>
              </w:rPr>
              <w:t>управлению ресурсами АО «СК РусГидро»</w:t>
              <w:br/>
              <w:br/>
              <w:br/>
              <w:br/>
              <w:t>____________________ / Клочков Н.Н.</w:t>
            </w:r>
          </w:p>
        </w:tc>
        <w:tc>
          <w:tcPr>
            <w:tcW w:w="5094" w:type="dxa"/>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t>Приложение № 1</w:t>
      </w:r>
    </w:p>
    <w:p>
      <w:pPr>
        <w:pStyle w:val="Normal"/>
        <w:ind w:firstLine="709"/>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firstLine="709"/>
        <w:jc w:val="right"/>
        <w:rPr>
          <w:sz w:val="22"/>
          <w:szCs w:val="22"/>
          <w:lang w:val="ru-RU"/>
        </w:rPr>
      </w:pPr>
      <w:r>
        <w:rPr>
          <w:sz w:val="22"/>
          <w:szCs w:val="22"/>
          <w:lang w:val="ru-RU"/>
        </w:rPr>
        <w:t xml:space="preserve">             № </w:t>
      </w:r>
      <w:r>
        <w:rPr>
          <w:sz w:val="22"/>
          <w:szCs w:val="22"/>
          <w:lang w:val="ru-RU"/>
        </w:rPr>
        <w:t>________________</w:t>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center"/>
        <w:rPr>
          <w:b/>
          <w:bCs/>
        </w:rPr>
      </w:pPr>
      <w:r>
        <w:rPr>
          <w:b/>
          <w:bCs/>
        </w:rPr>
        <w:t>Технические требования</w:t>
      </w:r>
    </w:p>
    <w:p>
      <w:pPr>
        <w:pStyle w:val="Normal"/>
        <w:ind w:firstLine="709"/>
        <w:jc w:val="center"/>
        <w:rPr>
          <w:b/>
          <w:bCs/>
        </w:rPr>
      </w:pPr>
      <w:r>
        <w:rPr>
          <w:b/>
          <w:bCs/>
        </w:rPr>
      </w:r>
    </w:p>
    <w:p>
      <w:pPr>
        <w:pStyle w:val="Normal"/>
        <w:ind w:firstLine="709"/>
        <w:jc w:val="center"/>
        <w:rPr>
          <w:b/>
          <w:bCs/>
        </w:rPr>
      </w:pPr>
      <w:r>
        <w:rPr>
          <w:b/>
          <w:bCs/>
        </w:rPr>
      </w:r>
    </w:p>
    <w:p>
      <w:pPr>
        <w:pStyle w:val="Normal"/>
        <w:ind w:firstLine="709"/>
        <w:jc w:val="both"/>
        <w:rPr/>
      </w:pPr>
      <w:r>
        <w:rPr/>
        <w:t>Технические требования приложены отдельным файлом:</w:t>
      </w:r>
    </w:p>
    <w:p>
      <w:pPr>
        <w:pStyle w:val="Normal"/>
        <w:ind w:firstLine="709"/>
        <w:jc w:val="both"/>
        <w:rPr/>
      </w:pPr>
      <w:r>
        <w:rPr/>
        <w:t xml:space="preserve">Приложение №1 к проекту договора_Технические требования.docх </w:t>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rFonts w:eastAsia="Calibri"/>
          <w:sz w:val="22"/>
          <w:szCs w:val="22"/>
          <w:lang w:val="ru-RU"/>
        </w:rPr>
        <w:t xml:space="preserve">№ </w:t>
      </w:r>
      <w:r>
        <w:rPr>
          <w:rFonts w:eastAsia="Calibri"/>
          <w:sz w:val="20"/>
          <w:szCs w:val="20"/>
          <w:lang w:val="ru-RU"/>
        </w:rPr>
        <w:t>________________</w:t>
      </w:r>
    </w:p>
    <w:p>
      <w:pPr>
        <w:pStyle w:val="Normal"/>
        <w:jc w:val="right"/>
        <w:rPr>
          <w:lang w:val="ru-RU"/>
        </w:rPr>
      </w:pPr>
      <w:r>
        <w:rPr>
          <w:lang w:val="ru-RU"/>
        </w:rPr>
      </w:r>
    </w:p>
    <w:p>
      <w:pPr>
        <w:pStyle w:val="Normal"/>
        <w:jc w:val="both"/>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58"/>
        <w:gridCol w:w="5159"/>
      </w:tblGrid>
      <w:tr>
        <w:trPr/>
        <w:tc>
          <w:tcPr>
            <w:tcW w:w="4758" w:type="dxa"/>
            <w:tcBorders/>
          </w:tcPr>
          <w:p>
            <w:pPr>
              <w:pStyle w:val="Normal"/>
              <w:widowControl w:val="false"/>
              <w:rPr>
                <w:b/>
              </w:rPr>
            </w:pPr>
            <w:r>
              <w:rPr>
                <w:b/>
              </w:rPr>
              <w:t>Заказчик:</w:t>
            </w:r>
          </w:p>
        </w:tc>
        <w:tc>
          <w:tcPr>
            <w:tcW w:w="5159" w:type="dxa"/>
            <w:tcBorders/>
          </w:tcPr>
          <w:p>
            <w:pPr>
              <w:pStyle w:val="Normal"/>
              <w:widowControl w:val="false"/>
              <w:rPr>
                <w:b/>
              </w:rPr>
            </w:pPr>
            <w:r>
              <w:rPr>
                <w:b/>
                <w:lang w:val="ru-RU"/>
              </w:rPr>
              <w:t>Исполнитель</w:t>
            </w:r>
            <w:r>
              <w:rPr>
                <w:b/>
              </w:rPr>
              <w:t>:</w:t>
            </w:r>
          </w:p>
        </w:tc>
      </w:tr>
      <w:tr>
        <w:trPr/>
        <w:tc>
          <w:tcPr>
            <w:tcW w:w="4758" w:type="dxa"/>
            <w:tcBorders/>
          </w:tcPr>
          <w:p>
            <w:pPr>
              <w:pStyle w:val="Normal"/>
              <w:widowControl w:val="false"/>
              <w:rPr>
                <w:lang w:val="ru-RU"/>
              </w:rPr>
            </w:pPr>
            <w:r>
              <w:rPr>
                <w:lang w:val="ru-RU"/>
              </w:rPr>
              <w:t>Заместитель Генерального директора по</w:t>
            </w:r>
          </w:p>
          <w:p>
            <w:pPr>
              <w:pStyle w:val="Normal"/>
              <w:widowControl w:val="false"/>
              <w:rPr>
                <w:lang w:val="ru-RU"/>
              </w:rPr>
            </w:pPr>
            <w:r>
              <w:rPr>
                <w:lang w:val="ru-RU"/>
              </w:rPr>
              <w:t>управлению ресурсами АО «СК РусГидро»</w:t>
              <w:br/>
              <w:br/>
              <w:br/>
              <w:br/>
              <w:t>____________________ / Клочков Н.Н.</w:t>
            </w:r>
          </w:p>
        </w:tc>
        <w:tc>
          <w:tcPr>
            <w:tcW w:w="5159" w:type="dxa"/>
            <w:tcBorders/>
          </w:tcPr>
          <w:p>
            <w:pPr>
              <w:pStyle w:val="Normal"/>
              <w:widowControl w:val="false"/>
              <w:tabs>
                <w:tab w:val="clear" w:pos="708"/>
                <w:tab w:val="left" w:pos="426" w:leader="none"/>
              </w:tabs>
              <w:rPr>
                <w:b w:val="false"/>
                <w:bCs w:val="false"/>
              </w:rPr>
            </w:pPr>
            <w:r>
              <w:rPr>
                <w:b w:val="false"/>
                <w:bCs w:val="false"/>
                <w:color w:val="000000"/>
                <w:lang w:val="ru-RU"/>
              </w:rPr>
              <w:t>_____________________</w:t>
            </w:r>
          </w:p>
          <w:p>
            <w:pPr>
              <w:pStyle w:val="Normal"/>
              <w:widowControl w:val="false"/>
              <w:tabs>
                <w:tab w:val="clear" w:pos="708"/>
                <w:tab w:val="left" w:pos="426" w:leader="none"/>
              </w:tabs>
              <w:rPr>
                <w:b/>
                <w:bCs/>
                <w:color w:val="000000"/>
                <w:lang w:val="ru-RU"/>
              </w:rPr>
            </w:pPr>
            <w:r>
              <w:rPr>
                <w:b/>
                <w:bCs/>
                <w:color w:val="000000"/>
                <w:lang w:val="ru-RU"/>
              </w:rPr>
              <w:t xml:space="preserve">                                                               </w:t>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t xml:space="preserve">____________________ / </w:t>
            </w:r>
            <w:r>
              <w:rPr>
                <w:b w:val="false"/>
                <w:bCs w:val="false"/>
                <w:color w:val="000000"/>
                <w:lang w:val="ru-RU"/>
              </w:rPr>
              <w:t>___________</w:t>
            </w:r>
          </w:p>
          <w:p>
            <w:pPr>
              <w:pStyle w:val="Normal"/>
              <w:widowControl w:val="false"/>
              <w:rPr>
                <w:lang w:val="ru-RU"/>
              </w:rPr>
            </w:pPr>
            <w:r>
              <w:rPr>
                <w:lang w:val="ru-RU"/>
              </w:rPr>
            </w:r>
            <w:bookmarkStart w:id="24" w:name="_Hlk105762085_Копия_1_Копия_1"/>
            <w:bookmarkStart w:id="25" w:name="_Hlk105762085_Копия_1_Копия_1"/>
            <w:bookmarkEnd w:id="25"/>
          </w:p>
        </w:tc>
      </w:tr>
    </w:tbl>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rFonts w:eastAsia="Calibri"/>
          <w:sz w:val="22"/>
          <w:szCs w:val="22"/>
          <w:lang w:val="ru-RU"/>
        </w:rPr>
        <w:t xml:space="preserve">№ </w:t>
      </w:r>
      <w:r>
        <w:rPr>
          <w:rFonts w:eastAsia="Calibri"/>
          <w:sz w:val="20"/>
          <w:szCs w:val="20"/>
          <w:lang w:val="ru-RU"/>
        </w:rPr>
        <w:t>________________</w:t>
      </w:r>
    </w:p>
    <w:p>
      <w:pPr>
        <w:pStyle w:val="Normal"/>
        <w:jc w:val="right"/>
        <w:rPr>
          <w:sz w:val="22"/>
          <w:szCs w:val="22"/>
          <w:lang w:val="ru-RU"/>
        </w:rPr>
      </w:pPr>
      <w:r>
        <w:rPr>
          <w:sz w:val="22"/>
          <w:szCs w:val="22"/>
          <w:lang w:val="ru-RU"/>
        </w:rPr>
      </w:r>
    </w:p>
    <w:p>
      <w:pPr>
        <w:pStyle w:val="Normal"/>
        <w:jc w:val="center"/>
        <w:rPr>
          <w:lang w:val="ru-RU"/>
        </w:rPr>
      </w:pPr>
      <w:r>
        <w:rPr>
          <w:lang w:val="ru-RU"/>
        </w:rPr>
      </w:r>
    </w:p>
    <w:p>
      <w:pPr>
        <w:pStyle w:val="Normal"/>
        <w:jc w:val="center"/>
        <w:rPr>
          <w:highlight w:val="none"/>
          <w:shd w:fill="auto" w:val="clear"/>
        </w:rPr>
      </w:pPr>
      <w:r>
        <w:rPr>
          <w:b/>
          <w:bCs/>
          <w:shd w:fill="auto" w:val="clear"/>
          <w:lang w:val="ru-RU"/>
        </w:rPr>
        <w:t>Расчет стоимости</w:t>
      </w:r>
    </w:p>
    <w:p>
      <w:pPr>
        <w:pStyle w:val="Normal"/>
        <w:jc w:val="center"/>
        <w:rPr>
          <w:b w:val="false"/>
          <w:bCs w:val="false"/>
          <w:i/>
          <w:i/>
          <w:iCs/>
        </w:rPr>
      </w:pPr>
      <w:r>
        <w:rPr>
          <w:b w:val="false"/>
          <w:bCs w:val="false"/>
          <w:i/>
          <w:iCs/>
          <w:shd w:fill="auto" w:val="clear"/>
          <w:lang w:val="ru-RU"/>
        </w:rPr>
        <w:t>(Примерное оформление, подлежит редакции после предоставления Участником коммерческого предложения)</w:t>
      </w:r>
    </w:p>
    <w:p>
      <w:pPr>
        <w:pStyle w:val="Normal"/>
        <w:jc w:val="center"/>
        <w:rPr>
          <w:highlight w:val="none"/>
          <w:shd w:fill="auto" w:val="clear"/>
          <w:lang w:val="ru-RU"/>
        </w:rPr>
      </w:pPr>
      <w:r>
        <w:rPr>
          <w:shd w:fill="auto" w:val="clear"/>
          <w:lang w:val="ru-RU"/>
        </w:rPr>
      </w:r>
    </w:p>
    <w:p>
      <w:pPr>
        <w:pStyle w:val="Normal"/>
        <w:jc w:val="center"/>
        <w:rPr>
          <w:i/>
          <w:i/>
          <w:lang w:val="ru-RU"/>
        </w:rPr>
      </w:pPr>
      <w:r>
        <w:rPr>
          <w:i/>
          <w:lang w:val="ru-RU"/>
        </w:rPr>
      </w:r>
    </w:p>
    <w:p>
      <w:pPr>
        <w:pStyle w:val="Normal"/>
        <w:jc w:val="center"/>
        <w:rPr>
          <w:lang w:val="ru-RU"/>
        </w:rPr>
      </w:pPr>
      <w:r>
        <w:rPr>
          <w:lang w:val="ru-RU"/>
        </w:rPr>
      </w:r>
    </w:p>
    <w:tbl>
      <w:tblPr>
        <w:tblStyle w:val="TableGrid"/>
        <w:tblW w:w="10017" w:type="dxa"/>
        <w:jc w:val="left"/>
        <w:tblInd w:w="44" w:type="dxa"/>
        <w:tblLayout w:type="fixed"/>
        <w:tblCellMar>
          <w:top w:w="51" w:type="dxa"/>
          <w:left w:w="108" w:type="dxa"/>
          <w:bottom w:w="0" w:type="dxa"/>
          <w:right w:w="53" w:type="dxa"/>
        </w:tblCellMar>
        <w:tblLook w:val="04a0" w:noHBand="0" w:noVBand="1" w:firstColumn="1" w:lastRow="0" w:lastColumn="0" w:firstRow="1"/>
      </w:tblPr>
      <w:tblGrid>
        <w:gridCol w:w="667"/>
        <w:gridCol w:w="4366"/>
        <w:gridCol w:w="850"/>
        <w:gridCol w:w="1084"/>
        <w:gridCol w:w="1303"/>
        <w:gridCol w:w="1746"/>
      </w:tblGrid>
      <w:tr>
        <w:trPr>
          <w:trHeight w:val="716" w:hRule="atLeast"/>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35"/>
              <w:ind w:left="130" w:hanging="0"/>
              <w:jc w:val="left"/>
              <w:rPr>
                <w:kern w:val="0"/>
                <w:sz w:val="22"/>
                <w:szCs w:val="22"/>
                <w:lang w:val="ru-RU" w:eastAsia="ru-RU" w:bidi="ar-SA"/>
              </w:rPr>
            </w:pPr>
            <w:r>
              <w:rPr>
                <w:b/>
                <w:kern w:val="0"/>
                <w:sz w:val="22"/>
                <w:szCs w:val="22"/>
                <w:lang w:val="ru-RU" w:eastAsia="ru-RU" w:bidi="ar-SA"/>
              </w:rPr>
              <w:t>№</w:t>
            </w:r>
          </w:p>
          <w:p>
            <w:pPr>
              <w:pStyle w:val="Normal"/>
              <w:widowControl w:val="false"/>
              <w:spacing w:lineRule="auto" w:line="259" w:before="0" w:after="0"/>
              <w:ind w:left="0" w:right="50" w:hanging="0"/>
              <w:jc w:val="center"/>
              <w:rPr>
                <w:kern w:val="0"/>
                <w:sz w:val="22"/>
                <w:szCs w:val="22"/>
                <w:lang w:val="ru-RU" w:eastAsia="ru-RU" w:bidi="ar-SA"/>
              </w:rPr>
            </w:pPr>
            <w:r>
              <w:rPr>
                <w:b/>
                <w:kern w:val="0"/>
                <w:sz w:val="22"/>
                <w:szCs w:val="22"/>
                <w:lang w:val="ru-RU" w:eastAsia="ru-RU" w:bidi="ar-SA"/>
              </w:rPr>
              <w:t>п/п</w:t>
            </w:r>
          </w:p>
        </w:tc>
        <w:tc>
          <w:tcPr>
            <w:tcW w:w="43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left="0" w:right="56" w:hanging="0"/>
              <w:jc w:val="center"/>
              <w:rPr>
                <w:kern w:val="0"/>
                <w:sz w:val="22"/>
                <w:szCs w:val="22"/>
                <w:lang w:val="ru-RU" w:eastAsia="ru-RU" w:bidi="ar-SA"/>
              </w:rPr>
            </w:pPr>
            <w:r>
              <w:rPr>
                <w:b/>
                <w:kern w:val="0"/>
                <w:sz w:val="22"/>
                <w:szCs w:val="22"/>
                <w:lang w:val="ru-RU" w:eastAsia="ru-RU" w:bidi="ar-SA"/>
              </w:rPr>
              <w:t>Наименование услуг</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left="0" w:hanging="0"/>
              <w:jc w:val="center"/>
              <w:rPr/>
            </w:pPr>
            <w:r>
              <w:rPr>
                <w:b/>
                <w:kern w:val="0"/>
                <w:sz w:val="22"/>
                <w:szCs w:val="22"/>
                <w:lang w:val="ru-RU" w:eastAsia="ru-RU" w:bidi="ar-SA"/>
              </w:rPr>
              <w:t>Ед. изм.</w:t>
            </w:r>
          </w:p>
        </w:tc>
        <w:tc>
          <w:tcPr>
            <w:tcW w:w="1084" w:type="dxa"/>
            <w:tcBorders>
              <w:top w:val="single" w:sz="4" w:space="0" w:color="000000"/>
              <w:left w:val="single" w:sz="4" w:space="0" w:color="000000"/>
              <w:bottom w:val="single" w:sz="4" w:space="0" w:color="000000"/>
            </w:tcBorders>
          </w:tcPr>
          <w:p>
            <w:pPr>
              <w:pStyle w:val="Normal"/>
              <w:widowControl w:val="false"/>
              <w:spacing w:lineRule="auto" w:line="259" w:before="0" w:after="0"/>
              <w:ind w:left="111" w:hanging="0"/>
              <w:jc w:val="center"/>
              <w:rPr/>
            </w:pPr>
            <w:r>
              <w:rPr>
                <w:b/>
                <w:kern w:val="0"/>
                <w:sz w:val="22"/>
                <w:szCs w:val="22"/>
                <w:lang w:val="ru-RU" w:eastAsia="ru-RU" w:bidi="ar-SA"/>
              </w:rPr>
              <w:t>Кол-во</w:t>
            </w:r>
          </w:p>
        </w:tc>
        <w:tc>
          <w:tcPr>
            <w:tcW w:w="1303" w:type="dxa"/>
            <w:tcBorders>
              <w:top w:val="single" w:sz="4" w:space="0" w:color="000000"/>
              <w:left w:val="single" w:sz="4" w:space="0" w:color="000000"/>
              <w:bottom w:val="single" w:sz="4" w:space="0" w:color="000000"/>
            </w:tcBorders>
          </w:tcPr>
          <w:p>
            <w:pPr>
              <w:pStyle w:val="Normal"/>
              <w:widowControl w:val="false"/>
              <w:spacing w:lineRule="auto" w:line="259" w:before="0" w:after="0"/>
              <w:ind w:left="111" w:hanging="0"/>
              <w:jc w:val="center"/>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Цена ед. услуги, в руб. без НДС</w:t>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left="111" w:hanging="0"/>
              <w:jc w:val="center"/>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 xml:space="preserve">Итоговая стоимость услуг, руб. без НДС  </w:t>
            </w:r>
          </w:p>
        </w:tc>
      </w:tr>
      <w:tr>
        <w:trPr>
          <w:trHeight w:val="684" w:hRule="atLeast"/>
        </w:trPr>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left"/>
              <w:rPr>
                <w:kern w:val="0"/>
                <w:sz w:val="22"/>
                <w:szCs w:val="22"/>
                <w:lang w:val="ru-RU" w:eastAsia="ru-RU" w:bidi="ar-SA"/>
              </w:rPr>
            </w:pPr>
            <w:r>
              <w:rPr>
                <w:kern w:val="0"/>
                <w:sz w:val="22"/>
                <w:szCs w:val="22"/>
                <w:lang w:val="ru-RU" w:eastAsia="ru-RU" w:bidi="ar-SA"/>
              </w:rPr>
              <w:t>1</w:t>
            </w:r>
          </w:p>
        </w:tc>
        <w:tc>
          <w:tcPr>
            <w:tcW w:w="43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left="0" w:right="53" w:hanging="0"/>
              <w:rPr>
                <w:kern w:val="0"/>
                <w:sz w:val="22"/>
                <w:szCs w:val="22"/>
                <w:lang w:val="ru-RU" w:eastAsia="ru-RU" w:bidi="ar-SA"/>
              </w:rPr>
            </w:pPr>
            <w:r>
              <w:rPr>
                <w:kern w:val="0"/>
                <w:sz w:val="22"/>
                <w:szCs w:val="22"/>
                <w:lang w:val="ru-RU" w:eastAsia="ru-RU" w:bidi="ar-SA"/>
              </w:rPr>
              <w:t>Оказание услуг по аэрофотосъёмке с применением беспилотных авиационных систем (БАС) на объекте филиала ПАО «РусГидро» - «Новосибирская ГЭС»</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right="57" w:hanging="0"/>
              <w:jc w:val="center"/>
              <w:rPr>
                <w:kern w:val="0"/>
                <w:sz w:val="22"/>
                <w:szCs w:val="22"/>
                <w:lang w:val="ru-RU" w:eastAsia="ru-RU" w:bidi="ar-SA"/>
              </w:rPr>
            </w:pPr>
            <w:r>
              <w:rPr>
                <w:kern w:val="0"/>
                <w:sz w:val="22"/>
                <w:szCs w:val="22"/>
                <w:lang w:val="ru-RU" w:eastAsia="ru-RU" w:bidi="ar-SA"/>
              </w:rPr>
              <w:t>м2</w:t>
            </w:r>
          </w:p>
        </w:tc>
        <w:tc>
          <w:tcPr>
            <w:tcW w:w="1084" w:type="dxa"/>
            <w:tcBorders>
              <w:top w:val="single" w:sz="4" w:space="0" w:color="000000"/>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t>208 558</w:t>
            </w:r>
          </w:p>
        </w:tc>
        <w:tc>
          <w:tcPr>
            <w:tcW w:w="1303" w:type="dxa"/>
            <w:tcBorders>
              <w:top w:val="single" w:sz="4" w:space="0" w:color="000000"/>
              <w:left w:val="single" w:sz="4" w:space="0" w:color="000000"/>
              <w:bottom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c>
          <w:tcPr>
            <w:tcW w:w="17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kern w:val="0"/>
                <w:sz w:val="22"/>
                <w:szCs w:val="22"/>
                <w:lang w:val="ru-RU" w:eastAsia="ru-RU" w:bidi="ar-SA"/>
              </w:rPr>
            </w:pPr>
            <w:r>
              <w:rPr>
                <w:kern w:val="0"/>
                <w:sz w:val="22"/>
                <w:szCs w:val="22"/>
                <w:lang w:val="ru-RU" w:eastAsia="ru-RU" w:bidi="ar-SA"/>
              </w:rPr>
            </w:r>
          </w:p>
        </w:tc>
      </w:tr>
      <w:tr>
        <w:trPr>
          <w:trHeight w:val="410" w:hRule="atLeast"/>
        </w:trPr>
        <w:tc>
          <w:tcPr>
            <w:tcW w:w="8270" w:type="dxa"/>
            <w:gridSpan w:val="5"/>
            <w:tcBorders>
              <w:top w:val="single" w:sz="4" w:space="0" w:color="000000"/>
              <w:left w:val="single" w:sz="4" w:space="0" w:color="000000"/>
              <w:bottom w:val="single" w:sz="4" w:space="0" w:color="000000"/>
            </w:tcBorders>
            <w:vAlign w:val="center"/>
          </w:tcPr>
          <w:p>
            <w:pPr>
              <w:pStyle w:val="Normal"/>
              <w:widowControl w:val="false"/>
              <w:spacing w:lineRule="auto" w:line="259" w:before="0" w:after="0"/>
              <w:ind w:left="0" w:hanging="0"/>
              <w:jc w:val="right"/>
              <w:rPr>
                <w:b/>
                <w:bCs/>
                <w:kern w:val="0"/>
                <w:sz w:val="22"/>
                <w:szCs w:val="22"/>
                <w:lang w:val="ru-RU" w:eastAsia="ru-RU" w:bidi="ar-SA"/>
              </w:rPr>
            </w:pPr>
            <w:r>
              <w:rPr>
                <w:b/>
                <w:bCs/>
                <w:kern w:val="0"/>
                <w:sz w:val="22"/>
                <w:szCs w:val="22"/>
                <w:lang w:val="ru-RU" w:eastAsia="ru-RU" w:bidi="ar-SA"/>
              </w:rPr>
              <w:t>Итого без НДС,руб.</w:t>
            </w:r>
          </w:p>
        </w:tc>
        <w:tc>
          <w:tcPr>
            <w:tcW w:w="1746"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b/>
                <w:bCs/>
                <w:kern w:val="0"/>
                <w:sz w:val="22"/>
                <w:szCs w:val="22"/>
                <w:lang w:val="ru-RU" w:eastAsia="ru-RU" w:bidi="ar-SA"/>
              </w:rPr>
            </w:pPr>
            <w:r>
              <w:rPr>
                <w:b/>
                <w:bCs/>
                <w:kern w:val="0"/>
                <w:sz w:val="22"/>
                <w:szCs w:val="22"/>
                <w:lang w:val="ru-RU" w:eastAsia="ru-RU" w:bidi="ar-SA"/>
              </w:rPr>
            </w:r>
          </w:p>
        </w:tc>
      </w:tr>
      <w:tr>
        <w:trPr>
          <w:trHeight w:val="410" w:hRule="atLeast"/>
        </w:trPr>
        <w:tc>
          <w:tcPr>
            <w:tcW w:w="8270" w:type="dxa"/>
            <w:gridSpan w:val="5"/>
            <w:tcBorders>
              <w:left w:val="single" w:sz="4" w:space="0" w:color="000000"/>
              <w:bottom w:val="single" w:sz="4" w:space="0" w:color="000000"/>
            </w:tcBorders>
            <w:vAlign w:val="center"/>
          </w:tcPr>
          <w:p>
            <w:pPr>
              <w:pStyle w:val="Normal"/>
              <w:widowControl w:val="false"/>
              <w:spacing w:lineRule="auto" w:line="259" w:before="0" w:after="0"/>
              <w:ind w:left="0" w:hanging="0"/>
              <w:jc w:val="right"/>
              <w:rPr>
                <w:b/>
                <w:bCs/>
                <w:kern w:val="0"/>
                <w:sz w:val="22"/>
                <w:szCs w:val="22"/>
                <w:lang w:val="ru-RU" w:eastAsia="ru-RU" w:bidi="ar-SA"/>
              </w:rPr>
            </w:pPr>
            <w:r>
              <w:rPr>
                <w:b/>
                <w:bCs/>
                <w:kern w:val="0"/>
                <w:sz w:val="22"/>
                <w:szCs w:val="22"/>
                <w:lang w:val="ru-RU" w:eastAsia="ru-RU" w:bidi="ar-SA"/>
              </w:rPr>
              <w:t>НДС_____%, руб.</w:t>
            </w:r>
          </w:p>
        </w:tc>
        <w:tc>
          <w:tcPr>
            <w:tcW w:w="1746"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b/>
                <w:bCs/>
                <w:kern w:val="0"/>
                <w:sz w:val="22"/>
                <w:szCs w:val="22"/>
                <w:lang w:val="ru-RU" w:eastAsia="ru-RU" w:bidi="ar-SA"/>
              </w:rPr>
            </w:pPr>
            <w:r>
              <w:rPr>
                <w:b/>
                <w:bCs/>
                <w:kern w:val="0"/>
                <w:sz w:val="22"/>
                <w:szCs w:val="22"/>
                <w:lang w:val="ru-RU" w:eastAsia="ru-RU" w:bidi="ar-SA"/>
              </w:rPr>
            </w:r>
          </w:p>
        </w:tc>
      </w:tr>
      <w:tr>
        <w:trPr>
          <w:trHeight w:val="410" w:hRule="atLeast"/>
        </w:trPr>
        <w:tc>
          <w:tcPr>
            <w:tcW w:w="8270" w:type="dxa"/>
            <w:gridSpan w:val="5"/>
            <w:tcBorders>
              <w:left w:val="single" w:sz="4" w:space="0" w:color="000000"/>
              <w:bottom w:val="single" w:sz="4" w:space="0" w:color="000000"/>
            </w:tcBorders>
            <w:vAlign w:val="center"/>
          </w:tcPr>
          <w:p>
            <w:pPr>
              <w:pStyle w:val="Normal"/>
              <w:widowControl w:val="false"/>
              <w:spacing w:lineRule="auto" w:line="259" w:before="0" w:after="0"/>
              <w:ind w:left="0" w:hanging="0"/>
              <w:jc w:val="right"/>
              <w:rPr>
                <w:b/>
                <w:bCs/>
                <w:kern w:val="0"/>
                <w:sz w:val="22"/>
                <w:szCs w:val="22"/>
                <w:lang w:val="ru-RU" w:eastAsia="ru-RU" w:bidi="ar-SA"/>
              </w:rPr>
            </w:pPr>
            <w:r>
              <w:rPr>
                <w:b/>
                <w:bCs/>
                <w:kern w:val="0"/>
                <w:sz w:val="22"/>
                <w:szCs w:val="22"/>
                <w:lang w:val="ru-RU" w:eastAsia="ru-RU" w:bidi="ar-SA"/>
              </w:rPr>
              <w:t>Итого с НДС,руб.</w:t>
            </w:r>
          </w:p>
        </w:tc>
        <w:tc>
          <w:tcPr>
            <w:tcW w:w="1746" w:type="dxa"/>
            <w:tcBorders>
              <w:left w:val="single" w:sz="4" w:space="0" w:color="000000"/>
              <w:bottom w:val="single" w:sz="4" w:space="0" w:color="000000"/>
              <w:right w:val="single" w:sz="4" w:space="0" w:color="000000"/>
            </w:tcBorders>
            <w:vAlign w:val="center"/>
          </w:tcPr>
          <w:p>
            <w:pPr>
              <w:pStyle w:val="Normal"/>
              <w:widowControl w:val="false"/>
              <w:spacing w:lineRule="auto" w:line="259" w:before="0" w:after="0"/>
              <w:ind w:left="0" w:hanging="0"/>
              <w:jc w:val="center"/>
              <w:rPr>
                <w:b/>
                <w:bCs/>
                <w:kern w:val="0"/>
                <w:sz w:val="22"/>
                <w:szCs w:val="22"/>
                <w:lang w:val="ru-RU" w:eastAsia="ru-RU" w:bidi="ar-SA"/>
              </w:rPr>
            </w:pPr>
            <w:r>
              <w:rPr>
                <w:b/>
                <w:bCs/>
                <w:kern w:val="0"/>
                <w:sz w:val="22"/>
                <w:szCs w:val="22"/>
                <w:lang w:val="ru-RU" w:eastAsia="ru-RU" w:bidi="ar-SA"/>
              </w:rPr>
            </w:r>
          </w:p>
        </w:tc>
      </w:tr>
    </w:tbl>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p>
      <w:pPr>
        <w:pStyle w:val="Normal"/>
        <w:jc w:val="center"/>
        <w:rPr>
          <w:i/>
          <w:i/>
          <w:lang w:val="ru-RU"/>
        </w:rPr>
      </w:pPr>
      <w:r>
        <w:rPr>
          <w:i/>
          <w:lang w:val="ru-RU"/>
        </w:rPr>
      </w:r>
    </w:p>
    <w:tbl>
      <w:tblPr>
        <w:tblW w:w="99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70"/>
        <w:gridCol w:w="5047"/>
      </w:tblGrid>
      <w:tr>
        <w:trPr/>
        <w:tc>
          <w:tcPr>
            <w:tcW w:w="4870" w:type="dxa"/>
            <w:tcBorders/>
          </w:tcPr>
          <w:p>
            <w:pPr>
              <w:pStyle w:val="Normal"/>
              <w:widowControl w:val="false"/>
              <w:rPr>
                <w:b/>
              </w:rPr>
            </w:pPr>
            <w:r>
              <w:rPr>
                <w:b/>
              </w:rPr>
              <w:t>Заказчик:</w:t>
            </w:r>
          </w:p>
        </w:tc>
        <w:tc>
          <w:tcPr>
            <w:tcW w:w="5047" w:type="dxa"/>
            <w:tcBorders/>
          </w:tcPr>
          <w:p>
            <w:pPr>
              <w:pStyle w:val="Normal"/>
              <w:widowControl w:val="false"/>
              <w:rPr>
                <w:b/>
              </w:rPr>
            </w:pPr>
            <w:r>
              <w:rPr>
                <w:b/>
                <w:lang w:val="ru-RU"/>
              </w:rPr>
              <w:t>Исполнитель</w:t>
            </w:r>
            <w:r>
              <w:rPr>
                <w:b/>
              </w:rPr>
              <w:t>:</w:t>
            </w:r>
          </w:p>
        </w:tc>
      </w:tr>
      <w:tr>
        <w:trPr/>
        <w:tc>
          <w:tcPr>
            <w:tcW w:w="4870" w:type="dxa"/>
            <w:tcBorders/>
          </w:tcPr>
          <w:p>
            <w:pPr>
              <w:pStyle w:val="Normal"/>
              <w:widowControl w:val="false"/>
              <w:rPr>
                <w:lang w:val="ru-RU"/>
              </w:rPr>
            </w:pPr>
            <w:r>
              <w:rPr>
                <w:lang w:val="ru-RU"/>
              </w:rPr>
              <w:t>Заместитель Генерального директора по</w:t>
            </w:r>
          </w:p>
          <w:p>
            <w:pPr>
              <w:pStyle w:val="Normal"/>
              <w:widowControl w:val="false"/>
              <w:rPr>
                <w:lang w:val="ru-RU"/>
              </w:rPr>
            </w:pPr>
            <w:r>
              <w:rPr>
                <w:lang w:val="ru-RU"/>
              </w:rPr>
              <w:t>управлению ресурсами АО «СК РусГидро»</w:t>
              <w:br/>
              <w:br/>
              <w:br/>
              <w:br/>
              <w:t>____________________ / Клочков Н.Н.</w:t>
            </w:r>
          </w:p>
          <w:p>
            <w:pPr>
              <w:pStyle w:val="Normal"/>
              <w:widowControl w:val="false"/>
              <w:rPr>
                <w:lang w:val="ru-RU"/>
              </w:rPr>
            </w:pPr>
            <w:r>
              <w:rPr>
                <w:lang w:val="ru-RU"/>
              </w:rPr>
            </w:r>
          </w:p>
        </w:tc>
        <w:tc>
          <w:tcPr>
            <w:tcW w:w="5047" w:type="dxa"/>
            <w:tcBorders/>
          </w:tcPr>
          <w:p>
            <w:pPr>
              <w:pStyle w:val="Normal"/>
              <w:widowControl w:val="false"/>
              <w:tabs>
                <w:tab w:val="clear" w:pos="708"/>
                <w:tab w:val="left" w:pos="426" w:leader="none"/>
              </w:tabs>
              <w:rPr>
                <w:b w:val="false"/>
                <w:bCs w:val="false"/>
              </w:rPr>
            </w:pPr>
            <w:r>
              <w:rPr>
                <w:b w:val="false"/>
                <w:bCs w:val="false"/>
                <w:color w:val="000000"/>
                <w:lang w:val="ru-RU"/>
              </w:rPr>
              <w:t>_____________________</w:t>
            </w:r>
          </w:p>
          <w:p>
            <w:pPr>
              <w:pStyle w:val="Normal"/>
              <w:widowControl w:val="false"/>
              <w:tabs>
                <w:tab w:val="clear" w:pos="708"/>
                <w:tab w:val="left" w:pos="426" w:leader="none"/>
              </w:tabs>
              <w:rPr>
                <w:b/>
                <w:bCs/>
                <w:color w:val="000000"/>
                <w:lang w:val="ru-RU"/>
              </w:rPr>
            </w:pPr>
            <w:r>
              <w:rPr>
                <w:b/>
                <w:bCs/>
                <w:color w:val="000000"/>
                <w:lang w:val="ru-RU"/>
              </w:rPr>
              <w:t xml:space="preserve">                                                               </w:t>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r>
          </w:p>
          <w:p>
            <w:pPr>
              <w:pStyle w:val="Normal"/>
              <w:widowControl w:val="false"/>
              <w:tabs>
                <w:tab w:val="clear" w:pos="708"/>
                <w:tab w:val="left" w:pos="426" w:leader="none"/>
              </w:tabs>
              <w:rPr>
                <w:b/>
                <w:bCs/>
                <w:color w:val="000000"/>
                <w:lang w:val="ru-RU"/>
              </w:rPr>
            </w:pPr>
            <w:r>
              <w:rPr>
                <w:b/>
                <w:bCs/>
                <w:color w:val="000000"/>
                <w:lang w:val="ru-RU"/>
              </w:rPr>
              <w:t xml:space="preserve">____________________ / </w:t>
            </w:r>
            <w:r>
              <w:rPr>
                <w:b w:val="false"/>
                <w:bCs w:val="false"/>
                <w:color w:val="000000"/>
                <w:lang w:val="ru-RU"/>
              </w:rPr>
              <w:t>___________</w:t>
            </w:r>
          </w:p>
          <w:p>
            <w:pPr>
              <w:pStyle w:val="Normal"/>
              <w:widowControl w:val="false"/>
              <w:rPr>
                <w:lang w:val="ru-RU"/>
              </w:rPr>
            </w:pPr>
            <w:r>
              <w:rPr>
                <w:lang w:val="ru-RU"/>
              </w:rPr>
            </w:r>
            <w:bookmarkStart w:id="26" w:name="_Hlk105762085_Копия_1_Копия_4"/>
            <w:bookmarkStart w:id="27" w:name="_Hlk105762085_Копия_1_Копия_4"/>
            <w:bookmarkEnd w:id="27"/>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left"/>
        <w:rPr/>
      </w:pPr>
      <w:r>
        <w:rPr/>
        <w:t xml:space="preserve">                                       </w:t>
      </w:r>
    </w:p>
    <w:sectPr>
      <w:headerReference w:type="default" r:id="rId3"/>
      <w:headerReference w:type="first" r:id="rId4"/>
      <w:footerReference w:type="default" r:id="rId5"/>
      <w:footerReference w:type="first" r:id="rId6"/>
      <w:type w:val="nextPage"/>
      <w:pgSz w:w="11906" w:h="16838"/>
      <w:pgMar w:left="1134" w:right="567"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sz w:val="20"/>
        <w:szCs w:val="20"/>
        <w:lang w:val="ru-RU"/>
      </w:rPr>
    </w:pPr>
    <w:r>
      <w:rPr>
        <w:color w:val="A6A6A6"/>
        <w:sz w:val="20"/>
        <w:szCs w:val="20"/>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sz w:val="26"/>
        <w:u w:val="none"/>
        <w:b/>
        <w:kern w:val="0"/>
        <w:szCs w:val="26"/>
        <w:bCs/>
        <w:rFonts w:ascii="Times New Roman" w:hAnsi="Times New Roman" w:eastAsia="Times New Roman" w:cs="Times New Roman"/>
        <w:color w:val="auto"/>
        <w:lang w:val="ru-RU" w:eastAsia="ru-RU" w:bidi="ar-SA"/>
      </w:rPr>
    </w:lvl>
    <w:lvl w:ilvl="1">
      <w:start w:val="1"/>
      <w:numFmt w:val="decimal"/>
      <w:lvlText w:val="%1.%2."/>
      <w:lvlJc w:val="left"/>
      <w:pPr>
        <w:tabs>
          <w:tab w:val="num" w:pos="0"/>
        </w:tabs>
        <w:ind w:left="1000" w:hanging="432"/>
      </w:pPr>
      <w:rPr>
        <w:sz w:val="24"/>
        <w:u w:val="none"/>
        <w:b w:val="false"/>
        <w:kern w:val="0"/>
        <w:szCs w:val="24"/>
        <w:bCs w:val="false"/>
        <w:rFonts w:ascii="Times New Roman" w:hAnsi="Times New Roman" w:eastAsia="Times New Roman" w:cs="Times New Roman"/>
        <w:color w:val="auto"/>
        <w:lang w:val="ru-RU" w:eastAsia="ru-RU" w:bidi="ar-SA"/>
      </w:rPr>
    </w:lvl>
    <w:lvl w:ilvl="2">
      <w:start w:val="1"/>
      <w:numFmt w:val="decimal"/>
      <w:lvlText w:val="%1.%2.%3."/>
      <w:lvlJc w:val="left"/>
      <w:pPr>
        <w:tabs>
          <w:tab w:val="num" w:pos="0"/>
        </w:tabs>
        <w:ind w:left="1781" w:hanging="504"/>
      </w:pPr>
      <w:rPr>
        <w:sz w:val="24"/>
        <w:u w:val="none"/>
        <w:b w:val="false"/>
        <w:kern w:val="0"/>
        <w:szCs w:val="24"/>
        <w:bCs w:val="false"/>
        <w:rFonts w:ascii="Times New Roman" w:hAnsi="Times New Roman" w:eastAsia="Times New Roman" w:cs="Times New Roman"/>
        <w:color w:val="auto"/>
        <w:lang w:val="ru-RU" w:eastAsia="ru-RU" w:bidi="ar-SA"/>
      </w:rPr>
    </w:lvl>
    <w:lvl w:ilvl="3">
      <w:start w:val="1"/>
      <w:numFmt w:val="decimal"/>
      <w:lvlText w:val="%1.%2.%3.%4."/>
      <w:lvlJc w:val="left"/>
      <w:pPr>
        <w:tabs>
          <w:tab w:val="num" w:pos="0"/>
        </w:tabs>
        <w:ind w:left="1728" w:hanging="648"/>
      </w:pPr>
      <w:rPr>
        <w:sz w:val="24"/>
        <w:u w:val="none"/>
        <w:b w:val="false"/>
        <w:kern w:val="0"/>
        <w:szCs w:val="24"/>
        <w:bCs/>
        <w:rFonts w:ascii="Times New Roman" w:hAnsi="Times New Roman" w:eastAsia="Times New Roman" w:cs="Times New Roman"/>
        <w:color w:val="auto"/>
        <w:lang w:val="ru-RU" w:eastAsia="ru-RU" w:bidi="ar-SA"/>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4">
    <w:lvl w:ilvl="0">
      <w:start w:val="2"/>
      <w:numFmt w:val="decimal"/>
      <w:lvlText w:val="%1."/>
      <w:lvlJc w:val="left"/>
      <w:pPr>
        <w:tabs>
          <w:tab w:val="num" w:pos="0"/>
        </w:tabs>
        <w:ind w:left="540" w:hanging="540"/>
      </w:pPr>
      <w:rPr>
        <w:sz w:val="24"/>
        <w:u w:val="none"/>
        <w:b/>
        <w:kern w:val="0"/>
        <w:szCs w:val="24"/>
        <w:bCs/>
        <w:rFonts w:ascii="Times New Roman" w:hAnsi="Times New Roman" w:eastAsia="Times New Roman" w:cs="Times New Roman"/>
        <w:color w:val="auto"/>
        <w:lang w:val="ru-RU" w:eastAsia="ru-RU" w:bidi="ar-SA"/>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1">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lvl w:ilvl="0">
      <w:start w:val="1"/>
      <w:numFmt w:val="bullet"/>
      <w:lvlText w:val="ꟷ"/>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90"/>
  <w:embedSystemFonts/>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uiPriority w:val="9"/>
    <w:qFormat/>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uiPriority w:val="9"/>
    <w:unhideWhenUsed/>
    <w:qFormat/>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uiPriority w:val="9"/>
    <w:unhideWhenUsed/>
    <w:qFormat/>
    <w:pPr>
      <w:keepNext w:val="true"/>
      <w:keepLines/>
      <w:spacing w:before="200" w:after="0"/>
      <w:outlineLvl w:val="2"/>
    </w:pPr>
    <w:rPr>
      <w:rFonts w:ascii="Cambria" w:hAnsi="Cambria"/>
      <w:b/>
      <w:bCs/>
      <w:color w:val="4F81BD"/>
      <w:lang w:eastAsia="x-none"/>
    </w:rPr>
  </w:style>
  <w:style w:type="paragraph" w:styleId="Heading4">
    <w:name w:val="Heading 4"/>
    <w:basedOn w:val="Heading3"/>
    <w:next w:val="Normal"/>
    <w:qFormat/>
    <w:pPr>
      <w:numPr>
        <w:ilvl w:val="1"/>
      </w:numPr>
      <w:outlineLvl w:val="3"/>
    </w:pPr>
    <w:rPr>
      <w:bCs/>
    </w:rPr>
  </w:style>
  <w:style w:type="character" w:styleId="DefaultParagraphFont" w:default="1">
    <w:name w:val="Default Paragraph Font"/>
    <w:uiPriority w:val="1"/>
    <w:semiHidden/>
    <w:unhideWhenUsed/>
    <w:qFormat/>
    <w:rPr/>
  </w:style>
  <w:style w:type="character" w:styleId="Style5" w:customStyle="1">
    <w:name w:val="Символ сноски"/>
    <w:qFormat/>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Pr>
      <w:sz w:val="16"/>
      <w:szCs w:val="16"/>
      <w:lang w:val="en-GB"/>
    </w:rPr>
  </w:style>
  <w:style w:type="character" w:styleId="31" w:customStyle="1">
    <w:name w:val="Заголовок 3 Знак"/>
    <w:qFormat/>
    <w:rPr>
      <w:rFonts w:ascii="Cambria" w:hAnsi="Cambria" w:eastAsia="Times New Roman" w:cs="Times New Roman"/>
      <w:b/>
      <w:bCs/>
      <w:color w:val="4F81BD"/>
      <w:sz w:val="24"/>
      <w:szCs w:val="24"/>
      <w:lang w:val="en-GB"/>
    </w:rPr>
  </w:style>
  <w:style w:type="character" w:styleId="Annotationreference">
    <w:name w:val="annotation reference"/>
    <w:qFormat/>
    <w:rPr>
      <w:sz w:val="16"/>
      <w:szCs w:val="16"/>
    </w:rPr>
  </w:style>
  <w:style w:type="character" w:styleId="Style6" w:customStyle="1">
    <w:name w:val="Текст примечания Знак"/>
    <w:link w:val="Annotationtext"/>
    <w:qFormat/>
    <w:rPr>
      <w:lang w:val="en-GB"/>
    </w:rPr>
  </w:style>
  <w:style w:type="character" w:styleId="Style7" w:customStyle="1">
    <w:name w:val="Тема примечания Знак"/>
    <w:link w:val="Annotationsubject"/>
    <w:qFormat/>
    <w:rPr>
      <w:b/>
      <w:bCs/>
      <w:lang w:val="en-GB"/>
    </w:rPr>
  </w:style>
  <w:style w:type="character" w:styleId="32" w:customStyle="1">
    <w:name w:val="Основной текст с отступом 3 Знак"/>
    <w:link w:val="BodyTextIndent3"/>
    <w:qFormat/>
    <w:rPr>
      <w:sz w:val="16"/>
      <w:szCs w:val="16"/>
    </w:rPr>
  </w:style>
  <w:style w:type="character" w:styleId="Style8" w:customStyle="1">
    <w:name w:val="Основной текст Знак"/>
    <w:qFormat/>
    <w:rPr>
      <w:sz w:val="28"/>
      <w:szCs w:val="28"/>
    </w:rPr>
  </w:style>
  <w:style w:type="character" w:styleId="Style9" w:customStyle="1">
    <w:name w:val="Заголовок Знак"/>
    <w:qFormat/>
    <w:rPr>
      <w:b/>
      <w:bCs/>
      <w:sz w:val="24"/>
      <w:szCs w:val="24"/>
    </w:rPr>
  </w:style>
  <w:style w:type="character" w:styleId="Style10" w:customStyle="1">
    <w:name w:val="Верхний колонтитул Знак"/>
    <w:qFormat/>
    <w:rPr>
      <w:sz w:val="24"/>
      <w:szCs w:val="24"/>
      <w:lang w:val="en-GB"/>
    </w:rPr>
  </w:style>
  <w:style w:type="character" w:styleId="Style11" w:customStyle="1">
    <w:name w:val="Нижний колонтитул Знак"/>
    <w:qFormat/>
    <w:rPr>
      <w:sz w:val="24"/>
      <w:szCs w:val="24"/>
      <w:lang w:val="en-GB"/>
    </w:rPr>
  </w:style>
  <w:style w:type="character" w:styleId="2" w:customStyle="1">
    <w:name w:val="Основной текст 2 Знак"/>
    <w:link w:val="BodyText2"/>
    <w:qFormat/>
    <w:rPr>
      <w:sz w:val="24"/>
      <w:szCs w:val="24"/>
    </w:rPr>
  </w:style>
  <w:style w:type="character" w:styleId="Style12" w:customStyle="1">
    <w:name w:val="Основной текст с отступом Знак"/>
    <w:qFormat/>
    <w:rPr>
      <w:sz w:val="24"/>
      <w:szCs w:val="24"/>
    </w:rPr>
  </w:style>
  <w:style w:type="character" w:styleId="Strong">
    <w:name w:val="Strong"/>
    <w:qFormat/>
    <w:rPr>
      <w:b/>
      <w:bCs/>
    </w:rPr>
  </w:style>
  <w:style w:type="character" w:styleId="Style13" w:customStyle="1">
    <w:name w:val="Текст сноски Знак"/>
    <w:qFormat/>
    <w:rPr>
      <w:lang w:val="en-GB"/>
    </w:rPr>
  </w:style>
  <w:style w:type="character" w:styleId="Hyperlink">
    <w:name w:val="Hyperlink"/>
    <w:rPr>
      <w:color w:val="0000FF"/>
      <w:u w:val="single"/>
    </w:rPr>
  </w:style>
  <w:style w:type="character" w:styleId="FollowedHyperlink">
    <w:name w:val="FollowedHyperlink"/>
    <w:rPr>
      <w:color w:val="800080"/>
      <w:u w:val="single"/>
    </w:rPr>
  </w:style>
  <w:style w:type="character" w:styleId="33" w:customStyle="1">
    <w:name w:val="3. Подпункт Знак"/>
    <w:link w:val="34"/>
    <w:qFormat/>
    <w:rPr>
      <w:b/>
      <w:bCs/>
      <w:sz w:val="24"/>
      <w:szCs w:val="24"/>
      <w:lang w:val="x-none" w:eastAsia="x-none"/>
    </w:rPr>
  </w:style>
  <w:style w:type="character" w:styleId="Style14" w:customStyle="1">
    <w:name w:val="Абзац списка Знак"/>
    <w:link w:val="ListParagraph"/>
    <w:qFormat/>
    <w:rPr>
      <w:sz w:val="24"/>
      <w:szCs w:val="24"/>
    </w:rPr>
  </w:style>
  <w:style w:type="character" w:styleId="Style15" w:customStyle="1">
    <w:name w:val="Название Знак"/>
    <w:qFormat/>
    <w:rPr>
      <w:b/>
      <w:bCs/>
      <w:sz w:val="24"/>
      <w:szCs w:val="24"/>
    </w:rPr>
  </w:style>
  <w:style w:type="character" w:styleId="1" w:customStyle="1">
    <w:name w:val="Неразрешенное упоминание1"/>
    <w:basedOn w:val="DefaultParagraphFont"/>
    <w:qFormat/>
    <w:rPr>
      <w:color w:val="605E5C"/>
      <w:shd w:fill="E1DFDD" w:val="clear"/>
    </w:rPr>
  </w:style>
  <w:style w:type="character" w:styleId="Style16" w:customStyle="1">
    <w:name w:val="Маркеры"/>
    <w:qFormat/>
    <w:rPr>
      <w:rFonts w:ascii="OpenSymbol" w:hAnsi="OpenSymbol" w:eastAsia="OpenSymbol" w:cs="OpenSymbol"/>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Style18" w:customStyle="1">
    <w:name w:val="комментарий"/>
    <w:qFormat/>
    <w:rPr>
      <w:b/>
      <w:i/>
      <w:shd w:fill="FFFF99" w:val="clear"/>
    </w:rPr>
  </w:style>
  <w:style w:type="character" w:styleId="Style19" w:customStyle="1">
    <w:name w:val="Символ нумерации"/>
    <w:qFormat/>
    <w:rPr>
      <w:rFonts w:ascii="Times New Roman" w:hAnsi="Times New Roman" w:eastAsia="Times New Roman" w:cs="Times New Roman"/>
      <w:b w:val="false"/>
      <w:bCs w:val="false"/>
      <w:color w:val="auto"/>
      <w:kern w:val="0"/>
      <w:sz w:val="20"/>
      <w:szCs w:val="20"/>
      <w:lang w:val="ru-RU" w:eastAsia="ru-RU" w:bidi="ar-SA"/>
    </w:rPr>
  </w:style>
  <w:style w:type="character" w:styleId="Style20">
    <w:name w:val="Ссылка указателя"/>
    <w:qFormat/>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next w:val="BodyText"/>
    <w:link w:val="Style9"/>
    <w:uiPriority w:val="10"/>
    <w:qFormat/>
    <w:pPr>
      <w:widowControl w:val="false"/>
      <w:overflowPunct w:val="true"/>
      <w:spacing w:before="0" w:after="120"/>
      <w:jc w:val="center"/>
      <w:textAlignment w:val="baseline"/>
    </w:pPr>
    <w:rPr>
      <w:b/>
      <w:bCs/>
      <w:sz w:val="32"/>
      <w:szCs w:val="20"/>
      <w:lang w:val="ru-RU"/>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1" w:customStyle="1">
    <w:name w:val="Знак Знак Знак Знак Знак Знак Знак Знак Знак1"/>
    <w:basedOn w:val="Normal"/>
    <w:qFormat/>
    <w:pPr>
      <w:spacing w:lineRule="exact" w:line="240" w:before="0" w:after="160"/>
      <w:jc w:val="both"/>
    </w:pPr>
    <w:rPr>
      <w:rFonts w:ascii="Verdana" w:hAnsi="Verdana"/>
      <w:sz w:val="22"/>
      <w:szCs w:val="20"/>
      <w:lang w:val="en-US" w:eastAsia="en-US"/>
    </w:rPr>
  </w:style>
  <w:style w:type="paragraph" w:styleId="12" w:customStyle="1">
    <w:name w:val="Обычный1"/>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qFormat/>
    <w:pPr/>
    <w:rPr>
      <w:rFonts w:ascii="Consolas" w:hAnsi="Consolas" w:eastAsia="Calibri"/>
      <w:sz w:val="21"/>
      <w:szCs w:val="21"/>
      <w:lang w:eastAsia="en-US"/>
    </w:rPr>
  </w:style>
  <w:style w:type="paragraph" w:styleId="Style23" w:customStyle="1">
    <w:name w:val="Подпункт договора"/>
    <w:basedOn w:val="Normal"/>
    <w:qFormat/>
    <w:pPr>
      <w:tabs>
        <w:tab w:val="clear" w:pos="708"/>
        <w:tab w:val="left" w:pos="360" w:leader="none"/>
      </w:tabs>
      <w:jc w:val="both"/>
    </w:pPr>
    <w:rPr>
      <w:rFonts w:ascii="Arial" w:hAnsi="Arial"/>
      <w:sz w:val="20"/>
      <w:szCs w:val="20"/>
      <w:lang w:val="ru-RU"/>
    </w:rPr>
  </w:style>
  <w:style w:type="paragraph" w:styleId="Style24" w:customStyle="1">
    <w:name w:val="Пункт"/>
    <w:basedOn w:val="Normal"/>
    <w:qFormat/>
    <w:pPr>
      <w:numPr>
        <w:ilvl w:val="2"/>
        <w:numId w:val="1"/>
      </w:numPr>
      <w:jc w:val="both"/>
    </w:pPr>
    <w:rPr>
      <w:sz w:val="28"/>
      <w:lang w:val="ru-RU"/>
    </w:rPr>
  </w:style>
  <w:style w:type="paragraph" w:styleId="Style25" w:customStyle="1">
    <w:name w:val="Подпункт"/>
    <w:basedOn w:val="Style24"/>
    <w:qFormat/>
    <w:pPr>
      <w:numPr>
        <w:ilvl w:val="3"/>
      </w:numPr>
    </w:pPr>
    <w:rPr/>
  </w:style>
  <w:style w:type="paragraph" w:styleId="Style26" w:customStyle="1">
    <w:name w:val="Подподпункт"/>
    <w:basedOn w:val="Style25"/>
    <w:qFormat/>
    <w:pPr>
      <w:numPr>
        <w:ilvl w:val="4"/>
      </w:numPr>
    </w:pPr>
    <w:rPr/>
  </w:style>
  <w:style w:type="paragraph" w:styleId="Style27" w:customStyle="1">
    <w:name w:val="Пункт договора"/>
    <w:basedOn w:val="Normal"/>
    <w:qFormat/>
    <w:pPr>
      <w:widowControl w:val="false"/>
      <w:jc w:val="both"/>
    </w:pPr>
    <w:rPr>
      <w:rFonts w:ascii="Arial" w:hAnsi="Arial"/>
      <w:sz w:val="20"/>
      <w:szCs w:val="20"/>
      <w:lang w:val="ru-RU"/>
    </w:rPr>
  </w:style>
  <w:style w:type="paragraph" w:styleId="Style28" w:customStyle="1">
    <w:name w:val="Знак"/>
    <w:basedOn w:val="Normal"/>
    <w:qFormat/>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pPr/>
    <w:rPr>
      <w:sz w:val="20"/>
      <w:szCs w:val="20"/>
      <w:lang w:eastAsia="x-none"/>
    </w:rPr>
  </w:style>
  <w:style w:type="paragraph" w:styleId="Style29" w:customStyle="1">
    <w:name w:val="Раздел договора"/>
    <w:basedOn w:val="Normal"/>
    <w:next w:val="Style27"/>
    <w:qFormat/>
    <w:pPr>
      <w:keepNext w:val="true"/>
      <w:keepLines/>
      <w:widowControl w:val="false"/>
      <w:spacing w:before="240" w:after="200"/>
    </w:pPr>
    <w:rPr>
      <w:rFonts w:ascii="Arial" w:hAnsi="Arial"/>
      <w:b/>
      <w:caps/>
      <w:sz w:val="20"/>
      <w:szCs w:val="20"/>
      <w:lang w:val="ru-RU"/>
    </w:rPr>
  </w:style>
  <w:style w:type="paragraph" w:styleId="BalloonText">
    <w:name w:val="Balloon Text"/>
    <w:basedOn w:val="Normal"/>
    <w:qFormat/>
    <w:pPr/>
    <w:rPr>
      <w:rFonts w:ascii="Tahoma" w:hAnsi="Tahoma" w:cs="Tahoma"/>
      <w:sz w:val="16"/>
      <w:szCs w:val="16"/>
    </w:rPr>
  </w:style>
  <w:style w:type="paragraph" w:styleId="BodyText3">
    <w:name w:val="Body Text 3"/>
    <w:basedOn w:val="Normal"/>
    <w:link w:val="3"/>
    <w:qFormat/>
    <w:pPr>
      <w:spacing w:before="0" w:after="120"/>
    </w:pPr>
    <w:rPr>
      <w:sz w:val="16"/>
      <w:szCs w:val="16"/>
      <w:lang w:eastAsia="x-none"/>
    </w:rPr>
  </w:style>
  <w:style w:type="paragraph" w:styleId="ConsNormal" w:customStyle="1">
    <w:name w:val="ConsNormal"/>
    <w:qFormat/>
    <w:pPr>
      <w:widowControl/>
      <w:suppressAutoHyphens w:val="true"/>
      <w:overflowPunct w:val="fals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30" w:customStyle="1">
    <w:name w:val="Знак Знак Знак Знак Знак Знак Знак Знак Знак"/>
    <w:basedOn w:val="Normal"/>
    <w:qFormat/>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qFormat/>
    <w:pPr>
      <w:spacing w:before="0" w:after="0"/>
      <w:ind w:left="720" w:hanging="0"/>
      <w:contextualSpacing/>
    </w:pPr>
    <w:rPr>
      <w:lang w:val="ru-RU"/>
    </w:rPr>
  </w:style>
  <w:style w:type="paragraph" w:styleId="Annotationtext">
    <w:name w:val="annotation text"/>
    <w:basedOn w:val="Normal"/>
    <w:link w:val="Style6"/>
    <w:qFormat/>
    <w:pPr/>
    <w:rPr>
      <w:sz w:val="20"/>
      <w:szCs w:val="20"/>
      <w:lang w:eastAsia="x-none"/>
    </w:rPr>
  </w:style>
  <w:style w:type="paragraph" w:styleId="Annotationsubject">
    <w:name w:val="annotation subject"/>
    <w:basedOn w:val="Annotationtext"/>
    <w:next w:val="Annotationtext"/>
    <w:link w:val="Style7"/>
    <w:qFormat/>
    <w:pPr/>
    <w:rPr>
      <w:b/>
      <w:bCs/>
    </w:rPr>
  </w:style>
  <w:style w:type="paragraph" w:styleId="BodyTextIndent3">
    <w:name w:val="Body Text Indent 3"/>
    <w:basedOn w:val="Normal"/>
    <w:link w:val="32"/>
    <w:qFormat/>
    <w:pPr>
      <w:spacing w:lineRule="auto" w:line="360" w:before="0" w:after="120"/>
      <w:ind w:left="283" w:firstLine="567"/>
      <w:jc w:val="both"/>
    </w:pPr>
    <w:rPr>
      <w:sz w:val="16"/>
      <w:szCs w:val="16"/>
      <w:lang w:val="x-none" w:eastAsia="x-none"/>
    </w:rPr>
  </w:style>
  <w:style w:type="paragraph" w:styleId="Revision">
    <w:name w:val="Revision"/>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pPr>
      <w:widowControl w:val="false"/>
      <w:suppressAutoHyphens w:val="true"/>
      <w:overflowPunct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Style31" w:customStyle="1">
    <w:name w:val="Колонтитул"/>
    <w:basedOn w:val="Normal"/>
    <w:qFormat/>
    <w:pPr/>
    <w:rPr/>
  </w:style>
  <w:style w:type="paragraph" w:styleId="Header">
    <w:name w:val="Header"/>
    <w:basedOn w:val="Normal"/>
    <w:link w:val="Style10"/>
    <w:pPr>
      <w:tabs>
        <w:tab w:val="clear" w:pos="708"/>
        <w:tab w:val="center" w:pos="4677" w:leader="none"/>
        <w:tab w:val="right" w:pos="9355" w:leader="none"/>
      </w:tabs>
    </w:pPr>
    <w:rPr>
      <w:lang w:eastAsia="x-none"/>
    </w:rPr>
  </w:style>
  <w:style w:type="paragraph" w:styleId="Footer">
    <w:name w:val="Footer"/>
    <w:basedOn w:val="Normal"/>
    <w:link w:val="Style11"/>
    <w:pPr>
      <w:tabs>
        <w:tab w:val="clear" w:pos="708"/>
        <w:tab w:val="center" w:pos="4677" w:leader="none"/>
        <w:tab w:val="right" w:pos="9355" w:leader="none"/>
      </w:tabs>
    </w:pPr>
    <w:rPr>
      <w:lang w:eastAsia="x-none"/>
    </w:rPr>
  </w:style>
  <w:style w:type="paragraph" w:styleId="BodyText2">
    <w:name w:val="Body Text 2"/>
    <w:basedOn w:val="Normal"/>
    <w:link w:val="2"/>
    <w:qFormat/>
    <w:pPr>
      <w:spacing w:lineRule="auto" w:line="480" w:before="0" w:after="120"/>
    </w:pPr>
    <w:rPr>
      <w:lang w:val="x-none" w:eastAsia="x-none"/>
    </w:rPr>
  </w:style>
  <w:style w:type="paragraph" w:styleId="BodyTextIndent">
    <w:name w:val="Body Text Indent"/>
    <w:basedOn w:val="Normal"/>
    <w:link w:val="Style12"/>
    <w:pPr>
      <w:spacing w:before="0" w:after="120"/>
      <w:ind w:left="283" w:hanging="0"/>
    </w:pPr>
    <w:rPr>
      <w:lang w:val="x-none" w:eastAsia="x-none"/>
    </w:rPr>
  </w:style>
  <w:style w:type="paragraph" w:styleId="333" w:customStyle="1">
    <w:name w:val="Пункт 3.3.3"/>
    <w:basedOn w:val="Normal"/>
    <w:qFormat/>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pPr>
      <w:widowControl w:val="false"/>
      <w:overflowPunct w:val="true"/>
      <w:spacing w:before="120" w:after="120"/>
      <w:jc w:val="both"/>
      <w:textAlignment w:val="baseline"/>
    </w:pPr>
    <w:rPr>
      <w:b/>
      <w:bCs/>
      <w:lang w:val="ru-RU"/>
    </w:rPr>
  </w:style>
  <w:style w:type="paragraph" w:styleId="13" w:customStyle="1">
    <w:name w:val="1. Статья"/>
    <w:basedOn w:val="Heading3"/>
    <w:qFormat/>
    <w:pPr>
      <w:keepNext w:val="false"/>
      <w:keepLines w:val="false"/>
      <w:widowControl w:val="false"/>
      <w:numPr>
        <w:ilvl w:val="0"/>
        <w:numId w:val="3"/>
      </w:numPr>
      <w:tabs>
        <w:tab w:val="clear" w:pos="708"/>
        <w:tab w:val="left" w:pos="2340" w:leader="none"/>
      </w:tabs>
      <w:overflowPunct w:val="true"/>
      <w:spacing w:before="0" w:after="0"/>
      <w:ind w:left="0"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pPr>
      <w:keepNext w:val="false"/>
      <w:keepLines w:val="false"/>
      <w:widowControl w:val="false"/>
      <w:numPr>
        <w:ilvl w:val="1"/>
        <w:numId w:val="3"/>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pPr>
      <w:keepNext w:val="false"/>
      <w:keepLines w:val="false"/>
      <w:widowControl w:val="false"/>
      <w:numPr>
        <w:ilvl w:val="2"/>
        <w:numId w:val="3"/>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paragraph" w:styleId="Style32" w:customStyle="1">
    <w:name w:val="Таблица шапка"/>
    <w:basedOn w:val="Normal"/>
    <w:qFormat/>
    <w:pPr>
      <w:keepNext w:val="true"/>
      <w:spacing w:before="40" w:after="40"/>
      <w:ind w:left="57" w:right="57" w:hanging="0"/>
    </w:pPr>
    <w:rPr>
      <w:sz w:val="22"/>
      <w:szCs w:val="26"/>
    </w:rPr>
  </w:style>
  <w:style w:type="paragraph" w:styleId="Style33" w:customStyle="1">
    <w:name w:val="Таблица"/>
    <w:basedOn w:val="Normal"/>
    <w:qFormat/>
    <w:pPr>
      <w:keepNext w:val="true"/>
      <w:spacing w:before="60" w:after="60"/>
      <w:jc w:val="center"/>
    </w:pPr>
    <w:rPr>
      <w:rFonts w:eastAsia="Calibri"/>
      <w:b/>
      <w:lang w:val="x-none" w:eastAsia="x-none"/>
    </w:rPr>
  </w:style>
  <w:style w:type="paragraph" w:styleId="Style34" w:customStyle="1">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paragraph" w:styleId="TOC1">
    <w:name w:val="TOC 1"/>
    <w:basedOn w:val="Normal"/>
    <w:next w:val="Normal"/>
    <w:pPr>
      <w:tabs>
        <w:tab w:val="clear" w:pos="708"/>
        <w:tab w:val="left" w:pos="560" w:leader="none"/>
        <w:tab w:val="right" w:pos="9911" w:leader="dot"/>
      </w:tabs>
      <w:spacing w:before="120" w:after="0"/>
      <w:jc w:val="both"/>
    </w:pPr>
    <w:rPr>
      <w:rFonts w:cs="Calibri Light (Заголовки)"/>
      <w:b/>
      <w:bCs/>
      <w:sz w:val="24"/>
      <w:szCs w:val="24"/>
    </w:rPr>
  </w:style>
  <w:style w:type="paragraph" w:styleId="TOC4">
    <w:name w:val="TOC 4"/>
    <w:basedOn w:val="Normal"/>
    <w:next w:val="Normal"/>
    <w:pPr>
      <w:ind w:left="560" w:hanging="0"/>
    </w:pPr>
    <w:rPr>
      <w:rFonts w:cs="Aptos" w:cstheme="minorHAnsi"/>
      <w:sz w:val="20"/>
      <w:szCs w:val="20"/>
    </w:rPr>
  </w:style>
  <w:style w:type="paragraph" w:styleId="TOC3">
    <w:name w:val="TOC 3"/>
    <w:basedOn w:val="Normal"/>
    <w:next w:val="Normal"/>
    <w:pPr>
      <w:ind w:left="280" w:hanging="0"/>
    </w:pPr>
    <w:rPr>
      <w:rFonts w:cs="Aptos" w:cstheme="minorHAnsi"/>
      <w:sz w:val="20"/>
      <w:szCs w:val="20"/>
    </w:rPr>
  </w:style>
  <w:style w:type="numbering" w:styleId="NoList" w:default="1">
    <w:name w:val="No List"/>
    <w:uiPriority w:val="99"/>
    <w:semiHidden/>
    <w:unhideWhenUsed/>
    <w:qFormat/>
  </w:style>
  <w:style w:type="numbering" w:styleId="6287113141" w:customStyle="1">
    <w:name w:val="6287113141"/>
    <w:qFormat/>
  </w:style>
  <w:style w:type="numbering" w:styleId="30127710911" w:customStyle="1">
    <w:name w:val="30127710911"/>
    <w:qFormat/>
  </w:style>
  <w:style w:type="numbering" w:styleId="33362175721" w:customStyle="1">
    <w:name w:val="33362175721"/>
    <w:qFormat/>
  </w:style>
  <w:style w:type="numbering" w:styleId="17772831821" w:customStyle="1">
    <w:name w:val="17772831821"/>
    <w:qFormat/>
  </w:style>
  <w:style w:type="numbering" w:styleId="39431094841" w:customStyle="1">
    <w:name w:val="39431094841"/>
    <w:qFormat/>
  </w:style>
  <w:style w:type="numbering" w:styleId="16722728921" w:customStyle="1">
    <w:name w:val="16722728921"/>
    <w:qFormat/>
  </w:style>
  <w:style w:type="numbering" w:styleId="21135455341" w:customStyle="1">
    <w:name w:val="21135455341"/>
    <w:qFormat/>
  </w:style>
  <w:style w:type="numbering" w:styleId="37641386611" w:customStyle="1">
    <w:name w:val="37641386611"/>
    <w:qFormat/>
  </w:style>
  <w:style w:type="numbering" w:styleId="24335663901" w:customStyle="1">
    <w:name w:val="24335663901"/>
    <w:qFormat/>
  </w:style>
  <w:style w:type="numbering" w:styleId="29037573581" w:customStyle="1">
    <w:name w:val="29037573581"/>
    <w:qFormat/>
  </w:style>
  <w:style w:type="numbering" w:styleId="20691172111" w:customStyle="1">
    <w:name w:val="20691172111"/>
    <w:qFormat/>
  </w:style>
  <w:style w:type="numbering" w:styleId="31313796721" w:customStyle="1">
    <w:name w:val="31313796721"/>
    <w:qFormat/>
  </w:style>
  <w:style w:type="numbering" w:styleId="29613645591" w:customStyle="1">
    <w:name w:val="29613645591"/>
    <w:qFormat/>
  </w:style>
  <w:style w:type="numbering" w:styleId="34168424201" w:customStyle="1">
    <w:name w:val="34168424201"/>
    <w:qFormat/>
  </w:style>
  <w:style w:type="numbering" w:styleId="19164902231" w:customStyle="1">
    <w:name w:val="19164902231"/>
    <w:qFormat/>
  </w:style>
  <w:style w:type="numbering" w:styleId="26664324121" w:customStyle="1">
    <w:name w:val="26664324121"/>
    <w:qFormat/>
  </w:style>
  <w:style w:type="numbering" w:styleId="11941455201" w:customStyle="1">
    <w:name w:val="11941455201"/>
    <w:qFormat/>
  </w:style>
  <w:style w:type="numbering" w:styleId="27305395091" w:customStyle="1">
    <w:name w:val="27305395091"/>
    <w:qFormat/>
  </w:style>
  <w:style w:type="table" w:default="1" w:styleId="a4">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654</TotalTime>
  <Application>AlterOffice/3.4.0.9$Linux_X86_64 LibreOffice_project/b8daf9e823b1a5463a2f48435ddc2e8696e7d4fc</Application>
  <AppVersion>15.0000</AppVersion>
  <Pages>18</Pages>
  <Words>6519</Words>
  <Characters>46696</Characters>
  <CharactersWithSpaces>53081</CharactersWithSpaces>
  <Paragraphs>323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2023-11-09T01:12:00Z</dcterms:created>
  <dc:creator>UK VoHEC</dc:creator>
  <dc:description/>
  <dc:language>ru-RU</dc:language>
  <cp:lastModifiedBy>lisitchenkoma@corp.gidroogk.com</cp:lastModifiedBy>
  <cp:lastPrinted>2022-01-13T22:05:00Z</cp:lastPrinted>
  <dcterms:modified xsi:type="dcterms:W3CDTF">2026-08-05T16:11:33Z</dcterms:modified>
  <cp:revision>72</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r8>0</vt:r8>
  </property>
</Properties>
</file>