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Style w:val="Style8"/>
          <w:b w:val="false"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«</w:t>
      </w:r>
      <w:bookmarkStart w:id="0" w:name="_Hlk235774207"/>
      <w:r>
        <w:rPr>
          <w:rFonts w:eastAsia="Calibri"/>
          <w:b/>
          <w:bCs/>
          <w:sz w:val="26"/>
          <w:szCs w:val="26"/>
        </w:rPr>
        <w:t xml:space="preserve">ОКПД2 74.20.24.000 Оказание услуг по аэрофотосъёмке с применением беспилотных авиационных систем (БАС) на объекте </w:t>
      </w:r>
      <w:bookmarkEnd w:id="0"/>
      <w:r>
        <w:rPr>
          <w:rStyle w:val="Style8"/>
          <w:rFonts w:eastAsia="Calibri" w:cs="Times New Roman"/>
          <w:b/>
          <w:bCs/>
          <w:i w:val="false"/>
          <w:iCs w:val="false"/>
          <w:color w:val="000000"/>
          <w:kern w:val="0"/>
          <w:sz w:val="26"/>
          <w:szCs w:val="26"/>
          <w:shd w:fill="auto" w:val="clear"/>
          <w:lang w:val="ru-RU" w:eastAsia="ru-RU" w:bidi="ar-SA"/>
        </w:rPr>
        <w:t>филиала ПАО «РусГидро» - «Новосибирская ГЭС»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_ 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b/>
          <w:bCs/>
          <w:i w:val="false"/>
          <w:iCs w:val="false"/>
          <w:shd w:fill="auto" w:val="clear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235781481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_Toc235781481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5781482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_Toc235781482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5781483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_Toc235781483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5781484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_Toc235781484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5781485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_Toc235781485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578148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_Toc235781486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5781487">
            <w:r>
              <w:rPr>
                <w:webHidden/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_Toc235781487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5781488">
            <w:r>
              <w:rPr>
                <w:webHidden/>
                <w:rStyle w:val="Style14"/>
                <w:iCs/>
                <w:vanish w:val="false"/>
              </w:rPr>
              <w:t>1.6.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Иные требования и сведения общего характера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_Toc235781488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5781489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_Toc235781489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5781490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_Toc235781490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5781491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_Toc235781491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578149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_Toc235781492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5781493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_Toc235781493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5781494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_Toc235781494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235781495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_Toc235781495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578149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_Toc235781496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4. Требования к качеству продукции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5781501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_Toc235781501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235781502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заключения (исполнения) договора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_Toc235781502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14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" w:name="_Toc235781481"/>
      <w:r>
        <w:rPr>
          <w:lang w:val="ru-RU"/>
        </w:rPr>
        <w:t>Общие сведения</w:t>
      </w:r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235781482"/>
      <w:bookmarkStart w:id="3" w:name="_Toc46743505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5"/>
              <w:widowControl w:val="false"/>
              <w:numPr>
                <w:ilvl w:val="7"/>
                <w:numId w:val="4"/>
              </w:numPr>
              <w:spacing w:before="120" w:after="0"/>
              <w:rPr/>
            </w:pPr>
            <w:r>
              <w:rPr/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5"/>
              <w:widowControl w:val="false"/>
              <w:numPr>
                <w:ilvl w:val="7"/>
                <w:numId w:val="4"/>
              </w:numPr>
              <w:spacing w:before="120" w:after="0"/>
              <w:rPr/>
            </w:pPr>
            <w:r>
              <w:rPr/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5"/>
              <w:widowControl w:val="false"/>
              <w:numPr>
                <w:ilvl w:val="7"/>
                <w:numId w:val="4"/>
              </w:numPr>
              <w:spacing w:before="120" w:after="0"/>
              <w:rPr/>
            </w:pPr>
            <w:r>
              <w:rPr/>
              <w:t xml:space="preserve">Заказчик 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5"/>
              <w:widowControl w:val="false"/>
              <w:numPr>
                <w:ilvl w:val="7"/>
                <w:numId w:val="4"/>
              </w:numPr>
              <w:spacing w:before="120" w:after="0"/>
              <w:rPr/>
            </w:pPr>
            <w:r>
              <w:rPr/>
              <w:t>АО «СК РусГидро»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5"/>
              <w:widowControl w:val="false"/>
              <w:numPr>
                <w:ilvl w:val="7"/>
                <w:numId w:val="4"/>
              </w:numPr>
              <w:spacing w:before="120" w:after="0"/>
              <w:rPr/>
            </w:pPr>
            <w:r>
              <w:rPr/>
              <w:t>ГЭС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5"/>
              <w:widowControl w:val="false"/>
              <w:numPr>
                <w:ilvl w:val="7"/>
                <w:numId w:val="4"/>
              </w:numPr>
              <w:spacing w:before="120" w:after="0"/>
              <w:rPr/>
            </w:pPr>
            <w:r>
              <w:rPr/>
              <w:t>Гидроэлектростанция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5"/>
              <w:widowControl w:val="false"/>
              <w:numPr>
                <w:ilvl w:val="7"/>
                <w:numId w:val="4"/>
              </w:numPr>
              <w:spacing w:before="120" w:after="0"/>
              <w:rPr/>
            </w:pPr>
            <w:r>
              <w:rPr/>
              <w:t>ЦМР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5"/>
              <w:widowControl w:val="false"/>
              <w:numPr>
                <w:ilvl w:val="7"/>
                <w:numId w:val="4"/>
              </w:numPr>
              <w:spacing w:before="120" w:after="0"/>
              <w:rPr/>
            </w:pPr>
            <w:r>
              <w:rPr/>
              <w:t>Цифровая модель рельефа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5"/>
              <w:widowControl w:val="false"/>
              <w:numPr>
                <w:ilvl w:val="7"/>
                <w:numId w:val="4"/>
              </w:numPr>
              <w:spacing w:before="120" w:after="0"/>
              <w:rPr/>
            </w:pPr>
            <w:r>
              <w:rPr/>
              <w:t>ЛЭП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5"/>
              <w:widowControl w:val="false"/>
              <w:numPr>
                <w:ilvl w:val="7"/>
                <w:numId w:val="4"/>
              </w:numPr>
              <w:spacing w:before="120" w:after="0"/>
              <w:rPr/>
            </w:pPr>
            <w:r>
              <w:rPr/>
              <w:t>Линия электропередач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5"/>
              <w:widowControl w:val="false"/>
              <w:numPr>
                <w:ilvl w:val="7"/>
                <w:numId w:val="4"/>
              </w:numPr>
              <w:spacing w:before="120" w:after="0"/>
              <w:rPr/>
            </w:pPr>
            <w:r>
              <w:rPr/>
              <w:t xml:space="preserve">ГИС 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35"/>
              <w:widowControl w:val="false"/>
              <w:numPr>
                <w:ilvl w:val="7"/>
                <w:numId w:val="4"/>
              </w:numPr>
              <w:spacing w:before="120" w:after="0"/>
              <w:rPr/>
            </w:pPr>
            <w:r>
              <w:rPr/>
              <w:t>Геоинформационная система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4" w:name="_Toc46743506"/>
      <w:bookmarkStart w:id="5" w:name="_Toc235781483"/>
      <w:r>
        <w:rPr/>
        <w:t>Наименование закупаемой продукции</w:t>
      </w:r>
      <w:bookmarkEnd w:id="4"/>
      <w:bookmarkEnd w:id="5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 xml:space="preserve">«ОКПД2 74.20.24.000 Оказание услуг по аэрофотосъёмке с применением беспилотных авиационных систем (БАС) на </w:t>
      </w:r>
      <w:r>
        <w:rPr>
          <w:rStyle w:val="Style8"/>
          <w:rFonts w:eastAsia="Calibri"/>
          <w:b w:val="false"/>
          <w:bCs/>
          <w:sz w:val="24"/>
          <w:szCs w:val="24"/>
          <w:shd w:fill="auto" w:val="clear"/>
          <w:lang w:eastAsia="x-none"/>
        </w:rPr>
        <w:t>объекте филиала ПАО «РусГидро» - «Новосибирская ГЭС»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6" w:name="_Toc235781484"/>
      <w:bookmarkStart w:id="7" w:name="_Toc46743507"/>
      <w:r>
        <w:rPr/>
        <w:t xml:space="preserve">Цель </w:t>
      </w:r>
      <w:bookmarkEnd w:id="7"/>
      <w:r>
        <w:rPr>
          <w:lang w:val="ru-RU"/>
        </w:rPr>
        <w:t>оказания услуг</w:t>
      </w:r>
      <w:bookmarkEnd w:id="6"/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i/>
          <w:i/>
          <w:sz w:val="24"/>
          <w:szCs w:val="24"/>
          <w:lang w:eastAsia="x-none"/>
        </w:rPr>
      </w:pPr>
      <w:r>
        <w:rPr>
          <w:rFonts w:eastAsia="Calibri"/>
          <w:i/>
          <w:sz w:val="24"/>
          <w:szCs w:val="24"/>
          <w:lang w:eastAsia="x-none"/>
        </w:rPr>
        <w:t>Целью является оказание услуг по беспилотному мониторингу территории для: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08"/>
          <w:tab w:val="left" w:pos="426" w:leader="none"/>
        </w:tabs>
        <w:spacing w:before="120" w:after="120"/>
        <w:contextualSpacing/>
        <w:jc w:val="both"/>
        <w:rPr>
          <w:i/>
          <w:i/>
          <w:lang w:eastAsia="x-none"/>
        </w:rPr>
      </w:pPr>
      <w:r>
        <w:rPr>
          <w:i/>
          <w:lang w:eastAsia="x-none"/>
        </w:rPr>
        <w:t>определения фактических площадей, требующих покоса;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08"/>
          <w:tab w:val="left" w:pos="426" w:leader="none"/>
        </w:tabs>
        <w:spacing w:before="120" w:after="120"/>
        <w:contextualSpacing/>
        <w:jc w:val="both"/>
        <w:rPr>
          <w:i/>
          <w:i/>
          <w:lang w:eastAsia="x-none"/>
        </w:rPr>
      </w:pPr>
      <w:r>
        <w:rPr>
          <w:i/>
          <w:lang w:eastAsia="x-none"/>
        </w:rPr>
        <w:t>оценки высоты и плотности травостоя;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08"/>
          <w:tab w:val="left" w:pos="426" w:leader="none"/>
        </w:tabs>
        <w:spacing w:before="120" w:after="120"/>
        <w:contextualSpacing/>
        <w:jc w:val="both"/>
        <w:rPr>
          <w:i/>
          <w:i/>
          <w:lang w:eastAsia="x-none"/>
        </w:rPr>
      </w:pPr>
      <w:r>
        <w:rPr>
          <w:i/>
          <w:lang w:eastAsia="x-none"/>
        </w:rPr>
        <w:t>расчёта объёма покоса (в м² и условных единицах);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08"/>
          <w:tab w:val="left" w:pos="426" w:leader="none"/>
        </w:tabs>
        <w:spacing w:before="120" w:after="120"/>
        <w:contextualSpacing/>
        <w:jc w:val="both"/>
        <w:rPr>
          <w:i/>
          <w:i/>
          <w:lang w:eastAsia="x-none"/>
        </w:rPr>
      </w:pPr>
      <w:r>
        <w:rPr>
          <w:i/>
          <w:lang w:eastAsia="x-none"/>
        </w:rPr>
        <w:t>выявления критических зон с рисками для инфраструктуры;</w:t>
      </w:r>
    </w:p>
    <w:p>
      <w:pPr>
        <w:pStyle w:val="ListParagraph"/>
        <w:widowControl w:val="false"/>
        <w:numPr>
          <w:ilvl w:val="0"/>
          <w:numId w:val="10"/>
        </w:numPr>
        <w:tabs>
          <w:tab w:val="clear" w:pos="708"/>
          <w:tab w:val="left" w:pos="426" w:leader="none"/>
        </w:tabs>
        <w:spacing w:before="120" w:after="120"/>
        <w:contextualSpacing/>
        <w:jc w:val="both"/>
        <w:rPr>
          <w:rFonts w:eastAsia="Times New Roman"/>
        </w:rPr>
      </w:pPr>
      <w:r>
        <w:rPr>
          <w:i/>
          <w:lang w:eastAsia="x-none"/>
        </w:rPr>
        <w:t>формирования приоритетных заданий на покос.</w:t>
      </w:r>
    </w:p>
    <w:p>
      <w:pPr>
        <w:pStyle w:val="Heading4"/>
        <w:numPr>
          <w:ilvl w:val="1"/>
          <w:numId w:val="3"/>
        </w:numPr>
        <w:rPr/>
      </w:pPr>
      <w:bookmarkStart w:id="8" w:name="_Toc46743508"/>
      <w:bookmarkStart w:id="9" w:name="_Toc235781485"/>
      <w:r>
        <w:rPr/>
        <w:t>Существующее положение</w:t>
      </w:r>
      <w:bookmarkEnd w:id="8"/>
      <w:bookmarkEnd w:id="9"/>
      <w:r>
        <w:rPr>
          <w:lang w:val="ru-RU"/>
        </w:rPr>
        <w:t xml:space="preserve"> 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0" w:name="_Toc235781486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10"/>
    </w:p>
    <w:tbl>
      <w:tblPr>
        <w:tblW w:w="99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7"/>
        <w:gridCol w:w="2859"/>
        <w:gridCol w:w="2129"/>
        <w:gridCol w:w="2129"/>
        <w:gridCol w:w="198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Беспилотный мониторинг территории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Территория Новосибирской ГЭС, г. Новосибирск, ул. Новоморская, д. 4.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Прилегающая территория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/>
            </w:pPr>
            <w:r>
              <w:rPr/>
            </w:r>
          </w:p>
        </w:tc>
        <w:tc>
          <w:tcPr>
            <w:tcW w:w="28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Территории защитной полосы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Heading4"/>
        <w:numPr>
          <w:ilvl w:val="1"/>
          <w:numId w:val="3"/>
        </w:numPr>
        <w:rPr/>
      </w:pPr>
      <w:bookmarkStart w:id="11" w:name="_Toc235781487"/>
      <w:bookmarkStart w:id="12" w:name="_Hlk49857604"/>
      <w:bookmarkStart w:id="13" w:name="_Toc46743509"/>
      <w:r>
        <w:rPr/>
        <w:t xml:space="preserve">Информация в отношении исполнения договора, </w:t>
      </w:r>
      <w:bookmarkStart w:id="14" w:name="_Hlk46492347"/>
      <w:r>
        <w:rPr/>
        <w:t xml:space="preserve">которая должна быть учтена при подготовке заявки </w:t>
      </w:r>
      <w:bookmarkEnd w:id="14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1"/>
      <w:bookmarkEnd w:id="12"/>
      <w:bookmarkEnd w:id="13"/>
      <w:r>
        <w:rPr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eastAsia="Calibri"/>
          <w:i/>
          <w:i/>
          <w:iCs/>
          <w:sz w:val="24"/>
          <w:szCs w:val="24"/>
          <w:lang w:eastAsia="x-none"/>
        </w:rPr>
      </w:pPr>
      <w:bookmarkStart w:id="15" w:name="_Hlk48209761"/>
      <w:bookmarkEnd w:id="15"/>
      <w:r>
        <w:rPr>
          <w:rFonts w:eastAsia="Calibri"/>
          <w:i/>
          <w:iCs/>
          <w:sz w:val="24"/>
          <w:szCs w:val="24"/>
          <w:lang w:eastAsia="x-none"/>
        </w:rPr>
        <w:t>Объект Заказчика является зданием с ограниченным допуском. Проход осуществляется на основании пропусков, оформленных на основании паспортов Российской Федерации.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i w:val="false"/>
          <w:i w:val="false"/>
          <w:iCs/>
        </w:rPr>
      </w:pPr>
      <w:r>
        <w:rPr>
          <w:b w:val="false"/>
          <w:i w:val="false"/>
          <w:iCs/>
        </w:rPr>
      </w:r>
    </w:p>
    <w:p>
      <w:pPr>
        <w:pStyle w:val="Heading4"/>
        <w:numPr>
          <w:ilvl w:val="1"/>
          <w:numId w:val="3"/>
        </w:numPr>
        <w:rPr>
          <w:rStyle w:val="Style8"/>
          <w:b/>
          <w:lang w:val="ru-RU"/>
        </w:rPr>
      </w:pPr>
      <w:bookmarkStart w:id="16" w:name="_Toc235781488"/>
      <w:bookmarkStart w:id="17" w:name="_Hlk48209761_Копия_1"/>
      <w:bookmarkStart w:id="18" w:name="_Toc50125126"/>
      <w:bookmarkEnd w:id="17"/>
      <w:bookmarkEnd w:id="18"/>
      <w:r>
        <w:rPr/>
        <w:t>Иные требования и сведения общего характера</w:t>
      </w:r>
      <w:bookmarkEnd w:id="16"/>
    </w:p>
    <w:p>
      <w:pPr>
        <w:pStyle w:val="ListParagraph"/>
        <w:numPr>
          <w:ilvl w:val="0"/>
          <w:numId w:val="11"/>
        </w:numPr>
        <w:rPr>
          <w:lang w:eastAsia="x-none"/>
        </w:rPr>
      </w:pPr>
      <w:r>
        <w:rPr>
          <w:i/>
        </w:rPr>
        <w:t>Соблюдение требований внутриобъектового и контрольно-пропускного режимов, установленных на территории Заказчика.</w:t>
      </w:r>
    </w:p>
    <w:p>
      <w:pPr>
        <w:pStyle w:val="ListParagraph"/>
        <w:numPr>
          <w:ilvl w:val="0"/>
          <w:numId w:val="11"/>
        </w:numPr>
        <w:rPr>
          <w:lang w:eastAsia="x-none"/>
        </w:rPr>
      </w:pPr>
      <w:r>
        <w:rPr>
          <w:i/>
        </w:rPr>
        <w:t>Соблюдение требований и правил охраны труда, технической, промышленной, пожарной, экологической безопасности и иные установленные на территории Заказчика требования.</w:t>
      </w:r>
    </w:p>
    <w:p>
      <w:pPr>
        <w:pStyle w:val="ListParagraph"/>
        <w:numPr>
          <w:ilvl w:val="0"/>
          <w:numId w:val="11"/>
        </w:numPr>
        <w:rPr>
          <w:lang w:eastAsia="x-none"/>
        </w:rPr>
      </w:pPr>
      <w:r>
        <w:rPr>
          <w:i/>
        </w:rPr>
        <w:t>Подрядчик принимает все обоснованные меры предосторожности, направленные на охрану окружающей среды в процессе выполнения работ. Обязанности Подрядчика включают в себя, помимо прочего, предотвращение загрязнения окружающей среды оборудованием и материалами Подрядчика и т.д.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9" w:name="_Toc235781489"/>
      <w:bookmarkStart w:id="20" w:name="_Toc51339693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9"/>
      <w:bookmarkEnd w:id="20"/>
    </w:p>
    <w:p>
      <w:pPr>
        <w:pStyle w:val="Heading4"/>
        <w:numPr>
          <w:ilvl w:val="1"/>
          <w:numId w:val="3"/>
        </w:numPr>
        <w:rPr/>
      </w:pPr>
      <w:bookmarkStart w:id="21" w:name="_Toc235781490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21"/>
    </w:p>
    <w:p>
      <w:pPr>
        <w:pStyle w:val="Heading3"/>
        <w:numPr>
          <w:ilvl w:val="2"/>
          <w:numId w:val="3"/>
        </w:numPr>
        <w:rPr/>
      </w:pPr>
      <w:bookmarkStart w:id="22" w:name="_Toc235781491"/>
      <w:r>
        <w:rPr>
          <w:lang w:val="ru-RU"/>
        </w:rPr>
        <w:t>Требования к перечню и объему услуг</w:t>
      </w:r>
      <w:bookmarkEnd w:id="22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3" w:name="_Toc235781492"/>
      <w:bookmarkStart w:id="24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4"/>
      <w:r>
        <w:rPr>
          <w:sz w:val="24"/>
          <w:szCs w:val="24"/>
          <w:lang w:val="ru-RU"/>
        </w:rPr>
        <w:t>и объем оказываемых услуг</w:t>
      </w:r>
      <w:bookmarkEnd w:id="23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990"/>
        <w:gridCol w:w="2121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both"/>
              <w:rPr>
                <w:i/>
                <w:i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  <w:lang w:eastAsia="x-none"/>
              </w:rPr>
              <w:t>Оказание услуг по аэрофотосъёмке с применением беспилотных авиационных систем (БАС) на объекте Заказчика: Новосибирская ГЭС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208 558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25" w:name="_Toc235781493"/>
      <w:bookmarkStart w:id="26" w:name="_Toc51339696"/>
      <w:r>
        <w:rPr>
          <w:lang w:val="ru-RU"/>
        </w:rPr>
        <w:t xml:space="preserve">Требования </w:t>
      </w:r>
      <w:bookmarkEnd w:id="26"/>
      <w:r>
        <w:rPr>
          <w:lang w:val="ru-RU"/>
        </w:rPr>
        <w:t>к срокам оказания услуг</w:t>
      </w:r>
      <w:bookmarkEnd w:id="25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27" w:name="_Toc235781494"/>
      <w:bookmarkStart w:id="28" w:name="_Toc51339697"/>
      <w:bookmarkStart w:id="29" w:name="_Toc50125127"/>
      <w:bookmarkStart w:id="30" w:name="_Toc50125126_Копия_1"/>
      <w:bookmarkEnd w:id="3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1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8"/>
      <w:bookmarkEnd w:id="29"/>
      <w:bookmarkEnd w:id="31"/>
      <w:r>
        <w:rPr>
          <w:sz w:val="24"/>
          <w:szCs w:val="24"/>
          <w:lang w:val="ru-RU"/>
        </w:rPr>
        <w:t>оказания услуг</w:t>
      </w:r>
      <w:bookmarkEnd w:id="27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29"/>
        <w:gridCol w:w="2551"/>
        <w:gridCol w:w="2978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rPr/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 74.20.24.000 Оказание услуг по аэрофотосъёмке с применением беспилотных авиационных систем (БАС) на объекте Заказчика: Новосибирская ГЭС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bookmarkStart w:id="32" w:name="_Toc46743510"/>
            <w:r>
              <w:rPr>
                <w:sz w:val="24"/>
                <w:szCs w:val="24"/>
              </w:rPr>
              <w:t>в течение 12 (двенадцати) календарных дней с даты заключения Договора</w:t>
            </w:r>
            <w:bookmarkEnd w:id="32"/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3" w:name="_Toc51339698"/>
      <w:bookmarkStart w:id="34" w:name="_Toc235781495"/>
      <w:bookmarkStart w:id="35" w:name="_Toc46743511"/>
      <w:r>
        <w:rPr/>
        <w:t xml:space="preserve">Требования к </w:t>
      </w:r>
      <w:bookmarkEnd w:id="35"/>
      <w:r>
        <w:rPr>
          <w:lang w:val="ru-RU"/>
        </w:rPr>
        <w:t>качеству продукции</w:t>
      </w:r>
      <w:bookmarkEnd w:id="34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36" w:name="_Toc235781496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3"/>
      <w:r>
        <w:rPr>
          <w:sz w:val="24"/>
          <w:szCs w:val="24"/>
          <w:lang w:val="ru-RU"/>
        </w:rPr>
        <w:t>качеству продукции</w:t>
      </w:r>
      <w:bookmarkEnd w:id="36"/>
    </w:p>
    <w:p>
      <w:pPr>
        <w:pStyle w:val="Normal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№_1 Таблицы 2): Оказание услуг по аэрофотосъёмке с применением беспилотных авиационных систем (БАС) на объекте Заказчика: Новосибирская ГЭС </w:t>
      </w:r>
    </w:p>
    <w:tbl>
      <w:tblPr>
        <w:tblStyle w:val="af"/>
        <w:tblW w:w="1474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0"/>
        <w:gridCol w:w="2552"/>
        <w:gridCol w:w="5387"/>
        <w:gridCol w:w="2976"/>
        <w:gridCol w:w="2977"/>
      </w:tblGrid>
      <w:tr>
        <w:trPr/>
        <w:tc>
          <w:tcPr>
            <w:tcW w:w="8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5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3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95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8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5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3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37" w:name="_Toc53499667"/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  <w:bookmarkEnd w:id="37"/>
          </w:p>
        </w:tc>
        <w:tc>
          <w:tcPr>
            <w:tcW w:w="25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38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9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93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Требования к оказанию услуг </w:t>
            </w:r>
          </w:p>
        </w:tc>
        <w:tc>
          <w:tcPr>
            <w:tcW w:w="297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793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Общие требования к оказанию услуг </w:t>
            </w:r>
          </w:p>
        </w:tc>
        <w:tc>
          <w:tcPr>
            <w:tcW w:w="297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9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Услуги оказываются в объемах и сроках, указанных в п.п.1 и 2 настоящих Технических требований.</w:t>
            </w:r>
          </w:p>
        </w:tc>
        <w:tc>
          <w:tcPr>
            <w:tcW w:w="29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977" w:type="dxa"/>
            <w:tcBorders/>
            <w:shd w:color="auto" w:fill="auto" w:val="clear"/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538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обязуется оказать услуги, в порядке и на условиях, предусмотренных договором и настоящими ТТ, а также в соответствии с требованиями законодательства Российской Федерации и иными требованиями, связанными с определением соответствия оказываемых услуг потребностям Заказчика.</w:t>
            </w:r>
          </w:p>
        </w:tc>
        <w:tc>
          <w:tcPr>
            <w:tcW w:w="29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9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9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2976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939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Оказание услуг с применением беспилотных авиационных систем (БАС) на объекте</w:t>
            </w:r>
          </w:p>
        </w:tc>
        <w:tc>
          <w:tcPr>
            <w:tcW w:w="29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97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93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b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процедурам оказания услуг</w:t>
            </w:r>
          </w:p>
        </w:tc>
        <w:tc>
          <w:tcPr>
            <w:tcW w:w="297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Порядок выполнения и контроль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Подготовительный этап: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рекогносцировка, согласование границ и исключений;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создание базовой карты (ортофотоплан, ЦМР), разметка зон по приоритетам;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настройка маршрутов, тестовые полёты на контрольных участках.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Мониторинг: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облёты по утверждённым маршрутам;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съёмка с достаточным перекрытием кадров;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контроль точности по контрольным точкам (RTK).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Обработка и анализ данных: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построение ортофотоплана, ЦМР;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классификация зон и расчёт площадей;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построение карты высот травостоя, определение объёма покоса;</w:t>
            </w:r>
          </w:p>
          <w:p>
            <w:pPr>
              <w:pStyle w:val="Normal"/>
              <w:widowControl w:val="false"/>
              <w:numPr>
                <w:ilvl w:val="0"/>
                <w:numId w:val="14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выявление проблемных участков и формирование рекомендаций.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Приёмка и отчётность: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проверка полноты покрытия территории и отсутствия пропусков;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верификация точности позиционирования (3–5 см);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подтверждение корректности расчётов площадей и объёмов;</w:t>
            </w:r>
          </w:p>
          <w:p>
            <w:pPr>
              <w:pStyle w:val="ListParagraph"/>
              <w:widowControl w:val="false"/>
              <w:numPr>
                <w:ilvl w:val="0"/>
                <w:numId w:val="15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проверка качества пространственных данных и их совместимости с ГИС заказчика.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977" w:type="dxa"/>
            <w:tcBorders/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93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97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оборудованию и технологиям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БАС: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мультикоптер с RTK модулем;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степень защиты от влаги и пыли — не ниже IP54;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время полёта — не менее 35–45 минут; при большой площади — несколько вылетов либо использование резервных дронов.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Полезная нагрузка: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камера — RGB, разрешение ≥24 МП;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NIR канал для оценки состояния растительности;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опционально — тепловизор;</w:t>
            </w:r>
          </w:p>
          <w:p>
            <w:pPr>
              <w:pStyle w:val="ListParagraph"/>
              <w:widowControl w:val="false"/>
              <w:numPr>
                <w:ilvl w:val="0"/>
                <w:numId w:val="16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точность позиционирования — не хуже 3–5 см (RTK), привязка к местной системе координат объекта.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 и обработка данных:</w:t>
            </w:r>
          </w:p>
          <w:p>
            <w:pPr>
              <w:pStyle w:val="ListParagraph"/>
              <w:widowControl w:val="false"/>
              <w:numPr>
                <w:ilvl w:val="0"/>
                <w:numId w:val="17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программное обеспечение для фотограмметрии, совместимое с ГИС (QGIS, ArcGIS либо отечественные аналоги);</w:t>
            </w:r>
          </w:p>
          <w:p>
            <w:pPr>
              <w:pStyle w:val="ListParagraph"/>
              <w:widowControl w:val="false"/>
              <w:numPr>
                <w:ilvl w:val="0"/>
                <w:numId w:val="17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возможность построения ортофотоплана и ЦМР, расчёта площадей и высот;</w:t>
            </w:r>
          </w:p>
          <w:p>
            <w:pPr>
              <w:pStyle w:val="ListParagraph"/>
              <w:widowControl w:val="false"/>
              <w:numPr>
                <w:ilvl w:val="0"/>
                <w:numId w:val="17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экспорт данных в GeoTIFF, LAS (для ЦМР), KML/GPX/Shapefile.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Организационные требования:</w:t>
            </w:r>
          </w:p>
          <w:p>
            <w:pPr>
              <w:pStyle w:val="ListParagraph"/>
              <w:widowControl w:val="false"/>
              <w:numPr>
                <w:ilvl w:val="0"/>
                <w:numId w:val="1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предварительное согласование полётов с эксплуатирующей организацией;</w:t>
            </w:r>
          </w:p>
          <w:p>
            <w:pPr>
              <w:pStyle w:val="ListParagraph"/>
              <w:widowControl w:val="false"/>
              <w:numPr>
                <w:ilvl w:val="0"/>
                <w:numId w:val="1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учёт зон ограничений (вблизи ЛЭП, над водоёмами, у плотины и др.);</w:t>
            </w:r>
          </w:p>
          <w:p>
            <w:pPr>
              <w:pStyle w:val="ListParagraph"/>
              <w:widowControl w:val="false"/>
              <w:numPr>
                <w:ilvl w:val="0"/>
                <w:numId w:val="18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ведение журнала полётов, хранение логов телеметрии, фотофиксация контрольных точек.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93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297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Ключевые роли и состав бригады</w:t>
            </w:r>
          </w:p>
        </w:tc>
        <w:tc>
          <w:tcPr>
            <w:tcW w:w="538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9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Руководитель работ / ведущий инженер по мониторингу — 1 чел.</w:t>
            </w:r>
          </w:p>
          <w:p>
            <w:pPr>
              <w:pStyle w:val="ListParagraph"/>
              <w:widowControl w:val="false"/>
              <w:numPr>
                <w:ilvl w:val="0"/>
                <w:numId w:val="19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Оператор БПЛА (пилот) — не менее 2 чел. (для параллельных вылетов и подмены).</w:t>
            </w:r>
          </w:p>
          <w:p>
            <w:pPr>
              <w:pStyle w:val="ListParagraph"/>
              <w:widowControl w:val="false"/>
              <w:numPr>
                <w:ilvl w:val="0"/>
                <w:numId w:val="19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Специалист по фотограмметрии и ГИС</w:t>
              <w:noBreakHyphen/>
              <w:t>обработке данных — не менее 1–2 чел.</w:t>
            </w:r>
          </w:p>
          <w:p>
            <w:pPr>
              <w:pStyle w:val="ListParagraph"/>
              <w:widowControl w:val="false"/>
              <w:numPr>
                <w:ilvl w:val="0"/>
                <w:numId w:val="19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Техник/помощник оператора — 1–2 чел. (подготовка оборудования, маркировка контрольных точек, логистика на площадке).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Обязательные допуски и документы</w:t>
            </w:r>
          </w:p>
        </w:tc>
        <w:tc>
          <w:tcPr>
            <w:tcW w:w="538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9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Пропуск на территорию объекта и прохождение вводного инструктажа по охране труда, пожарной и промышленной безопасности.</w:t>
            </w:r>
          </w:p>
          <w:p>
            <w:pPr>
              <w:pStyle w:val="ListParagraph"/>
              <w:widowControl w:val="false"/>
              <w:numPr>
                <w:ilvl w:val="0"/>
                <w:numId w:val="19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Действующее удостоверение пилота БПЛА для коммерческих полётов (в соответствии с законодательством РФ).</w:t>
            </w:r>
          </w:p>
          <w:p>
            <w:pPr>
              <w:pStyle w:val="ListParagraph"/>
              <w:widowControl w:val="false"/>
              <w:numPr>
                <w:ilvl w:val="0"/>
                <w:numId w:val="19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Допуск к работам в охранных зонах ЛЭП (если маршруты проходят вблизи линий электропередачи).</w:t>
            </w:r>
          </w:p>
          <w:p>
            <w:pPr>
              <w:pStyle w:val="ListParagraph"/>
              <w:widowControl w:val="false"/>
              <w:numPr>
                <w:ilvl w:val="0"/>
                <w:numId w:val="19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Медицинские осмотры в соответствии с требованиями для работ на производственных объектах.</w:t>
            </w:r>
          </w:p>
          <w:p>
            <w:pPr>
              <w:pStyle w:val="ListParagraph"/>
              <w:widowControl w:val="false"/>
              <w:numPr>
                <w:ilvl w:val="0"/>
                <w:numId w:val="19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Подтверждение проверки знаний по действиям в ЧС (остановка работ, оповещение, эвакуация, фиксация инцидента).</w:t>
            </w:r>
          </w:p>
          <w:p>
            <w:pPr>
              <w:pStyle w:val="ListParagraph"/>
              <w:widowControl w:val="false"/>
              <w:numPr>
                <w:ilvl w:val="0"/>
                <w:numId w:val="19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Согласованный перечень документов для допуска на территорию (копия удостоверения, приказ о назначении ответственного лица, план работ).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Квалификационные требования</w:t>
            </w:r>
          </w:p>
        </w:tc>
        <w:tc>
          <w:tcPr>
            <w:tcW w:w="538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19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Образование: высшее или среднее профессиональное в области геодезии, картографии, землеустройства либо профильные курсы по эксплуатации БПЛА, фотограмметрии и работе с ГИС.</w:t>
            </w:r>
          </w:p>
          <w:p>
            <w:pPr>
              <w:pStyle w:val="ListParagraph"/>
              <w:widowControl w:val="false"/>
              <w:numPr>
                <w:ilvl w:val="0"/>
                <w:numId w:val="19"/>
              </w:numPr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contextualSpacing/>
              <w:jc w:val="both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  <w:t>Подтверждённый опыт выполнения комплексных работ (пилотирование + обработка данных + организация работ) на крупных промышленных или энергетических объектах (от 100 га и более).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93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297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93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297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93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Результатом оказанных услуг является комплект материалов по беспилотному мониторингу территории, включающий ортофотоплан и цифровую модель рельефа (ЦМР) с точностью позиционирования не хуже 3–5 см, карту высот травостоя, векторные слои с классификацией зон по приоритетам покоса (критические, стандартные, исключённые) с расчётами площадей и оценкой объёма покоса, фотофиксацию проблемных участков, журналы полётов и телеметрии.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977" w:type="dxa"/>
            <w:tcBorders/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93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97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93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Результат оказания услуг безопасен для использования при условии, что все пространственные данные (ортофотоплан, ЦМР, векторные слои) верифицированы на предмет отсутствия ошибок геопривязки и топологических неточностей, а их применение в проектных или эксплуатационных задачах сопровождается проверкой на совместимость с действующими системами заказчика и соблюдением требований информационной безопасности (защита от несанкционированного доступа, ограничение круга лиц, имеющих доступ к исходным материалам).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93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  <w:r>
              <w:rPr>
                <w:rStyle w:val="Style8"/>
                <w:rFonts w:eastAsia="Times New Roman" w:cs="Times New Roman"/>
                <w:b w:val="false"/>
                <w:bCs/>
                <w:i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</w:p>
        </w:tc>
        <w:tc>
          <w:tcPr>
            <w:tcW w:w="297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93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Приёмка результата услуг проводится при предоставлении полного комплекта материалов в согласованных форматах, подтверждении точности данных (не хуже 3–5 см по контрольным точкам), отсутствии ошибок и артефактов, корректности расчётов, совместимости с ГИС</w:t>
              <w:noBreakHyphen/>
              <w:t>системами заказчика и соблюдении требований безопасности; оформляется актом сдачи</w:t>
              <w:noBreakHyphen/>
              <w:t>приёмки, при выявлении недостатков — мотивированным отказом с перечнем и сроками устранения; в течение 30 календарных дней исполнитель обязан безвозмездно исправить выявленные ошибки.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93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97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072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939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Autospacing="1" w:afterAutospacing="1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обязан предоставить заказчику полный комплект отчётной документации в электронном виде и (при необходимости) на бумажном носителе в срок не позднее 3 (трёх) рабочих дней после завершения мониторинга.</w:t>
            </w:r>
          </w:p>
          <w:p>
            <w:pPr>
              <w:pStyle w:val="Normal"/>
              <w:widowControl w:val="false"/>
              <w:suppressAutoHyphens w:val="true"/>
              <w:spacing w:beforeAutospacing="1" w:afterAutospacing="1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Комплект отчётной документации должен включать: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uppressAutoHyphens w:val="true"/>
              <w:spacing w:beforeAutospacing="1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отчёт оказанных услуг - </w:t>
            </w: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PDF</w:t>
              <w:noBreakHyphen/>
              <w:t xml:space="preserve">отчёт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 описанием, таблицами площадей по зонам, картой высот травостоя, фото проблемных участков, рекомендациями;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графические и пространственные материалы (ортофотоплан, ЦМР, тематические карты, схемы маршрутов);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таблицы расчётных показателей;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фото- и видеоматериалы контрольных точек и проблемных участков;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акт сдач</w:t>
            </w:r>
            <w:r>
              <w:rPr>
                <w:rFonts w:eastAsia="Times New Roman" w:cs="Times New Roman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и</w:t>
              <w:noBreakHyphen/>
              <w:t>п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риёмки оказанных услуг;</w:t>
            </w:r>
          </w:p>
          <w:p>
            <w:pPr>
              <w:pStyle w:val="Normal"/>
              <w:widowControl w:val="false"/>
              <w:numPr>
                <w:ilvl w:val="0"/>
                <w:numId w:val="20"/>
              </w:numPr>
              <w:suppressAutoHyphens w:val="true"/>
              <w:spacing w:before="0" w:afterAutospacing="1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приложения с технической документацией на оборудование (паспорта, сертификаты, протоколы калибровки).</w:t>
            </w:r>
          </w:p>
          <w:p>
            <w:pPr>
              <w:pStyle w:val="Normal"/>
              <w:widowControl w:val="false"/>
              <w:suppressAutoHyphens w:val="true"/>
              <w:spacing w:beforeAutospacing="1" w:afterAutospacing="1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Все материалы должны быть подписаны уполномоченным лицом Исполнителя и содержать дату формирования.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977" w:type="dxa"/>
            <w:tcBorders/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93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976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977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Соблюдение норм и правил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несёт ответственность за соблюдение всех применимых законов: правил использования воздушного пространства (ст. 11.4 КоАП РФ, ст. 271.1 УК РФ при тяжких последствиях), требований к безопасности полётов, а также внутренних регламентов заказчика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both"/>
              <w:rPr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Качество данных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гарантирует, что результаты съёмки (ортофотоплан, ЦМР, карты травостоя) будут соответствовать техническим требованиям (точность позиционирования, разрешение, перекрытие кадров). Если в отчёте обнаружатся ошибки (например, неверно посчитана площадь из-за артефактов модели), исполнитель обязан их исправить за свой счёт.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Конфиденциальность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обязуется не разглашать сведения, составляющие коммерческую или иную охраняемую тайну заказчика, ставшие известными в ходе оказания услуг.</w:t>
            </w:r>
          </w:p>
        </w:tc>
        <w:tc>
          <w:tcPr>
            <w:tcW w:w="2976" w:type="dxa"/>
            <w:tcBorders/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bookmarkStart w:id="38" w:name="_Toc235781497"/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  <w:bookmarkEnd w:id="38"/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Безопасность при работах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отвечает за то, чтобы полёты не создавали угрозы для людей, оборудования или инфраструктуры объекта (ЛЭП, плотина, ограждения). Необходимо заранее согласовать с заказчиком зоны ограничений и маршрут.</w:t>
            </w:r>
          </w:p>
        </w:tc>
        <w:tc>
          <w:tcPr>
            <w:tcW w:w="2976" w:type="dxa"/>
            <w:tcBorders/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bookmarkStart w:id="39" w:name="_Toc235781498"/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  <w:bookmarkEnd w:id="39"/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0" w:hanging="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suppressAutoHyphens w:val="true"/>
              <w:spacing w:beforeAutospacing="1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Гарантия на результат</w:t>
            </w:r>
          </w:p>
        </w:tc>
        <w:tc>
          <w:tcPr>
            <w:tcW w:w="53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30 дней с момента сдачи отчёта</w:t>
            </w:r>
          </w:p>
        </w:tc>
        <w:tc>
          <w:tcPr>
            <w:tcW w:w="2976" w:type="dxa"/>
            <w:tcBorders/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lang w:val="ru-RU" w:eastAsia="ru-RU"/>
              </w:rPr>
            </w:pPr>
            <w:bookmarkStart w:id="40" w:name="_Toc235781499"/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  <w:bookmarkEnd w:id="40"/>
          </w:p>
        </w:tc>
        <w:tc>
          <w:tcPr>
            <w:tcW w:w="297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Heading3"/>
        <w:numPr>
          <w:ilvl w:val="2"/>
          <w:numId w:val="3"/>
        </w:numPr>
        <w:ind w:left="567" w:hanging="504"/>
        <w:rPr>
          <w:lang w:val="ru-RU"/>
        </w:rPr>
      </w:pPr>
      <w:r>
        <w:rPr>
          <w:b w:val="false"/>
          <w:i/>
          <w:lang w:val="ru-RU"/>
        </w:rPr>
        <w:t xml:space="preserve"> </w:t>
      </w:r>
      <w:bookmarkStart w:id="41" w:name="_Toc235781500"/>
      <w:r>
        <w:rPr/>
        <w:t>В составе заявки необходимо предоставить</w:t>
      </w:r>
      <w:r>
        <w:rPr>
          <w:lang w:val="ru-RU"/>
        </w:rPr>
        <w:t>:</w:t>
      </w:r>
      <w:bookmarkEnd w:id="41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rFonts w:eastAsia="Calibri"/>
          <w:b w:val="false"/>
          <w:bCs w:val="false"/>
          <w:i w:val="false"/>
          <w:iCs w:val="false"/>
          <w:sz w:val="24"/>
          <w:szCs w:val="24"/>
          <w:lang w:eastAsia="x-none"/>
        </w:rPr>
        <w:t>Техническое предложение, подготовленное в соответствии с настоящими ТТ по форме, представленной в документации о закупке</w:t>
      </w:r>
    </w:p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tabs>
          <w:tab w:val="clear" w:pos="708"/>
          <w:tab w:val="left" w:pos="2131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2" w:name="_Toc235781501"/>
      <w:bookmarkStart w:id="43" w:name="_Toc53395937"/>
      <w:bookmarkStart w:id="44" w:name="_Toc53393312"/>
      <w:bookmarkStart w:id="45" w:name="_Toc51339699"/>
      <w:bookmarkStart w:id="46" w:name="_Toc46743519"/>
      <w:bookmarkEnd w:id="45"/>
      <w:bookmarkEnd w:id="46"/>
      <w:r>
        <w:rPr>
          <w:lang w:val="ru-RU"/>
        </w:rPr>
        <w:t>Требования к документации по ценообразованию</w:t>
      </w:r>
      <w:bookmarkEnd w:id="43"/>
      <w:bookmarkEnd w:id="44"/>
      <w:r>
        <w:rPr>
          <w:lang w:val="ru-RU"/>
        </w:rPr>
        <w:t xml:space="preserve"> на этапе закупки</w:t>
      </w:r>
      <w:bookmarkEnd w:id="42"/>
    </w:p>
    <w:p>
      <w:pPr>
        <w:pStyle w:val="Normal"/>
        <w:ind w:left="357" w:hanging="357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numPr>
          <w:ilvl w:val="1"/>
          <w:numId w:val="21"/>
        </w:numPr>
        <w:spacing w:before="60" w:after="0"/>
        <w:jc w:val="both"/>
        <w:rPr>
          <w:i w:val="false"/>
          <w:i w:val="false"/>
          <w:iCs w:val="false"/>
        </w:rPr>
      </w:pPr>
      <w:r>
        <w:rPr>
          <w:bCs/>
          <w:i w:val="false"/>
          <w:iCs w:val="false"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47" w:name="_Hlk88325985"/>
      <w:r>
        <w:rPr>
          <w:bCs/>
          <w:i w:val="false"/>
          <w:iCs w:val="false"/>
          <w:sz w:val="24"/>
          <w:szCs w:val="24"/>
          <w:lang w:eastAsia="x-none"/>
        </w:rPr>
        <w:t>(с учетом прилагаемой к ней инструкции по заполнению)</w:t>
      </w:r>
      <w:bookmarkEnd w:id="47"/>
      <w:r>
        <w:rPr>
          <w:bCs/>
          <w:i w:val="false"/>
          <w:iCs w:val="false"/>
          <w:sz w:val="24"/>
          <w:szCs w:val="24"/>
          <w:lang w:eastAsia="x-none"/>
        </w:rPr>
        <w:t>, приведенной в Документации о закупке.</w:t>
      </w:r>
    </w:p>
    <w:p>
      <w:pPr>
        <w:pStyle w:val="Normal"/>
        <w:numPr>
          <w:ilvl w:val="1"/>
          <w:numId w:val="21"/>
        </w:numPr>
        <w:spacing w:before="60" w:after="0"/>
        <w:jc w:val="both"/>
        <w:rPr>
          <w:i w:val="false"/>
          <w:i w:val="false"/>
          <w:iCs w:val="false"/>
        </w:rPr>
      </w:pPr>
      <w:r>
        <w:rPr>
          <w:bCs/>
          <w:i w:val="false"/>
          <w:iCs w:val="false"/>
          <w:sz w:val="24"/>
          <w:szCs w:val="24"/>
          <w:lang w:eastAsia="x-none"/>
        </w:rPr>
        <w:t>Дополнительные документы по ценообразованию (сметная документация) в состав заявки Участника не включаются».</w:t>
      </w:r>
    </w:p>
    <w:p>
      <w:pPr>
        <w:pStyle w:val="Heading1"/>
        <w:keepLines/>
        <w:numPr>
          <w:ilvl w:val="0"/>
          <w:numId w:val="0"/>
        </w:numPr>
        <w:ind w:left="357" w:hanging="0"/>
        <w:rPr>
          <w:iCs/>
          <w:caps/>
        </w:rPr>
      </w:pPr>
      <w:r>
        <w:rPr>
          <w:iCs/>
          <w:caps/>
        </w:rPr>
      </w:r>
    </w:p>
    <w:p>
      <w:pPr>
        <w:pStyle w:val="Normal"/>
        <w:rPr>
          <w:iCs/>
          <w:caps/>
        </w:rPr>
      </w:pPr>
      <w:r>
        <w:rPr>
          <w:iCs/>
          <w:caps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48" w:name="_Toc235781502"/>
      <w:bookmarkStart w:id="49" w:name="_Toc54281228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48"/>
      <w:bookmarkEnd w:id="49"/>
    </w:p>
    <w:p>
      <w:pPr>
        <w:pStyle w:val="Normal"/>
        <w:ind w:left="357" w:hanging="357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widowControl/>
        <w:numPr>
          <w:ilvl w:val="1"/>
          <w:numId w:val="22"/>
        </w:numPr>
        <w:suppressAutoHyphens w:val="true"/>
        <w:bidi w:val="0"/>
        <w:spacing w:before="60" w:after="60"/>
        <w:ind w:left="680" w:right="0" w:hanging="0"/>
        <w:jc w:val="both"/>
        <w:rPr>
          <w:i w:val="false"/>
          <w:i w:val="false"/>
          <w:iCs w:val="false"/>
        </w:rPr>
      </w:pPr>
      <w:r>
        <w:rPr>
          <w:bCs/>
          <w:i w:val="false"/>
          <w:iCs w:val="false"/>
          <w:sz w:val="24"/>
          <w:szCs w:val="24"/>
          <w:lang w:val="x-none" w:eastAsia="x-none"/>
        </w:rPr>
        <w:t>По результатам настоящей закупки заключается договор с Участником, стоимость предложения которого является наименьшей.</w:t>
      </w:r>
    </w:p>
    <w:p>
      <w:pPr>
        <w:pStyle w:val="Normal"/>
        <w:widowControl/>
        <w:numPr>
          <w:ilvl w:val="1"/>
          <w:numId w:val="22"/>
        </w:numPr>
        <w:suppressAutoHyphens w:val="true"/>
        <w:bidi w:val="0"/>
        <w:spacing w:before="60" w:after="60"/>
        <w:ind w:left="680" w:right="0" w:hanging="0"/>
        <w:jc w:val="both"/>
        <w:rPr>
          <w:i w:val="false"/>
          <w:i w:val="false"/>
          <w:iCs w:val="false"/>
        </w:rPr>
      </w:pPr>
      <w:r>
        <w:rPr>
          <w:bCs/>
          <w:i w:val="false"/>
          <w:iCs w:val="false"/>
          <w:sz w:val="24"/>
          <w:szCs w:val="24"/>
          <w:lang w:eastAsia="x-none"/>
        </w:rPr>
        <w:t>Порядок формирования на этапе исполнения договора стоимости выполняемых услуг по заявке заказчика установлен в Проекте договора (Приложение № 2 к Документации о закупке).</w:t>
      </w:r>
    </w:p>
    <w:p>
      <w:pPr>
        <w:pStyle w:val="Normal"/>
        <w:numPr>
          <w:ilvl w:val="0"/>
          <w:numId w:val="0"/>
        </w:numPr>
        <w:spacing w:before="60" w:after="60"/>
        <w:ind w:left="1440" w:hanging="0"/>
        <w:jc w:val="both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Heading1"/>
        <w:keepLines/>
        <w:numPr>
          <w:ilvl w:val="0"/>
          <w:numId w:val="0"/>
        </w:numPr>
        <w:ind w:left="357" w:hanging="0"/>
        <w:rPr>
          <w:iCs/>
        </w:rPr>
      </w:pPr>
      <w:r>
        <w:rPr>
          <w:iCs/>
        </w:rPr>
      </w:r>
    </w:p>
    <w:p>
      <w:pPr>
        <w:pStyle w:val="Normal"/>
        <w:rPr>
          <w:rFonts w:eastAsia="Calibri"/>
          <w:b/>
          <w:iCs/>
          <w:lang w:val="x-none" w:eastAsia="x-none"/>
        </w:rPr>
      </w:pPr>
      <w:r>
        <w:rPr>
          <w:rFonts w:eastAsia="Calibri"/>
          <w:b/>
          <w:iCs/>
          <w:lang w:val="x-none" w:eastAsia="x-none"/>
        </w:rPr>
      </w:r>
    </w:p>
    <w:p>
      <w:pPr>
        <w:pStyle w:val="Heading1"/>
        <w:keepLines/>
        <w:numPr>
          <w:ilvl w:val="0"/>
          <w:numId w:val="0"/>
        </w:numPr>
        <w:spacing w:before="120" w:after="60"/>
        <w:ind w:left="0" w:hanging="0"/>
        <w:jc w:val="center"/>
        <w:rPr/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14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22"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2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7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5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>
    <w:name w:val="Ссылка указателя"/>
    <w:qFormat/>
    <w:rPr/>
  </w:style>
  <w:style w:type="character" w:styleId="Style15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character" w:styleId="Style16">
    <w:name w:val="[РГ] Инструкция для участника"/>
    <w:basedOn w:val="DefaultParagraphFont"/>
    <w:qFormat/>
    <w:rPr>
      <w:i/>
      <w:shd w:fill="D0CECE" w:val="clear"/>
      <w:lang w:val="ru-RU"/>
    </w:rPr>
  </w:style>
  <w:style w:type="character" w:styleId="Style17">
    <w:name w:val="Тема примечания Знак"/>
    <w:basedOn w:val="Style11"/>
    <w:qFormat/>
    <w:rPr>
      <w:b/>
      <w:bCs/>
      <w:sz w:val="20"/>
      <w:szCs w:val="20"/>
    </w:rPr>
  </w:style>
  <w:style w:type="character" w:styleId="Style18">
    <w:name w:val="[РГ] Отсылка"/>
    <w:basedOn w:val="DefaultParagraphFont"/>
    <w:qFormat/>
    <w:rPr>
      <w:color w:val="000000"/>
      <w:spacing w:val="0"/>
      <w:u w:val="dotted" w:color="4472C4"/>
      <w:shd w:fill="auto" w:val="clear"/>
      <w:lang w:val="ru-RU"/>
    </w:rPr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Style19">
    <w:name w:val="[РГ] Инструкция для организатора"/>
    <w:basedOn w:val="DefaultParagraphFont"/>
    <w:qFormat/>
    <w:rPr>
      <w:i/>
      <w:iCs/>
      <w:shd w:fill="FFFF99" w:val="clear"/>
      <w:lang w:val="ru-RU"/>
    </w:rPr>
  </w:style>
  <w:style w:type="character" w:styleId="Style20">
    <w:name w:val="Нижний колонтитул Знак"/>
    <w:basedOn w:val="DefaultParagraphFont"/>
    <w:qFormat/>
    <w:rPr/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 Unicode MS"/>
    </w:rPr>
  </w:style>
  <w:style w:type="paragraph" w:styleId="Style23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4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5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6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7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8" w:customStyle="1">
    <w:name w:val="Раздел регламента"/>
    <w:basedOn w:val="Normal"/>
    <w:qFormat/>
    <w:rsid w:val="00e228fa"/>
    <w:pPr/>
    <w:rPr/>
  </w:style>
  <w:style w:type="paragraph" w:styleId="Style29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0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1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1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2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3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4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Подподпункт"/>
    <w:basedOn w:val="Style27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6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7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8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9">
    <w:name w:val="Содержимое врезки"/>
    <w:basedOn w:val="Normal"/>
    <w:qFormat/>
    <w:pPr/>
    <w:rPr/>
  </w:style>
  <w:style w:type="paragraph" w:styleId="Style40">
    <w:name w:val="Содержимое таблицы"/>
    <w:basedOn w:val="Normal"/>
    <w:qFormat/>
    <w:pPr>
      <w:widowControl w:val="false"/>
      <w:suppressLineNumbers/>
    </w:pPr>
    <w:rPr/>
  </w:style>
  <w:style w:type="paragraph" w:styleId="Style41">
    <w:name w:val="Заголовок таблицы"/>
    <w:basedOn w:val="Style40"/>
    <w:qFormat/>
    <w:pPr>
      <w:suppressLineNumbers/>
      <w:jc w:val="center"/>
    </w:pPr>
    <w:rPr>
      <w:b/>
      <w:bCs/>
    </w:rPr>
  </w:style>
  <w:style w:type="paragraph" w:styleId="Tableheader">
    <w:name w:val="Table_header"/>
    <w:basedOn w:val="Normal"/>
    <w:qFormat/>
    <w:pPr>
      <w:spacing w:lineRule="auto" w:line="240" w:before="120" w:after="0"/>
      <w:ind w:left="0" w:right="0" w:hanging="0"/>
    </w:pPr>
    <w:rPr>
      <w:b/>
      <w:sz w:val="20"/>
      <w:szCs w:val="24"/>
    </w:rPr>
  </w:style>
  <w:style w:type="paragraph" w:styleId="Style42">
    <w:name w:val="[РГ] Альтернатива / Дополнение"/>
    <w:basedOn w:val="Style44"/>
    <w:next w:val="Style44"/>
    <w:qFormat/>
    <w:pPr/>
    <w:rPr>
      <w:i/>
      <w:shd w:fill="CCECFF" w:val="clear"/>
    </w:rPr>
  </w:style>
  <w:style w:type="paragraph" w:styleId="Style43">
    <w:name w:val="[РГ] Сноска"/>
    <w:basedOn w:val="FootnoteText"/>
    <w:qFormat/>
    <w:pPr>
      <w:spacing w:before="80" w:after="0"/>
      <w:ind w:left="567" w:right="0" w:hanging="567"/>
      <w:jc w:val="both"/>
    </w:pPr>
    <w:rPr>
      <w:sz w:val="22"/>
    </w:rPr>
  </w:style>
  <w:style w:type="paragraph" w:styleId="Style44">
    <w:name w:val="[РГ] Текст"/>
    <w:basedOn w:val="Normal"/>
    <w:qFormat/>
    <w:pPr>
      <w:jc w:val="both"/>
    </w:pPr>
    <w:rPr/>
  </w:style>
  <w:style w:type="paragraph" w:styleId="Style45">
    <w:name w:val="[РГ] Заголовок"/>
    <w:basedOn w:val="Normal"/>
    <w:next w:val="Style44"/>
    <w:qFormat/>
    <w:pPr>
      <w:keepNext w:val="true"/>
      <w:pageBreakBefore/>
      <w:spacing w:before="0" w:after="360"/>
      <w:jc w:val="both"/>
    </w:pPr>
    <w:rPr>
      <w:b/>
      <w:bCs/>
      <w:caps/>
    </w:rPr>
  </w:style>
  <w:style w:type="paragraph" w:styleId="Style46">
    <w:name w:val="[РГ] Перечисление"/>
    <w:basedOn w:val="Normal"/>
    <w:qFormat/>
    <w:pPr>
      <w:jc w:val="both"/>
      <w:outlineLvl w:val="4"/>
    </w:pPr>
    <w:rPr/>
  </w:style>
  <w:style w:type="paragraph" w:styleId="Style47">
    <w:name w:val="[РГ] Подпункт"/>
    <w:basedOn w:val="Normal"/>
    <w:qFormat/>
    <w:pPr>
      <w:jc w:val="both"/>
      <w:outlineLvl w:val="3"/>
    </w:pPr>
    <w:rPr/>
  </w:style>
  <w:style w:type="paragraph" w:styleId="Style48">
    <w:name w:val="[РГ] Пункт"/>
    <w:basedOn w:val="Normal"/>
    <w:qFormat/>
    <w:pPr>
      <w:jc w:val="both"/>
      <w:outlineLvl w:val="2"/>
    </w:pPr>
    <w:rPr/>
  </w:style>
  <w:style w:type="paragraph" w:styleId="Style49">
    <w:name w:val="[РГ] Подраздел"/>
    <w:basedOn w:val="Normal"/>
    <w:next w:val="Style48"/>
    <w:qFormat/>
    <w:pPr>
      <w:keepNext w:val="true"/>
      <w:spacing w:before="360" w:after="0"/>
      <w:jc w:val="both"/>
      <w:outlineLvl w:val="1"/>
    </w:pPr>
    <w:rPr>
      <w:b/>
      <w:bCs/>
    </w:rPr>
  </w:style>
  <w:style w:type="paragraph" w:styleId="Style50">
    <w:name w:val="[РГ] Раздел"/>
    <w:basedOn w:val="Normal"/>
    <w:next w:val="Style49"/>
    <w:qFormat/>
    <w:pPr>
      <w:keepNext w:val="true"/>
      <w:pageBreakBefore/>
      <w:spacing w:before="0" w:after="360"/>
      <w:jc w:val="both"/>
      <w:outlineLvl w:val="0"/>
    </w:pPr>
    <w:rPr>
      <w:b/>
      <w:bCs/>
      <w:caps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D964E-2ACE-4132-B9BC-50F0488BE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Application>AlterOffice/3.4.0.9$Linux_X86_64 LibreOffice_project/b8daf9e823b1a5463a2f48435ddc2e8696e7d4fc</Application>
  <AppVersion>15.0000</AppVersion>
  <Pages>14</Pages>
  <Words>1835</Words>
  <Characters>12192</Characters>
  <CharactersWithSpaces>13687</CharactersWithSpaces>
  <Paragraphs>289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2026-07-24T00:20:00Z</dcterms:created>
  <dc:creator>Быстров Олег Геннадьевич</dc:creator>
  <dc:description/>
  <dc:language>ru-RU</dc:language>
  <cp:lastModifiedBy>lisitchenkoma@corp.gidroogk.com</cp:lastModifiedBy>
  <cp:lastPrinted>2006-07-26T14:04:00Z</cp:lastPrinted>
  <dcterms:modified xsi:type="dcterms:W3CDTF">2026-08-05T16:09:21Z</dcterms:modified>
  <cp:revision>11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