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</w:r>
    </w:p>
    <w:p>
      <w:pPr>
        <w:pStyle w:val="Normal"/>
        <w:jc w:val="right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</w:r>
    </w:p>
    <w:p>
      <w:pPr>
        <w:pStyle w:val="Normal"/>
        <w:jc w:val="right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</w:r>
    </w:p>
    <w:p>
      <w:pPr>
        <w:pStyle w:val="Normal"/>
        <w:jc w:val="right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</w:r>
    </w:p>
    <w:p>
      <w:pPr>
        <w:pStyle w:val="Normal"/>
        <w:jc w:val="right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ОКПД2 43.99.30.100 Выполнение дополнительных работ при устройстве свайных фундаментов для нужд Волжского филиала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0" w:name="__RefHeading___Toc47653_2939175109"/>
      <w:bookmarkStart w:id="1" w:name="_Toc51921655"/>
      <w:bookmarkStart w:id="2" w:name="_Toc125123764"/>
      <w:bookmarkEnd w:id="0"/>
      <w:r>
        <w:rPr/>
        <w:t>Общие сведения</w:t>
      </w:r>
      <w:bookmarkEnd w:id="1"/>
      <w:bookmarkEnd w:id="2"/>
    </w:p>
    <w:p>
      <w:pPr>
        <w:pStyle w:val="Normal"/>
        <w:rPr>
          <w:rStyle w:val="Style8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709" w:hanging="709"/>
        <w:rPr>
          <w:sz w:val="28"/>
        </w:rPr>
      </w:pPr>
      <w:bookmarkStart w:id="3" w:name="__RefHeading___Toc47655_2939175109"/>
      <w:bookmarkStart w:id="4" w:name="_Toc125123765"/>
      <w:bookmarkEnd w:id="3"/>
      <w:r>
        <w:rPr/>
        <w:t>Обозначения и сокращения</w:t>
      </w:r>
      <w:bookmarkEnd w:id="4"/>
    </w:p>
    <w:p>
      <w:pPr>
        <w:pStyle w:val="Normal"/>
        <w:keepNext w:val="true"/>
        <w:keepLines/>
        <w:spacing w:before="120" w:after="120"/>
        <w:jc w:val="both"/>
        <w:rPr>
          <w:b/>
          <w:bCs/>
          <w:i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iCs/>
                <w:sz w:val="24"/>
                <w:szCs w:val="24"/>
                <w:shd w:fill="auto" w:val="clear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iCs/>
                <w:sz w:val="24"/>
                <w:szCs w:val="24"/>
                <w:shd w:fill="auto" w:val="clear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Нормативно-технический документ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Технологическая карта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Подъёмное сооружение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РТН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Ростехнадзор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ПДЭК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Постоянно действующая экзаменационная комиссия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Охрана труда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КРУЭ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Комплектное распределительное устройство с элегазовой изоляцией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709" w:hanging="709"/>
        <w:rPr/>
      </w:pPr>
      <w:bookmarkStart w:id="5" w:name="__RefHeading___Toc47657_2939175109"/>
      <w:bookmarkStart w:id="6" w:name="_Toc125123766"/>
      <w:bookmarkEnd w:id="5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ОКПД2 43.99.30.100 </w:t>
      </w:r>
      <w:r>
        <w:rPr>
          <w:rFonts w:eastAsia="Calibri"/>
          <w:iCs/>
          <w:sz w:val="26"/>
          <w:szCs w:val="26"/>
        </w:rPr>
        <w:t>Выполнение дополнительных работ при устройстве свайных фундаментов для нужд Волжского филиала.</w:t>
      </w:r>
    </w:p>
    <w:p>
      <w:pPr>
        <w:pStyle w:val="Heading4"/>
        <w:numPr>
          <w:ilvl w:val="1"/>
          <w:numId w:val="3"/>
        </w:numPr>
        <w:ind w:left="709" w:hanging="709"/>
        <w:rPr>
          <w:lang w:val="ru-RU"/>
        </w:rPr>
      </w:pPr>
      <w:bookmarkStart w:id="7" w:name="__RefHeading___Toc47659_2939175109"/>
      <w:bookmarkStart w:id="8" w:name="_Toc125123767"/>
      <w:bookmarkEnd w:id="7"/>
      <w:r>
        <w:rPr/>
        <w:t xml:space="preserve">Цель </w:t>
      </w:r>
      <w:r>
        <w:rPr>
          <w:lang w:val="ru-RU"/>
        </w:rPr>
        <w:t>выполнения работ</w:t>
      </w:r>
      <w:bookmarkEnd w:id="8"/>
      <w:r>
        <w:rPr>
          <w:lang w:val="ru-RU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cs="Times New Roman" w:eastAsiaTheme="minorHAnsi"/>
          <w:sz w:val="24"/>
          <w:szCs w:val="24"/>
          <w:lang w:eastAsia="en-US"/>
        </w:rPr>
        <w:t xml:space="preserve">Выполнение работ производится в целях исполнения договора </w:t>
      </w:r>
      <w:r>
        <w:rPr>
          <w:rFonts w:eastAsia="Times New Roman" w:cs="Times New Roman"/>
          <w:sz w:val="28"/>
          <w:szCs w:val="28"/>
          <w:lang w:eastAsia="en-US"/>
        </w:rPr>
        <w:t>подряда № 1050-1786-2026/5-ТПиР-БЕЗОП-2026 от 24.04.2026г. «Работы по разработке рабочей документации, монтажу заграждения защитного здания КРУЭ-500 кВ Волжской ГЭС»</w:t>
      </w:r>
    </w:p>
    <w:p>
      <w:pPr>
        <w:pStyle w:val="Heading4"/>
        <w:numPr>
          <w:ilvl w:val="0"/>
          <w:numId w:val="0"/>
        </w:numPr>
        <w:ind w:left="0" w:hanging="0"/>
        <w:rPr>
          <w:bCs/>
        </w:rPr>
      </w:pPr>
      <w:r>
        <w:rPr>
          <w:bCs/>
        </w:rPr>
      </w:r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/>
      </w:pPr>
      <w:bookmarkStart w:id="9" w:name="__RefHeading___Toc47663_2939175109"/>
      <w:bookmarkStart w:id="10" w:name="_Toc125123769"/>
      <w:bookmarkEnd w:id="9"/>
      <w:r>
        <w:rPr/>
        <w:t>Таблица 1. Перечень объектов заказчика</w:t>
      </w:r>
      <w:bookmarkEnd w:id="10"/>
    </w:p>
    <w:tbl>
      <w:tblPr>
        <w:tblW w:w="1006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40"/>
        <w:gridCol w:w="3627"/>
        <w:gridCol w:w="5496"/>
      </w:tblGrid>
      <w:tr>
        <w:trPr/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  <w:t>(место производства работ)</w:t>
            </w:r>
          </w:p>
        </w:tc>
      </w:tr>
      <w:tr>
        <w:trPr/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>
        <w:trPr>
          <w:trHeight w:val="677" w:hRule="atLeast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Здание КРУЭ-500 кВ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«РусГидро»-«Волжская ГЭС им. Ф.Г. Логинова» Российская Федерация, 404130, Волгоградская обл., г. Волжский, пр-т Ленина, д. 1А.</w:t>
            </w:r>
          </w:p>
        </w:tc>
      </w:tr>
    </w:tbl>
    <w:p>
      <w:pPr>
        <w:pStyle w:val="ListParagraph"/>
        <w:widowControl w:val="false"/>
        <w:tabs>
          <w:tab w:val="clear" w:pos="708"/>
          <w:tab w:val="left" w:pos="426" w:leader="none"/>
        </w:tabs>
        <w:spacing w:before="0" w:after="0"/>
        <w:contextualSpacing w:val="false"/>
        <w:jc w:val="both"/>
        <w:rPr>
          <w:rStyle w:val="Style8"/>
          <w:b w:val="false"/>
          <w:iCs/>
          <w:sz w:val="26"/>
          <w:szCs w:val="26"/>
        </w:rPr>
      </w:pPr>
      <w:r>
        <w:rPr>
          <w:b w:val="false"/>
          <w:iCs/>
          <w:sz w:val="26"/>
          <w:szCs w:val="26"/>
        </w:rPr>
      </w:r>
    </w:p>
    <w:p>
      <w:pPr>
        <w:pStyle w:val="Normal"/>
        <w:jc w:val="both"/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</w:rPr>
        <w:t xml:space="preserve">Производство работ по </w:t>
      </w:r>
      <w:r>
        <w:rPr>
          <w:rFonts w:eastAsia="Calibri"/>
          <w:i w:val="false"/>
          <w:iCs w:val="false"/>
          <w:sz w:val="24"/>
          <w:szCs w:val="24"/>
        </w:rPr>
        <w:t xml:space="preserve">устройству фундаментов стоек </w:t>
      </w:r>
      <w:r>
        <w:rPr>
          <w:i w:val="false"/>
          <w:iCs w:val="false"/>
          <w:sz w:val="24"/>
          <w:szCs w:val="24"/>
        </w:rPr>
        <w:t>осуществляется: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>- вблизи объектов, находящихся под напряжением;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>- в охранной зоне действующей воздушной линии электропередачи;</w:t>
      </w:r>
    </w:p>
    <w:p>
      <w:pPr>
        <w:pStyle w:val="Normal"/>
        <w:widowControl/>
        <w:suppressAutoHyphens w:val="true"/>
        <w:bidi w:val="0"/>
        <w:spacing w:before="0" w:after="0"/>
        <w:ind w:left="170" w:right="0" w:hanging="170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>- внутри объектов капитального строительства, внутренняя проводка в которых не обесточена,    что приведёт к ограничению действий рабочих;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- </w:t>
      </w:r>
      <w:r>
        <w:rPr>
          <w:i w:val="false"/>
          <w:iCs w:val="false"/>
          <w:color w:val="000000"/>
          <w:sz w:val="24"/>
          <w:szCs w:val="24"/>
        </w:rPr>
        <w:t>разветвленной сети транспортных и инженерных коммуникаций;</w:t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  <w:t>- стесненных условий для складирования материалов;</w:t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  <w:t>- действующего технологического оборудования;</w:t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color w:val="000000"/>
          <w:sz w:val="24"/>
          <w:szCs w:val="24"/>
        </w:rPr>
        <w:t>- движения технологического транспорта.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709" w:hanging="709"/>
        <w:rPr/>
      </w:pPr>
      <w:bookmarkStart w:id="11" w:name="__RefHeading___Toc47665_2939175109"/>
      <w:bookmarkStart w:id="12" w:name="_Toc125123770"/>
      <w:bookmarkStart w:id="13" w:name="_Toc51955687"/>
      <w:bookmarkStart w:id="14" w:name="_Toc51921825"/>
      <w:bookmarkStart w:id="15" w:name="_Toc51955849"/>
      <w:bookmarkStart w:id="16" w:name="_Toc51955800"/>
      <w:bookmarkStart w:id="17" w:name="_Toc51955736"/>
      <w:bookmarkStart w:id="18" w:name="_Toc51921824"/>
      <w:bookmarkStart w:id="19" w:name="_Toc51955848"/>
      <w:bookmarkStart w:id="20" w:name="_Toc51955799"/>
      <w:bookmarkStart w:id="21" w:name="_Toc51955737"/>
      <w:bookmarkStart w:id="22" w:name="_Toc51955803"/>
      <w:bookmarkStart w:id="23" w:name="_Toc51921823"/>
      <w:bookmarkStart w:id="24" w:name="_Toc51955735"/>
      <w:bookmarkStart w:id="25" w:name="_Toc51955688"/>
      <w:bookmarkStart w:id="26" w:name="_Toc51921821"/>
      <w:bookmarkStart w:id="27" w:name="_Toc51955797"/>
      <w:bookmarkStart w:id="28" w:name="_Toc51955846"/>
      <w:bookmarkStart w:id="29" w:name="_Toc51921822"/>
      <w:bookmarkStart w:id="30" w:name="_Toc51955685"/>
      <w:bookmarkStart w:id="31" w:name="_Toc51955734"/>
      <w:bookmarkStart w:id="32" w:name="_Toc51955798"/>
      <w:bookmarkStart w:id="33" w:name="_Toc51955733"/>
      <w:bookmarkStart w:id="34" w:name="_Toc51955686"/>
      <w:bookmarkStart w:id="35" w:name="_Toc51955847"/>
      <w:bookmarkStart w:id="36" w:name="_Toc51955684"/>
      <w:bookmarkStart w:id="37" w:name="_Toc51955691"/>
      <w:bookmarkStart w:id="38" w:name="_Toc51955740"/>
      <w:bookmarkStart w:id="39" w:name="_Toc51955804"/>
      <w:bookmarkStart w:id="40" w:name="_Toc51921829"/>
      <w:bookmarkStart w:id="41" w:name="_Toc51955692"/>
      <w:bookmarkStart w:id="42" w:name="_Toc51955805"/>
      <w:bookmarkStart w:id="43" w:name="_Toc51955854"/>
      <w:bookmarkStart w:id="44" w:name="_Toc51955801"/>
      <w:bookmarkStart w:id="45" w:name="_Toc51921828"/>
      <w:bookmarkStart w:id="46" w:name="_Toc51955739"/>
      <w:bookmarkStart w:id="47" w:name="_Toc51955741"/>
      <w:bookmarkStart w:id="48" w:name="_Toc51955853"/>
      <w:bookmarkStart w:id="49" w:name="_Toc51921826"/>
      <w:bookmarkStart w:id="50" w:name="_Toc51955850"/>
      <w:bookmarkStart w:id="51" w:name="_Toc51955852"/>
      <w:bookmarkStart w:id="52" w:name="_Toc51955690"/>
      <w:bookmarkStart w:id="53" w:name="_Toc51955689"/>
      <w:bookmarkStart w:id="54" w:name="_Toc51955802"/>
      <w:bookmarkStart w:id="55" w:name="_Toc51955851"/>
      <w:bookmarkStart w:id="56" w:name="_Toc51921827"/>
      <w:bookmarkStart w:id="57" w:name="_Toc51955738"/>
      <w:bookmarkEnd w:id="11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rPr/>
        <w:t xml:space="preserve">Информация в отношении исполнения договора, </w:t>
      </w:r>
      <w:bookmarkStart w:id="58" w:name="_Hlk46492347"/>
      <w:r>
        <w:rPr/>
        <w:t xml:space="preserve">которая должна быть учтена при подготовке заявки </w:t>
      </w:r>
      <w:bookmarkEnd w:id="58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2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120"/>
        <w:contextualSpacing/>
        <w:jc w:val="both"/>
        <w:rPr>
          <w:iCs/>
          <w:sz w:val="24"/>
          <w:szCs w:val="24"/>
        </w:rPr>
      </w:pPr>
      <w:bookmarkStart w:id="59" w:name="_Hlk48209615"/>
      <w:bookmarkEnd w:id="59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Подрядчик </w:t>
      </w:r>
      <w:r>
        <w:rPr>
          <w:iCs/>
          <w:sz w:val="24"/>
          <w:szCs w:val="24"/>
        </w:rPr>
        <w:t xml:space="preserve">предоставляет субподрядчику на время производства работ безвозмездно: 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Следующие виды ресурсов:</w:t>
      </w:r>
    </w:p>
    <w:p>
      <w:pPr>
        <w:pStyle w:val="ListParagraph"/>
        <w:widowControl w:val="false"/>
        <w:numPr>
          <w:ilvl w:val="1"/>
          <w:numId w:val="11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Электроэнергия;</w:t>
      </w:r>
    </w:p>
    <w:p>
      <w:pPr>
        <w:pStyle w:val="ListParagraph"/>
        <w:widowControl w:val="false"/>
        <w:numPr>
          <w:ilvl w:val="1"/>
          <w:numId w:val="11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>
          <w:rFonts w:eastAsia="Times New Roman"/>
          <w:iCs/>
        </w:rPr>
      </w:pPr>
      <w:r>
        <w:rPr>
          <w:rFonts w:eastAsia="Times New Roman"/>
          <w:iCs/>
        </w:rPr>
        <w:t>Вода.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>
          <w:iCs/>
        </w:rPr>
      </w:pPr>
      <w:r>
        <w:rPr>
          <w:rFonts w:eastAsia="Times New Roman"/>
          <w:iCs/>
        </w:rPr>
        <w:t>Материалы:</w:t>
      </w:r>
    </w:p>
    <w:p>
      <w:pPr>
        <w:pStyle w:val="ListParagraph"/>
        <w:widowControl w:val="false"/>
        <w:numPr>
          <w:ilvl w:val="1"/>
          <w:numId w:val="11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>
          <w:iCs/>
        </w:rPr>
      </w:pPr>
      <w:r>
        <w:rPr>
          <w:iCs/>
        </w:rPr>
        <w:t>В соответствии с ведомостью объемов работ (Приложение №1 к настоящим Техническим требованиям).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before="0" w:after="120"/>
        <w:ind w:left="792" w:hanging="0"/>
        <w:contextualSpacing/>
        <w:jc w:val="both"/>
        <w:rPr>
          <w:iCs/>
        </w:rPr>
      </w:pPr>
      <w:r>
        <w:rPr>
          <w:iCs/>
        </w:rPr>
        <w:t>Материалы передаются подрядчику по накладным М-15 по письменной заявке и учитываются в сметном расчете как давальческие с нулевой стоимостью.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426" w:leader="none"/>
        </w:tabs>
        <w:spacing w:before="0" w:after="120"/>
        <w:contextualSpacing/>
        <w:jc w:val="both"/>
        <w:rPr/>
      </w:pPr>
      <w:r>
        <w:rPr>
          <w:iCs/>
        </w:rPr>
        <w:t>Площади для складирования материалов.</w:t>
      </w:r>
    </w:p>
    <w:p>
      <w:pPr>
        <w:pStyle w:val="Normal"/>
        <w:rPr>
          <w:rStyle w:val="Style8"/>
          <w:b w:val="false"/>
          <w:iCs/>
          <w:sz w:val="2"/>
          <w:szCs w:val="24"/>
        </w:rPr>
      </w:pPr>
      <w:r>
        <w:rPr>
          <w:b w:val="false"/>
          <w:iCs/>
          <w:sz w:val="2"/>
          <w:szCs w:val="24"/>
        </w:rPr>
      </w:r>
      <w:bookmarkStart w:id="60" w:name="_Hlk482096151"/>
      <w:bookmarkStart w:id="61" w:name="_Hlk48209761"/>
      <w:bookmarkStart w:id="62" w:name="_Hlk482096151"/>
      <w:bookmarkStart w:id="63" w:name="_Hlk48209761"/>
      <w:bookmarkEnd w:id="62"/>
      <w:bookmarkEnd w:id="6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6"/>
          <w:szCs w:val="26"/>
        </w:rPr>
      </w:pPr>
      <w:r>
        <w:rPr>
          <w:b w:val="false"/>
          <w:bCs/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64" w:name="__RefHeading___Toc47667_2939175109"/>
      <w:bookmarkStart w:id="65" w:name="_Toc125123771"/>
      <w:bookmarkStart w:id="66" w:name="_Toc51921656"/>
      <w:bookmarkEnd w:id="64"/>
      <w:r>
        <w:rPr/>
        <w:t>Требования к продукции</w:t>
      </w:r>
      <w:bookmarkEnd w:id="65"/>
      <w:bookmarkEnd w:id="66"/>
    </w:p>
    <w:p>
      <w:pPr>
        <w:pStyle w:val="Heading4"/>
        <w:numPr>
          <w:ilvl w:val="1"/>
          <w:numId w:val="3"/>
        </w:numPr>
        <w:ind w:left="709" w:hanging="709"/>
        <w:rPr/>
      </w:pPr>
      <w:bookmarkStart w:id="67" w:name="__RefHeading___Toc47669_2939175109"/>
      <w:bookmarkStart w:id="68" w:name="_Toc125123772"/>
      <w:bookmarkEnd w:id="67"/>
      <w:r>
        <w:rPr/>
        <w:t>Требования к объемам и срокам выполнения работ</w:t>
      </w:r>
      <w:bookmarkEnd w:id="68"/>
    </w:p>
    <w:p>
      <w:pPr>
        <w:pStyle w:val="Heading3"/>
        <w:numPr>
          <w:ilvl w:val="2"/>
          <w:numId w:val="3"/>
        </w:numPr>
        <w:ind w:left="709" w:hanging="709"/>
        <w:rPr/>
      </w:pPr>
      <w:bookmarkStart w:id="69" w:name="__RefHeading___Toc47671_2939175109"/>
      <w:bookmarkStart w:id="70" w:name="_Toc125123773"/>
      <w:bookmarkStart w:id="71" w:name="_Toc51921657"/>
      <w:bookmarkEnd w:id="69"/>
      <w:r>
        <w:rPr/>
        <w:t>Требования к видам и объемам работ</w:t>
      </w:r>
      <w:bookmarkEnd w:id="70"/>
      <w:bookmarkEnd w:id="71"/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>
          <w:lang w:val="ru-RU"/>
        </w:rPr>
      </w:pPr>
      <w:bookmarkStart w:id="72" w:name="__RefHeading___Toc47673_2939175109"/>
      <w:bookmarkStart w:id="73" w:name="_Toc51921658"/>
      <w:bookmarkStart w:id="74" w:name="_Toc125123774"/>
      <w:bookmarkStart w:id="75" w:name="_Toc35351358"/>
      <w:bookmarkEnd w:id="72"/>
      <w:r>
        <w:rPr/>
        <w:t>Таблица</w:t>
      </w:r>
      <w:r>
        <w:rPr>
          <w:lang w:val="ru-RU"/>
        </w:rPr>
        <w:t> 2</w:t>
      </w:r>
      <w:r>
        <w:rPr/>
        <w:t xml:space="preserve">. </w:t>
      </w:r>
      <w:bookmarkEnd w:id="75"/>
      <w:r>
        <w:rPr>
          <w:lang w:val="ru-RU"/>
        </w:rPr>
        <w:t>Перечень и объем выполняемых работ</w:t>
      </w:r>
      <w:bookmarkEnd w:id="73"/>
      <w:bookmarkEnd w:id="74"/>
    </w:p>
    <w:tbl>
      <w:tblPr>
        <w:tblW w:w="9698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8"/>
        <w:gridCol w:w="4111"/>
        <w:gridCol w:w="2697"/>
        <w:gridCol w:w="2151"/>
      </w:tblGrid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6"/>
                <w:szCs w:val="26"/>
              </w:rPr>
              <w:t>ОКПД2 43.99.30.100 Выполнение дополнительных работ при устройстве свайных фундаментов для нужд Волжского филиала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соответствии с ведомостью объемов работ (Приложение №1 к настоящим Техническим требованиям)</w:t>
            </w:r>
          </w:p>
        </w:tc>
      </w:tr>
    </w:tbl>
    <w:p>
      <w:pPr>
        <w:pStyle w:val="Style27"/>
        <w:numPr>
          <w:ilvl w:val="0"/>
          <w:numId w:val="0"/>
        </w:numPr>
        <w:ind w:left="0" w:hanging="0"/>
        <w:jc w:val="left"/>
        <w:outlineLvl w:val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ind w:left="709" w:hanging="709"/>
        <w:rPr/>
      </w:pPr>
      <w:bookmarkStart w:id="76" w:name="__RefHeading___Toc47675_2939175109"/>
      <w:bookmarkStart w:id="77" w:name="_Toc125123775"/>
      <w:bookmarkStart w:id="78" w:name="_Toc51921659"/>
      <w:bookmarkEnd w:id="76"/>
      <w:r>
        <w:rPr/>
        <w:t>Требования к срокам выполнения работ</w:t>
      </w:r>
      <w:bookmarkStart w:id="79" w:name="_Toc51921660"/>
      <w:bookmarkEnd w:id="77"/>
      <w:bookmarkEnd w:id="78"/>
    </w:p>
    <w:p>
      <w:pPr>
        <w:pStyle w:val="Style27"/>
        <w:numPr>
          <w:ilvl w:val="0"/>
          <w:numId w:val="0"/>
        </w:numPr>
        <w:ind w:left="0" w:hanging="0"/>
        <w:jc w:val="left"/>
        <w:outlineLvl w:val="0"/>
        <w:rPr/>
      </w:pPr>
      <w:bookmarkStart w:id="80" w:name="__RefHeading___Toc47677_2939175109"/>
      <w:bookmarkStart w:id="81" w:name="_Toc125123776"/>
      <w:bookmarkEnd w:id="80"/>
      <w:r>
        <w:rPr/>
        <w:t>Таблица 3. Требования по срокам выполнения работ</w:t>
      </w:r>
      <w:bookmarkEnd w:id="79"/>
      <w:bookmarkEnd w:id="81"/>
    </w:p>
    <w:p>
      <w:pPr>
        <w:pStyle w:val="Normal"/>
        <w:widowControl w:val="false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tbl>
      <w:tblPr>
        <w:tblW w:w="9805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57"/>
        <w:gridCol w:w="4063"/>
        <w:gridCol w:w="2041"/>
        <w:gridCol w:w="2443"/>
      </w:tblGrid>
      <w:tr>
        <w:trPr/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работ/ этапа работ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началу срока выполнения работ/ этапа работ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szCs w:val="22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ОКПД2 43.99.30.100 </w:t>
            </w:r>
            <w:r>
              <w:rPr>
                <w:rFonts w:eastAsia="Calibri"/>
                <w:iCs/>
                <w:sz w:val="26"/>
                <w:szCs w:val="26"/>
              </w:rPr>
              <w:t>Выполнение дополнительных работ при устройстве свайных фундаментов для нужд Волжского филиала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iCs/>
                <w:sz w:val="24"/>
                <w:szCs w:val="24"/>
              </w:rPr>
              <w:t>Не позднее 10.09.2026</w:t>
            </w:r>
            <w:r>
              <w:rPr>
                <w:iCs/>
                <w:sz w:val="24"/>
                <w:szCs w:val="24"/>
                <w:lang w:val="en-US"/>
              </w:rPr>
              <w:t>*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8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*Срок установлен в соответствии с условиями договора, указанного в п.1.3 технических требований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iCs/>
        </w:rPr>
      </w:pPr>
      <w:bookmarkStart w:id="82" w:name="__RefHeading___Toc47679_2939175109"/>
      <w:bookmarkStart w:id="83" w:name="_Toc125123777"/>
      <w:bookmarkEnd w:id="82"/>
      <w:r>
        <w:rPr/>
        <w:t>Требования к качеству работ</w:t>
      </w:r>
      <w:bookmarkEnd w:id="83"/>
    </w:p>
    <w:p>
      <w:pPr>
        <w:pStyle w:val="Style27"/>
        <w:numPr>
          <w:ilvl w:val="0"/>
          <w:numId w:val="0"/>
        </w:numPr>
        <w:spacing w:before="60" w:after="120"/>
        <w:ind w:left="0" w:hanging="0"/>
        <w:contextualSpacing/>
        <w:jc w:val="left"/>
        <w:outlineLvl w:val="0"/>
        <w:rPr>
          <w:rStyle w:val="Style8"/>
          <w:iCs/>
        </w:rPr>
      </w:pPr>
      <w:bookmarkStart w:id="84" w:name="__RefHeading___Toc47681_2939175109"/>
      <w:bookmarkStart w:id="85" w:name="_Toc51921661"/>
      <w:bookmarkStart w:id="86" w:name="_Toc125123778"/>
      <w:bookmarkEnd w:id="84"/>
      <w:r>
        <w:rPr/>
        <w:t>Таблица 4. Требования к качеству работ</w:t>
      </w:r>
      <w:bookmarkEnd w:id="85"/>
      <w:bookmarkEnd w:id="86"/>
      <w:r>
        <w:rPr/>
        <w:t xml:space="preserve"> 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Наименование работ: </w:t>
      </w:r>
      <w:r>
        <w:rPr>
          <w:rFonts w:eastAsia="Calibri"/>
          <w:b/>
          <w:iCs/>
          <w:sz w:val="24"/>
          <w:szCs w:val="24"/>
        </w:rPr>
        <w:t xml:space="preserve">ОКПД2 43.99.30.100 </w:t>
      </w:r>
      <w:r>
        <w:rPr>
          <w:rFonts w:eastAsia="Calibri"/>
          <w:b/>
          <w:iCs/>
          <w:sz w:val="26"/>
          <w:szCs w:val="26"/>
        </w:rPr>
        <w:t>Выполнение дополнительных работ при устройстве свайных фундаментов для нужд Волжского филиала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7"/>
        <w:tblW w:w="14675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4"/>
        <w:gridCol w:w="1946"/>
        <w:gridCol w:w="11805"/>
      </w:tblGrid>
      <w:tr>
        <w:trPr/>
        <w:tc>
          <w:tcPr>
            <w:tcW w:w="9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8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34" w:hRule="atLeast"/>
        </w:trPr>
        <w:tc>
          <w:tcPr>
            <w:tcW w:w="9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8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contextualSpacing/>
              <w:jc w:val="left"/>
              <w:outlineLvl w:val="2"/>
              <w:rPr>
                <w:rFonts w:eastAsia="Times New Roman"/>
                <w:iCs/>
                <w:lang w:val="ru-RU" w:eastAsia="ru-RU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805" w:type="dxa"/>
            <w:tcBorders/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227" w:hanging="0"/>
              <w:contextualSpacing/>
              <w:jc w:val="left"/>
              <w:rPr>
                <w:rStyle w:val="Style8"/>
                <w:b w:val="false"/>
                <w:iCs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-«Правила организации технического обслуживания и ремонта объектов электроэнергетики», зарегистрирован 26.03.2019; приказ Минэнерго России от 25.10.2017 №1013;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-Правила по охране труда при эксплуатации электроустановок», приказ Минтруда России от 15.12.2020 №903н;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-Приказ №461 от 26.11.2020 г.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 Правила по охране труда при работе с инструментом и приспособлениями», утвержденные Приказом Минтруда России от 27.11.2020 №835н;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 Правила по охране труда при размещении,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-«Правила по охране труда при погрузочно-разгрузочных работах и размещении грузов», утвержденные приказом Министерства труда и социальной защиты Российской Федерации от 28.10.2020 № 753н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-«Инструкции по обращению с отходами производства и потребления Волжской ГЭС»;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 Правил противопожарного режима в Российской Федерации (утв. Постановлением РФ от 16 сентября 2020 г. №1479)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 РД 153-34.0-03.301-00 (ВППБ 01-02-95) «Правила пожарной безопасности для энергетических предприятий». приспособлениями» Зарегистрировано в Минюсте России 11 декабря 2020 г. N 61411 Приказ от 27 ноября 2020 г. N 835н;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10" w:hanging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- Правила по охране труда при строительстве, реконструкции и ремонте, утвержденные Приказом Минтруда России от 11 декабря 2020 года N 883н.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</w:tr>
      <w:tr>
        <w:trPr>
          <w:trHeight w:val="2041" w:hRule="atLeast"/>
        </w:trPr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субподрядчика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contextualSpacing/>
              <w:jc w:val="left"/>
              <w:outlineLvl w:val="2"/>
              <w:rPr>
                <w:rFonts w:eastAsia="Times New Roman"/>
                <w:b w:val="false"/>
                <w:i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- Допуск персонала субподрядчика для выполнения работ осуществляться в соответствии с </w:t>
            </w:r>
            <w:bookmarkStart w:id="87" w:name="_Hlk125115769"/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Приказом ПАО «РусГидро от 28.04.2023 №300 Об утверждении Регламента процесса «Допуск персонала подрядных организаций на объекты ПАО «РусГидро» </w:t>
            </w:r>
            <w:bookmarkEnd w:id="87"/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Приложение №3 к ТТ)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» с обязательным оформлением необходимых нарядов-допусков;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Подготовка рабочих мест и допуск к выполнению работ выполняет персонал Генподрядчика.</w:t>
            </w:r>
          </w:p>
        </w:tc>
      </w:tr>
      <w:tr>
        <w:trPr>
          <w:trHeight w:val="1349" w:hRule="atLeast"/>
        </w:trPr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работ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Разработка субподрядчиком проектов производства работ (ППР) и технологических карт (ТК), в том числе на работы с применением подъемных сооружений (ПС), планов производства работ на высоте или технологических карт на производство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Организация работ по согласованию ППР и ТК входит в обязанности субподрядчика.</w:t>
            </w:r>
          </w:p>
        </w:tc>
      </w:tr>
      <w:tr>
        <w:trPr>
          <w:trHeight w:val="728" w:hRule="atLeast"/>
        </w:trPr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используемым материалам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lang w:val="x-none" w:eastAsia="x-none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Качество применяемых материалов подтверждается сертификатами качества.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581" w:hRule="atLeast"/>
        </w:trPr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</w:tr>
      <w:tr>
        <w:trPr>
          <w:trHeight w:val="2320" w:hRule="atLeast"/>
        </w:trPr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запасных частей и материалов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Субподрядчик осуществляет входной контроль поступающих материалов и запасных частей, включающий в себя проверку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hd w:fill="auto" w:val="clear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hd w:fill="auto" w:val="clear"/>
                <w:lang w:val="ru-RU" w:eastAsia="ru-RU" w:bidi="ar-SA"/>
              </w:rPr>
              <w:t>наличия маркировки, сохранности упаковки, наличия и сохранности защитных и окрасочных покрытий и т.п.;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60"/>
              <w:ind w:left="170" w:hanging="170"/>
              <w:contextualSpacing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hd w:fill="auto" w:val="clear"/>
                <w:lang w:val="ru-RU" w:eastAsia="ru-RU" w:bidi="ar-SA"/>
              </w:rPr>
              <w:t>комплектности поставляемых материалов.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Style w:val="Style8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персоналу субподрядчика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contextualSpacing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88" w:name="__RefHeading___Toc47683_2939175109"/>
            <w:bookmarkStart w:id="89" w:name="_Toc125123779"/>
            <w:bookmarkEnd w:id="88"/>
            <w:r>
              <w:rPr>
                <w:rFonts w:eastAsia="Times New Roman" w:cs="Times New Roman"/>
                <w:b w:val="false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субподрядчика, привлекаемого к выполнению работ</w:t>
            </w:r>
            <w:bookmarkEnd w:id="89"/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Привлекаемые к выполнению работ сотрудники должны: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быть старше 18 лет;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иметь группы по электробезопасности не ниже 2гр. в  соответствии с требованиями Правил по охране труда при эксплуатации электроустановок утв. Приказом Минтруда и соц. защиты РФ от 15 декабря 2020 года N 903н и прошедшие проверку знаний требований ПТЭЭСС.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 начала проведения работ в рамках исполнения договора после его заключения субподрядчик предоставляет: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сведения о лицах из указанного перечня, подтверждающие принадлежность данных лиц к субподрядчику (копии трудового договора или копии трудовых книжек или копии приказов о приёме на работу);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копию страниц паспорта;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справку об отсутствии судимости;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заполненную анкету 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согласие на обработку персональных и иных охраняемых законом данных;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копии удостоверений о проверки знаний Правил работы в электроустановках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копии протоколов проверки знаний Правил работы в электроустановках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копии документов подтверждающих обучение персонала по: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Общим вопросам охраны труда;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Оказание первой помощи пострадавшим;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-Безопасным методам и приемам выполнения работ при воздействии вредных и (или) опасных производственных факторов;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Использованию (применению) СИЗ;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копии свидетельств о прохождении обучения по повышению квалификации или дополнительных навыков (при необходимости);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копий  удостоверений на производство специальных видов работ (огневых, грузоподъемных, работ с электро - и пневмоинструментом) (возможно совмещение специальностей)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копии документов подтверждающих прохождения медицинского осмотра и психиатрического и наркологического освидетельствования Заверенными руководителем организации.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- копию приказа создания аттестационной комиссии (при наличии), копии протоколов аттестации на всех членов комиссии по областям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А.1, В.2 обязательно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, Б.9.3, Б.9.4 по мере необходимости для выполнения работ, на ответственных за безопасное производство работ с применением ПС;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формы удостоверений при работах в электроустановках должны соответствовать требованиям правил по ОТ при эксплуатации электроустановок;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при отсутствии в организации ПДЭК предоставить копии протоколов проверки знаний в аттестационной комиссии РТН;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Субподрядчик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должен при производстве работ соблюдать: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Постановление Правительства РФ от 24.12.2021 N 2464 "О порядке обучения по охране труда и проверки знания требований охраны труда"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Правил    по    охране    труда     при   эксплуатации    электроустановок, утверждённых приказом Министерство труда и социальной защиты РФ от 15.12.2020г. № 903н, зарегистрированных в Минюсте России 30.12.2020 N 61957;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Правил по охране труда при строительстве, реконструкции и ремонте, утверждённых приказом Минтруда России от 11.12.2020 N 883н, зарегистрированных в Минюсте России 24.12.2020 N 61787;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Cs/>
                <w:kern w:val="0"/>
                <w:sz w:val="24"/>
                <w:szCs w:val="24"/>
                <w:lang w:val="ru-RU" w:eastAsia="en-US" w:bidi="ar-SA"/>
              </w:rPr>
              <w:t>- СНиП 12-03-2001«Безопасность труда в строительстве» Часть 1.Общие требования, утвержденных Постановлением Госстроя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РФ от 23.07.2001 N 80, зарегистрированных в Минюсте РФ 09.08.2001 N 2862;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СНиП 12-04-2002  «Безопасность  труда  в  строительстве» Часть 2.  Строительное Производство, утвержденных Постановлением Госстроя России от 17.09.2002 N 123, зарегистрированных в Минюсте России 18.10.2002 N 3880;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СП 12-136-2002  «Решения по охране труда и промышленной    безопасности в ПНР и ПОС», утвержденных  Постановлением Госстроя РФ от 17.09.2002 N 122;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Правил по охране труда при погрузочно-разгрузочных работах и размещении грузов»,  утверждённых приказом Минтруда России от 28.10.2020 г. № 753н, зарегистрированных в Минюсте России 15.12.2020 N 61471;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ГОСТ 12.3.009-76 «ССБТ. Работы погрузочно-разгрузочные. Общие требования       безопасности», утвержден Постановлением Госстандарта СССР от 23.03.1976 N 670;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Правила обучения по охране труда и проверки знания требований охраны труда, утверждённые постановлением Правительства РФ от 24 декабря 2021 года №2464;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Постановление Правительства РФ от 10.09.2020 N 1391 "Об утверждении Правил охраны поверхностных водных объектов";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ФЗ № 7 от 10.01.2002 г «Об охране окружающей среды»;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Правил противопожарного режима в Российской Федерации, утверждённых постановлением Правительства РФ от 16.09.2020 N 1479;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Приказ Минстроя России от 27.07.2017 N 1033/пр "Об утверждении СП 68.13330.2017 "СНиП 3.01.04-87 Приемка в эксплуатацию законченных строительством объектов. Основные положения";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Приказ Министерства строительства и жилищно-коммунального хозяйства РФ от 2 декабря 2022 года №1026/пр (вместе с "РД-11-05-2007...") (Зарегистрировано в Минюсте РФ 06.03.2007 N 9051);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Cs/>
                <w:kern w:val="0"/>
                <w:sz w:val="24"/>
                <w:szCs w:val="24"/>
                <w:lang w:val="ru-RU" w:eastAsia="en-US" w:bidi="ar-SA"/>
              </w:rPr>
              <w:t>- Правил по охране труда при работе с инструментом и приспособлениями, утверждённых Приказом Минтруда России от 27.11.2020 г. № 835н, зарегистрированных в Минюсте России 11.12.2020 N 61411.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>
          <w:trHeight w:val="100" w:hRule="atLeast"/>
        </w:trPr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После проведения работ фундаменты стоек должны соответствовать: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выданной в производство работ РД (Приложение №4)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Предъявление Объекта комиссии Заказчика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Оформление отчетной и исполнительной документации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, указанных в п. 2.3.1 настоящей таблицы.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Субподрядчик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10" w:hanging="283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акты на скрытые работы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10" w:hanging="283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исполнительные чертежи, схемы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310" w:hanging="283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общий и специальный журналы учета выполнения работ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и паспорта на применённые материалы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отчет об использовании давальческих материалов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37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Субподрядчика</w:t>
            </w:r>
          </w:p>
        </w:tc>
      </w:tr>
      <w:tr>
        <w:trPr/>
        <w:tc>
          <w:tcPr>
            <w:tcW w:w="92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</w:tc>
        <w:tc>
          <w:tcPr>
            <w:tcW w:w="118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Гарантия качества на результат Работ в отношении каждого Объекта действует с даты подписания Сторонами Актов о приемке выполненных работ в отношении каждого основного средства в составе Объекта (по форме КС-2) и Справки о стоимости выполненных работ и затрат (по форме КС-3) за весь объем выполненных работ в течение 36 (Тридцать шесть) месяцев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0" w:hanging="0"/>
        <w:jc w:val="center"/>
        <w:rPr>
          <w:rStyle w:val="Style8"/>
          <w:bCs/>
          <w:sz w:val="26"/>
          <w:szCs w:val="26"/>
        </w:rPr>
      </w:pPr>
      <w:bookmarkStart w:id="90" w:name="__RefHeading___Toc47693_2939175109"/>
      <w:bookmarkStart w:id="91" w:name="_Toc54618152"/>
      <w:bookmarkStart w:id="92" w:name="_Toc54279845"/>
      <w:bookmarkStart w:id="93" w:name="_Toc125123784"/>
      <w:bookmarkEnd w:id="90"/>
      <w:r>
        <w:rPr/>
        <w:t>Требования к документации по ценообразованию на этапе заключения</w:t>
      </w:r>
      <w:r>
        <w:rPr>
          <w:lang w:val="ru-RU"/>
        </w:rPr>
        <w:t xml:space="preserve"> (исполнения)</w:t>
      </w:r>
      <w:r>
        <w:rPr/>
        <w:t xml:space="preserve"> договора</w:t>
      </w:r>
      <w:bookmarkEnd w:id="91"/>
      <w:bookmarkEnd w:id="92"/>
      <w:bookmarkEnd w:id="93"/>
    </w:p>
    <w:p>
      <w:pPr>
        <w:pStyle w:val="Normal"/>
        <w:numPr>
          <w:ilvl w:val="0"/>
          <w:numId w:val="0"/>
        </w:numPr>
        <w:spacing w:before="0" w:after="120"/>
        <w:ind w:left="1418" w:hanging="0"/>
        <w:jc w:val="both"/>
        <w:rPr>
          <w:iCs/>
          <w:sz w:val="24"/>
          <w:szCs w:val="24"/>
          <w:highlight w:val="yellow"/>
          <w:lang w:eastAsia="x-none"/>
        </w:rPr>
      </w:pPr>
      <w:r>
        <w:rPr>
          <w:iCs/>
          <w:sz w:val="24"/>
          <w:szCs w:val="24"/>
          <w:lang w:eastAsia="x-none"/>
        </w:rPr>
        <w:t xml:space="preserve">3.1 По результатам настоящей закупки заключается договор с предельной ценой. </w:t>
      </w:r>
    </w:p>
    <w:p>
      <w:pPr>
        <w:pStyle w:val="Normal"/>
        <w:numPr>
          <w:ilvl w:val="0"/>
          <w:numId w:val="0"/>
        </w:numPr>
        <w:spacing w:before="0" w:after="120"/>
        <w:ind w:left="1418" w:hanging="0"/>
        <w:jc w:val="both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shd w:fill="auto" w:val="clear"/>
          <w:lang w:eastAsia="x-none"/>
        </w:rPr>
        <w:t>3.2 В рамках исполнения договора взаиморасчеты будут осуществляться по смете, выданной Заказчиком в производство работ. Формирование смет производится на этапе исполнения договора, в соответствии с Требованиями к оформлению и составлению документации по ценообразованию (Приложение №2).</w:t>
      </w:r>
    </w:p>
    <w:p>
      <w:pPr>
        <w:pStyle w:val="Normal"/>
        <w:numPr>
          <w:ilvl w:val="0"/>
          <w:numId w:val="0"/>
        </w:numPr>
        <w:spacing w:before="0" w:after="120"/>
        <w:ind w:left="1418" w:hanging="0"/>
        <w:jc w:val="both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  <w:t>3.3 Все коэффициенты (генподрядный) начисляются в каждой локальной смете к итогу.</w:t>
      </w:r>
    </w:p>
    <w:p>
      <w:pPr>
        <w:pStyle w:val="Normal"/>
        <w:numPr>
          <w:ilvl w:val="0"/>
          <w:numId w:val="0"/>
        </w:numPr>
        <w:spacing w:before="0" w:after="120"/>
        <w:ind w:left="1418" w:hanging="0"/>
        <w:jc w:val="both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  <w:t>3.4 В случае если стоимость по смете, выданной в производство работ, будет превышать стоимость, указанную в Коммерческом предложении, в ходе исполнения договора Субподрядчику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>
      <w:pPr>
        <w:pStyle w:val="Normal"/>
        <w:numPr>
          <w:ilvl w:val="0"/>
          <w:numId w:val="0"/>
        </w:numPr>
        <w:spacing w:before="0" w:after="120"/>
        <w:ind w:left="1418" w:hanging="0"/>
        <w:jc w:val="both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  <w:t>3.5 В случае если стоимость по смете, выданной в производство работ,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  <w:r>
        <w:br w:type="page"/>
      </w:r>
    </w:p>
    <w:p>
      <w:pPr>
        <w:pStyle w:val="Heading1"/>
        <w:keepNext w:val="false"/>
        <w:numPr>
          <w:ilvl w:val="0"/>
          <w:numId w:val="3"/>
        </w:numPr>
        <w:ind w:left="0" w:hanging="0"/>
        <w:jc w:val="center"/>
        <w:rPr>
          <w:rStyle w:val="Style8"/>
          <w:bCs/>
          <w:sz w:val="26"/>
          <w:szCs w:val="26"/>
        </w:rPr>
      </w:pPr>
      <w:bookmarkStart w:id="94" w:name="__RefHeading___Toc47695_2939175109"/>
      <w:bookmarkStart w:id="95" w:name="_Toc125123785"/>
      <w:bookmarkStart w:id="96" w:name="_Hlk673152081"/>
      <w:bookmarkStart w:id="97" w:name="_Toc54459814"/>
      <w:bookmarkStart w:id="98" w:name="_Toc54457704"/>
      <w:bookmarkStart w:id="99" w:name="_Toc54279846"/>
      <w:bookmarkStart w:id="100" w:name="_Toc54279725"/>
      <w:bookmarkEnd w:id="94"/>
      <w:bookmarkEnd w:id="96"/>
      <w:bookmarkEnd w:id="97"/>
      <w:bookmarkEnd w:id="98"/>
      <w:bookmarkEnd w:id="99"/>
      <w:bookmarkEnd w:id="100"/>
      <w:r>
        <w:rPr/>
        <w:t>Приложения</w:t>
      </w:r>
      <w:bookmarkEnd w:id="9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i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№ 1: </w:t>
      </w:r>
      <w:bookmarkStart w:id="101" w:name="_Hlk87545766"/>
      <w:r>
        <w:rPr>
          <w:bCs/>
          <w:iCs/>
          <w:sz w:val="24"/>
          <w:szCs w:val="24"/>
        </w:rPr>
        <w:t>Ведомость объёмов работ</w:t>
      </w:r>
      <w:bookmarkEnd w:id="10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  <w:lang w:val="x-none"/>
        </w:rPr>
      </w:pPr>
      <w:r>
        <w:rPr>
          <w:bCs/>
          <w:iCs/>
          <w:sz w:val="24"/>
          <w:szCs w:val="24"/>
        </w:rPr>
        <w:t xml:space="preserve">Приложение № 2: </w:t>
      </w:r>
      <w:r>
        <w:rPr>
          <w:bCs/>
          <w:iCs/>
          <w:sz w:val="24"/>
          <w:szCs w:val="24"/>
          <w:lang w:val="x-none"/>
        </w:rPr>
        <w:t>Требования к оформлению и составлению документации по ценообразованию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Приложение № 3: СТО РусГидро 05.02.126-2020;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Приложение № 4: СТО РусГидро 02.01.62 – 2021.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№ 5: Регламент процесса «Допуск персонала подрядных организаций на объекты ПАО "РусГидро".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№ 6: Методика допуска персонала подрядных организаций к выполнению работ на объектах Общества.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Приложение № 7: Приказ филиала ПАО «РусГидро» - «Волжская ГЭС» «О введении в действие Регламента процесса «Допуск персонала подрядных организаций на объекты ПАО «РусГидро».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Приложение №8: Альбом моделей процесса «Допуск персонала подрядных организаций на объекты Общества».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Cs/>
          <w:sz w:val="26"/>
          <w:szCs w:val="26"/>
          <w:lang w:val="x-none"/>
        </w:rPr>
      </w:pPr>
      <w:r>
        <w:rPr>
          <w:b w:val="false"/>
          <w:iCs/>
          <w:sz w:val="26"/>
          <w:szCs w:val="26"/>
          <w:lang w:val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Cs/>
          <w:sz w:val="26"/>
          <w:szCs w:val="26"/>
        </w:rPr>
      </w:pPr>
      <w:r>
        <w:rPr>
          <w:b w:val="false"/>
          <w:iCs/>
          <w:sz w:val="26"/>
          <w:szCs w:val="26"/>
        </w:rPr>
      </w:r>
    </w:p>
    <w:p>
      <w:pPr>
        <w:pStyle w:val="ListParagraph"/>
        <w:keepNext w:val="true"/>
        <w:shd w:val="clear" w:color="auto" w:fill="FFFFFF"/>
        <w:tabs>
          <w:tab w:val="clear" w:pos="708"/>
          <w:tab w:val="left" w:pos="1134" w:leader="none"/>
          <w:tab w:val="left" w:pos="1418" w:leader="none"/>
        </w:tabs>
        <w:spacing w:before="0" w:after="0"/>
        <w:contextualSpacing w:val="false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br w:type="page"/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1 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Ведомость объёмов работ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ОКПД2 43.99.30.100 Выполнение дополнительных работ при устройстве свайных фундаментов для нужд Волжского филиала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3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07"/>
        <w:gridCol w:w="6608"/>
        <w:gridCol w:w="682"/>
        <w:gridCol w:w="791"/>
        <w:gridCol w:w="1545"/>
      </w:tblGrid>
      <w:tr>
        <w:trPr>
          <w:trHeight w:val="72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trHeight w:val="583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Устройство бетонной подготовки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Смеси бетонные тяжелого бетона (БСТ) на щебне из гравия, класс В7,5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5,1918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Шнековое бурение скважин экскаватором с навесным оборудованием (гидровращателем) глубиной бурения до 6 м в грунтах группы: 2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5*6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38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Шнек для бурения скважин в грунтах группы 1-4, длина 6000 мм, диаметр 150 мм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Погружение винтовых свай диаметром 133 мм на глубину 6 м гидровращателем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Свая винтовая 6000.133.5.350.5 с антикор. покрытием (сварной наконечник)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Давальческий материал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Бетонирование свай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Смеси бетонные тяжелого бетона (БСТ) на щебне из гравия, класс В25, F200, W6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Устройство железобетонных фундаментов общего назначения объемом: до 5 м3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Смеси бетонные тяжелого бетона (БСТ) на щебне из гравия, класс В25, F(1)200, W6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70,035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Щиты настила, толщина 25 мм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34,155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Изготовление арматурных пространственных каркасов в построечных условиях, диаметром: 16 мм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3,5065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25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Прокат арматурный для железобетонных конструкций, класс A500C, диаметр 16 мм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3,541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88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Устройство обмазочной гидроизоляции бетонных поверхностей в 3 слоя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Гидроизоляционный состав Planiseal 88 Mapei, расход 1,6 кг на 1 м2, толщиной слоя 1 мм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1190,4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Давальческий материал</w:t>
            </w:r>
          </w:p>
        </w:tc>
      </w:tr>
      <w:tr>
        <w:trPr>
          <w:trHeight w:val="450" w:hRule="atLeast"/>
        </w:trPr>
        <w:tc>
          <w:tcPr>
            <w:tcW w:w="103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Устройство дублирующих свай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Шнековое бурение скважин экскаватором с навесным оборудованием (гидровращателем) глубиной бурения до 6 м в грунтах группы: 2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13*6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Шнек для бурения скважин в грунтах группы 1-4, длина 6000 мм, диаметр 150 мм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Погружение винтовых свай диаметром 133 мм на глубину 6 м гидровращателем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Свая винтовая 6000.133.5.350.5 с антикор. покрытием (сварной наконечник)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Бетонирование свай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/>
            </w:pPr>
            <w:r>
              <w:rPr/>
              <w:t>Смеси бетонные тяжелого бетона (БСТ) на щебне из гравия, класс В25, F(1)200, W6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0" w:hRule="atLeast"/>
        </w:trPr>
        <w:tc>
          <w:tcPr>
            <w:tcW w:w="103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выполнения работ: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Производство работ осуществляется в охранной зоне действующей воздушной линии электропередачи, вблизи объектов, находящихся под напряжением. ОПН- 500кВ,  ВЧЗ 500, ТН 500кВ, ВЛ 500кВ, КЛ 500кВ., КЛ 10кВ, КЛ 0,4кВ., КМ 500кВ. Линия сжатого воздуха 7кгс, 40кгс., хозфекальная канализация, контур заземления, дренажная канализация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Производство работ осуществляется на территории действующего предприятия с наличием в зоне производства работ нескольких из перечисленных ниже факторов: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разветвленная сеть транспортных и инженерных коммуникаций;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стесненные условия для складирования материалов;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действующее технологическое оборудование;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технологического транспорта.ОПН- 500кВ,  ВЧЗ 500, ТН 500кВ, ВЛ 500кВ, КЛ 500кВ., КЛ 10кВ, КЛ 0,4кВ., КМ 500кВ. Линия сжатого воздуха 7кгс, 40кгс., хозфекальная канализация, контур заземления, дренажная канализация</w:t>
            </w:r>
          </w:p>
        </w:tc>
      </w:tr>
    </w:tbl>
    <w:p>
      <w:pPr>
        <w:pStyle w:val="Normal"/>
        <w:pageBreakBefore w:val="false"/>
        <w:jc w:val="right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2"/>
        <w:iCs w:val="false"/>
        <w:bCs w:val="fals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i w:val="false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b w:val="false"/>
        <w:szCs w:val="24"/>
        <w:iCs w:val="false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9" w:hanging="432"/>
      </w:pPr>
      <w:rPr>
        <w:sz w:val="24"/>
        <w:i w:val="false"/>
        <w:b w:val="false"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i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97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14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10749"/>
    <w:pPr>
      <w:keepNext w:val="true"/>
      <w:tabs>
        <w:tab w:val="clear" w:pos="708"/>
        <w:tab w:val="left" w:pos="0" w:leader="none"/>
      </w:tabs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31074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796dd1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413c84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07c5c"/>
    <w:pPr>
      <w:spacing w:before="120" w:after="0"/>
    </w:pPr>
    <w:rPr>
      <w:rFonts w:cs="Calibri" w:cs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06dd5"/>
    <w:pPr>
      <w:tabs>
        <w:tab w:val="clear" w:pos="708"/>
        <w:tab w:val="left" w:pos="140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07c5c"/>
    <w:pPr>
      <w:spacing w:before="120" w:after="0"/>
      <w:ind w:left="280" w:hanging="0"/>
    </w:pPr>
    <w:rPr>
      <w:rFonts w:cs="Calibri" w:cstheme="minorHAnsi"/>
      <w:b/>
      <w:bCs/>
      <w:sz w:val="22"/>
      <w:szCs w:val="22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22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07c5c"/>
    <w:pPr>
      <w:ind w:left="84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TOC6">
    <w:name w:val="TOC 6"/>
    <w:basedOn w:val="Normal"/>
    <w:next w:val="Normal"/>
    <w:autoRedefine/>
    <w:semiHidden/>
    <w:unhideWhenUsed/>
    <w:rsid w:val="00796dd1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796dd1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796dd1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65FFD-7E18-4C3E-BA0F-20DF46F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Application>AlterOffice/3.4.0.9$Linux_X86_64 LibreOffice_project/b8daf9e823b1a5463a2f48435ddc2e8696e7d4fc</Application>
  <AppVersion>15.0000</AppVersion>
  <Pages>13</Pages>
  <Words>2363</Words>
  <Characters>15611</Characters>
  <CharactersWithSpaces>17669</CharactersWithSpaces>
  <Paragraphs>336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2024-06-18T08:05:00Z</dcterms:created>
  <dc:creator>Быстров Олег Геннадьевич</dc:creator>
  <dc:description/>
  <dc:language>ru-RU</dc:language>
  <cp:lastModifiedBy>kondrashovvv@corp.gidroogk.com</cp:lastModifiedBy>
  <cp:lastPrinted>2006-07-26T14:04:00Z</cp:lastPrinted>
  <dcterms:modified xsi:type="dcterms:W3CDTF">2026-08-05T09:57:07Z</dcterms:modified>
  <cp:revision>32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