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 w:hanging="0"/>
        <w:rPr/>
      </w:pPr>
      <w:r>
        <w:rPr/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Cs w:val="26"/>
        </w:rPr>
      </w:pPr>
      <w:r>
        <w:rPr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 xml:space="preserve">Технические требования </w:t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ОКПД2  </w:t>
      </w:r>
      <w:r>
        <w:rPr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85.42.19.900 </w:t>
      </w:r>
      <w:r>
        <w:rPr>
          <w:rFonts w:eastAsia="Calibri"/>
          <w:b w:val="false"/>
          <w:bCs w:val="false"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sz w:val="24"/>
          <w:szCs w:val="24"/>
        </w:rPr>
        <w:t>Оказание</w:t>
      </w:r>
      <w:r>
        <w:rPr>
          <w:rFonts w:eastAsia="Calibri"/>
          <w:b w:val="false"/>
          <w:bCs w:val="false"/>
          <w:sz w:val="24"/>
          <w:szCs w:val="24"/>
        </w:rPr>
        <w:t xml:space="preserve"> услуг по аттестации персонала на</w:t>
      </w:r>
      <w:r>
        <w:rPr>
          <w:rFonts w:eastAsia="Calibri"/>
          <w:b w:val="false"/>
          <w:bCs w:val="false"/>
          <w:sz w:val="24"/>
          <w:szCs w:val="24"/>
          <w:u w:val="none"/>
        </w:rPr>
        <w:t xml:space="preserve">  </w:t>
      </w:r>
      <w:r>
        <w:rPr>
          <w:rFonts w:eastAsia="Calibri"/>
          <w:b w:val="false"/>
          <w:bCs w:val="false"/>
          <w:sz w:val="24"/>
          <w:szCs w:val="24"/>
          <w:u w:val="none"/>
          <w:lang w:val="en-US"/>
        </w:rPr>
        <w:t>II</w:t>
      </w:r>
      <w:r>
        <w:rPr>
          <w:rFonts w:eastAsia="Calibri"/>
          <w:b w:val="false"/>
          <w:bCs w:val="false"/>
          <w:sz w:val="24"/>
          <w:szCs w:val="24"/>
          <w:u w:val="none"/>
        </w:rPr>
        <w:t xml:space="preserve">  </w:t>
      </w:r>
      <w:r>
        <w:rPr>
          <w:rFonts w:eastAsia="Calibri"/>
          <w:b w:val="false"/>
          <w:bCs w:val="false"/>
          <w:sz w:val="24"/>
          <w:szCs w:val="24"/>
        </w:rPr>
        <w:t>уровень квалификации по неразрушающим видам (методам) контроля  для нужд Саяно-Шушенского филиала</w:t>
      </w:r>
    </w:p>
    <w:p>
      <w:pPr>
        <w:pStyle w:val="Normal"/>
        <w:keepNext w:val="true"/>
        <w:keepLines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BodyTextIndent2"/>
        <w:numPr>
          <w:ilvl w:val="0"/>
          <w:numId w:val="0"/>
        </w:numPr>
        <w:tabs>
          <w:tab w:val="clear" w:pos="708"/>
          <w:tab w:val="left" w:pos="426" w:leader="none"/>
          <w:tab w:val="left" w:pos="851" w:leader="none"/>
        </w:tabs>
        <w:ind w:left="0" w:hanging="0"/>
        <w:rPr>
          <w:szCs w:val="24"/>
        </w:rPr>
      </w:pPr>
      <w:r>
        <w:rPr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sz w:val="24"/>
          <w:szCs w:val="24"/>
        </w:rPr>
      </w:pPr>
      <w:bookmarkStart w:id="0" w:name="_Toc51339692"/>
      <w:bookmarkStart w:id="1" w:name="_Toc54646395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6"/>
      <w:bookmarkStart w:id="3" w:name="_Toc54646397"/>
      <w:r>
        <w:rPr/>
        <w:t>Наименование закупаем</w:t>
      </w:r>
      <w:r>
        <w:rPr>
          <w:lang w:val="ru-RU"/>
        </w:rPr>
        <w:t>ых</w:t>
      </w:r>
      <w:r>
        <w:rPr/>
        <w:t xml:space="preserve"> </w:t>
      </w:r>
      <w:bookmarkEnd w:id="2"/>
      <w:bookmarkEnd w:id="3"/>
      <w:r>
        <w:rPr>
          <w:lang w:val="ru-RU"/>
        </w:rPr>
        <w:t>услуг: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Услуги по аттестации персонала НК на</w:t>
      </w:r>
      <w:r>
        <w:rPr>
          <w:rFonts w:eastAsia="Calibri"/>
          <w:sz w:val="24"/>
          <w:szCs w:val="24"/>
          <w:u w:val="none"/>
          <w:lang w:eastAsia="x-none"/>
        </w:rPr>
        <w:t xml:space="preserve">  </w:t>
      </w:r>
      <w:r>
        <w:rPr>
          <w:rFonts w:eastAsia="Calibri"/>
          <w:b w:val="false"/>
          <w:bCs w:val="false"/>
          <w:sz w:val="24"/>
          <w:szCs w:val="24"/>
          <w:u w:val="none"/>
          <w:lang w:val="en-US" w:eastAsia="x-none"/>
        </w:rPr>
        <w:t>II</w:t>
      </w:r>
      <w:r>
        <w:rPr>
          <w:rFonts w:eastAsia="Calibri"/>
          <w:b w:val="false"/>
          <w:bCs w:val="false"/>
          <w:sz w:val="24"/>
          <w:szCs w:val="24"/>
          <w:u w:val="none"/>
          <w:lang w:eastAsia="x-none"/>
        </w:rPr>
        <w:t xml:space="preserve">  </w:t>
      </w:r>
      <w:r>
        <w:rPr>
          <w:rFonts w:eastAsia="Calibri"/>
          <w:sz w:val="24"/>
          <w:szCs w:val="24"/>
          <w:lang w:eastAsia="x-none"/>
        </w:rPr>
        <w:t>уровень квалификации по неразрушающим видам (методам) контроля: для нужд Саяно-Шушенского филиала.</w:t>
      </w:r>
    </w:p>
    <w:p>
      <w:pPr>
        <w:pStyle w:val="Heading4"/>
        <w:widowControl w:val="false"/>
        <w:numPr>
          <w:ilvl w:val="1"/>
          <w:numId w:val="3"/>
        </w:numPr>
        <w:tabs>
          <w:tab w:val="left" w:pos="0" w:leader="none"/>
          <w:tab w:val="left" w:pos="426" w:leader="none"/>
        </w:tabs>
        <w:spacing w:before="120" w:after="240"/>
        <w:jc w:val="both"/>
        <w:rPr>
          <w:lang w:val="ru-RU"/>
        </w:rPr>
      </w:pPr>
      <w:bookmarkStart w:id="4" w:name="_Toc54646399"/>
      <w:r>
        <w:rPr>
          <w:lang w:val="ru-RU"/>
        </w:rPr>
        <w:t xml:space="preserve">Цель оказания услуг </w:t>
      </w:r>
      <w:bookmarkEnd w:id="4"/>
    </w:p>
    <w:p>
      <w:pPr>
        <w:pStyle w:val="Normal"/>
        <w:jc w:val="both"/>
        <w:rPr>
          <w:sz w:val="24"/>
          <w:lang w:eastAsia="x-none"/>
        </w:rPr>
      </w:pPr>
      <w:r>
        <w:rPr>
          <w:sz w:val="24"/>
          <w:lang w:eastAsia="x-none"/>
        </w:rPr>
        <w:t>Обеспечение Саяно-Шушенского филиала АО «Гидроремонт-ВКК» квалифицированными специалистами.</w:t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4"/>
          <w:szCs w:val="24"/>
        </w:rPr>
      </w:pPr>
      <w:bookmarkStart w:id="5" w:name="_Toc51339693"/>
      <w:bookmarkStart w:id="6" w:name="_Toc54646403"/>
      <w:r>
        <w:rPr>
          <w:sz w:val="24"/>
          <w:szCs w:val="24"/>
        </w:rPr>
        <w:t xml:space="preserve">Требования к </w:t>
      </w:r>
      <w:bookmarkEnd w:id="5"/>
      <w:bookmarkEnd w:id="6"/>
      <w:r>
        <w:rPr>
          <w:sz w:val="24"/>
          <w:szCs w:val="24"/>
        </w:rPr>
        <w:t>предоставляемым услугам</w:t>
      </w:r>
    </w:p>
    <w:p>
      <w:pPr>
        <w:pStyle w:val="Heading4"/>
        <w:widowControl w:val="false"/>
        <w:numPr>
          <w:ilvl w:val="1"/>
          <w:numId w:val="3"/>
        </w:numPr>
        <w:tabs>
          <w:tab w:val="left" w:pos="0" w:leader="none"/>
          <w:tab w:val="left" w:pos="426" w:leader="none"/>
        </w:tabs>
        <w:spacing w:before="120" w:after="240"/>
        <w:jc w:val="both"/>
        <w:rPr>
          <w:color w:val="000000"/>
        </w:rPr>
      </w:pPr>
      <w:r>
        <w:rPr>
          <w:color w:val="000000"/>
          <w:lang w:val="en-US"/>
        </w:rPr>
        <w:t>Место</w:t>
      </w:r>
      <w:r>
        <w:rPr>
          <w:color w:val="000000"/>
          <w:lang w:val="ru-RU"/>
        </w:rPr>
        <w:t xml:space="preserve"> оказания услуг </w:t>
      </w:r>
    </w:p>
    <w:p>
      <w:pPr>
        <w:pStyle w:val="Heading4"/>
        <w:widowControl w:val="false"/>
        <w:numPr>
          <w:ilvl w:val="0"/>
          <w:numId w:val="0"/>
        </w:numPr>
        <w:tabs>
          <w:tab w:val="left" w:pos="0" w:leader="none"/>
          <w:tab w:val="left" w:pos="426" w:leader="none"/>
        </w:tabs>
        <w:spacing w:before="120" w:after="240"/>
        <w:ind w:left="432" w:hanging="0"/>
        <w:jc w:val="both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lang w:eastAsia="x-none"/>
        </w:rPr>
        <w:t>Услуги оказываются по месту нахождения Исполнителя</w:t>
      </w:r>
    </w:p>
    <w:p>
      <w:pPr>
        <w:pStyle w:val="Heading4"/>
        <w:numPr>
          <w:ilvl w:val="1"/>
          <w:numId w:val="3"/>
        </w:numPr>
        <w:rPr/>
      </w:pPr>
      <w:bookmarkStart w:id="7" w:name="_Toc54646404"/>
      <w:r>
        <w:rPr/>
        <w:t xml:space="preserve">Требования к объемам и срокам </w:t>
      </w:r>
      <w:bookmarkEnd w:id="7"/>
      <w:r>
        <w:rPr>
          <w:lang w:val="ru-RU"/>
        </w:rPr>
        <w:t>оказания услуг</w:t>
      </w:r>
    </w:p>
    <w:p>
      <w:pPr>
        <w:pStyle w:val="Heading3"/>
        <w:numPr>
          <w:ilvl w:val="2"/>
          <w:numId w:val="3"/>
        </w:numPr>
        <w:rPr/>
      </w:pPr>
      <w:bookmarkStart w:id="8" w:name="_Toc54646405"/>
      <w:r>
        <w:rPr/>
        <w:t xml:space="preserve">Требования к </w:t>
      </w:r>
      <w:r>
        <w:rPr>
          <w:lang w:val="ru-RU"/>
        </w:rPr>
        <w:t>перечню</w:t>
      </w:r>
      <w:r>
        <w:rPr/>
        <w:t xml:space="preserve"> и объему </w:t>
      </w:r>
      <w:bookmarkEnd w:id="8"/>
      <w:r>
        <w:rPr>
          <w:lang w:val="ru-RU"/>
        </w:rPr>
        <w:t>услуг</w:t>
      </w:r>
    </w:p>
    <w:p>
      <w:pPr>
        <w:pStyle w:val="Heading1"/>
        <w:tabs>
          <w:tab w:val="clear" w:pos="0"/>
        </w:tabs>
        <w:ind w:left="0" w:hanging="0"/>
        <w:rPr>
          <w:sz w:val="24"/>
        </w:rPr>
      </w:pPr>
      <w:bookmarkStart w:id="9" w:name="_Toc54646406"/>
      <w:bookmarkStart w:id="10" w:name="_Toc51339695"/>
      <w:r>
        <w:rPr>
          <w:sz w:val="24"/>
        </w:rPr>
        <w:t xml:space="preserve">Таблица 1. Перечень </w:t>
      </w:r>
      <w:bookmarkEnd w:id="10"/>
      <w:r>
        <w:rPr>
          <w:sz w:val="24"/>
          <w:lang w:val="ru-RU"/>
        </w:rPr>
        <w:t>оказываемых</w:t>
      </w:r>
      <w:r>
        <w:rPr>
          <w:sz w:val="22"/>
        </w:rPr>
        <w:t xml:space="preserve"> </w:t>
      </w:r>
      <w:bookmarkEnd w:id="9"/>
      <w:r>
        <w:rPr>
          <w:sz w:val="24"/>
          <w:lang w:val="ru-RU"/>
        </w:rPr>
        <w:t>услуг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478"/>
        <w:gridCol w:w="8442"/>
      </w:tblGrid>
      <w:tr>
        <w:trPr/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360" w:hanging="360"/>
              <w:jc w:val="center"/>
              <w:rPr/>
            </w:pPr>
            <w:r>
              <w:rPr/>
              <w:t>№</w:t>
            </w:r>
          </w:p>
          <w:p>
            <w:pPr>
              <w:pStyle w:val="ListParagraph"/>
              <w:widowControl w:val="false"/>
              <w:ind w:left="360" w:hanging="360"/>
              <w:jc w:val="center"/>
              <w:rPr/>
            </w:pPr>
            <w:r>
              <w:rPr/>
              <w:t>п/п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16" w:leader="none"/>
              </w:tabs>
              <w:jc w:val="center"/>
              <w:rPr/>
            </w:pPr>
            <w:r>
              <w:rPr/>
              <w:t>Наименование услуг</w:t>
            </w:r>
          </w:p>
        </w:tc>
      </w:tr>
      <w:tr>
        <w:trPr/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16" w:leader="none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val="677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Аттестация  </w:t>
            </w:r>
            <w:r>
              <w:rPr>
                <w:b/>
                <w:bCs/>
                <w:sz w:val="24"/>
                <w:szCs w:val="24"/>
                <w:u w:val="single"/>
              </w:rPr>
              <w:t>2 (Двух)</w:t>
            </w:r>
            <w:r>
              <w:rPr>
                <w:sz w:val="24"/>
                <w:szCs w:val="24"/>
              </w:rPr>
              <w:t xml:space="preserve"> специалистов неразрушающего контроля по визуальному и измерительному  (ВИК) виду (методу) контроля (Сотников Евгений Викторович, Фадеев Михаил Алексеевич)</w:t>
            </w:r>
          </w:p>
        </w:tc>
      </w:tr>
      <w:tr>
        <w:trPr>
          <w:trHeight w:val="846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Аттестация </w:t>
            </w:r>
            <w:r>
              <w:rPr>
                <w:b/>
                <w:bCs/>
                <w:sz w:val="24"/>
                <w:szCs w:val="24"/>
              </w:rPr>
              <w:t>3 (</w:t>
            </w:r>
            <w:r>
              <w:rPr>
                <w:b/>
                <w:bCs/>
                <w:sz w:val="24"/>
                <w:szCs w:val="24"/>
                <w:u w:val="single"/>
              </w:rPr>
              <w:t>Трех)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специалистов неразрушающего контроля по капиллярному  (ПВК) виду (методу) контроля (Сотников Евгений Викторович,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Торопов Дмитрий Константинович, Фадеев Михаил Алексеевич)</w:t>
            </w:r>
          </w:p>
        </w:tc>
      </w:tr>
      <w:tr>
        <w:trPr>
          <w:trHeight w:val="681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Аттестация </w:t>
            </w:r>
            <w:r>
              <w:rPr>
                <w:b/>
                <w:bCs/>
                <w:sz w:val="24"/>
                <w:szCs w:val="24"/>
              </w:rPr>
              <w:t>1 (</w:t>
            </w:r>
            <w:r>
              <w:rPr>
                <w:b/>
                <w:bCs/>
                <w:sz w:val="24"/>
                <w:szCs w:val="24"/>
                <w:u w:val="single"/>
              </w:rPr>
              <w:t>Одного)</w:t>
            </w:r>
            <w:r>
              <w:rPr>
                <w:sz w:val="24"/>
                <w:szCs w:val="24"/>
              </w:rPr>
              <w:t xml:space="preserve"> специалиста неразрушающего контроля по ультразвуковому  (УК) виду (методу) контроля (Сотников Евгений Викторович)</w:t>
            </w:r>
          </w:p>
        </w:tc>
      </w:tr>
      <w:tr>
        <w:trPr>
          <w:trHeight w:val="681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Переаттестация  </w:t>
            </w:r>
            <w:r>
              <w:rPr>
                <w:b/>
                <w:bCs/>
                <w:sz w:val="24"/>
                <w:szCs w:val="24"/>
              </w:rPr>
              <w:t>3 (Трех)</w:t>
            </w:r>
            <w:r>
              <w:rPr>
                <w:sz w:val="24"/>
                <w:szCs w:val="24"/>
              </w:rPr>
              <w:t xml:space="preserve"> специалистов неразрушающего контроля по визуальному и измерительному  (ВИК) виду (методу) контроля (Гончаров Антон Николаевич, Добрычев Александр Сергеевич, Мальцев Александр Александрович)</w:t>
            </w:r>
          </w:p>
        </w:tc>
      </w:tr>
      <w:tr>
        <w:trPr>
          <w:trHeight w:val="681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Переаттестация </w:t>
            </w:r>
            <w:r>
              <w:rPr>
                <w:b/>
                <w:bCs/>
                <w:sz w:val="24"/>
                <w:szCs w:val="24"/>
              </w:rPr>
              <w:t>1 (</w:t>
            </w:r>
            <w:r>
              <w:rPr>
                <w:b/>
                <w:bCs/>
                <w:sz w:val="24"/>
                <w:szCs w:val="24"/>
                <w:u w:val="single"/>
              </w:rPr>
              <w:t>Одного)</w:t>
            </w:r>
            <w:r>
              <w:rPr>
                <w:sz w:val="24"/>
                <w:szCs w:val="24"/>
              </w:rPr>
              <w:t xml:space="preserve"> специалиста неразрушающего контроля по капиллярному  (ПВК) виду (методу) контроля (Петров Андрей Иванович)</w:t>
            </w:r>
          </w:p>
        </w:tc>
      </w:tr>
      <w:tr>
        <w:trPr>
          <w:trHeight w:val="681" w:hRule="atLeast"/>
        </w:trPr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проверка знаний  </w:t>
            </w:r>
            <w:r>
              <w:rPr>
                <w:b/>
                <w:bCs/>
                <w:sz w:val="24"/>
                <w:szCs w:val="24"/>
              </w:rPr>
              <w:t>1 (</w:t>
            </w:r>
            <w:r>
              <w:rPr>
                <w:b/>
                <w:bCs/>
                <w:sz w:val="24"/>
                <w:szCs w:val="24"/>
                <w:u w:val="single"/>
              </w:rPr>
              <w:t>Одного)</w:t>
            </w:r>
            <w:r>
              <w:rPr>
                <w:sz w:val="24"/>
                <w:szCs w:val="24"/>
              </w:rPr>
              <w:t xml:space="preserve"> специалиста по правилам безопасности  по двум объектам контроля: п.п. 11, 12. (Добрычев Александр Сергеевич)</w:t>
            </w:r>
          </w:p>
        </w:tc>
      </w:tr>
      <w:tr>
        <w:trPr>
          <w:trHeight w:val="681" w:hRule="atLeast"/>
        </w:trPr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проверка знаний </w:t>
            </w:r>
            <w:r>
              <w:rPr>
                <w:b/>
                <w:bCs/>
                <w:sz w:val="24"/>
                <w:szCs w:val="24"/>
              </w:rPr>
              <w:t xml:space="preserve">5 </w:t>
            </w:r>
            <w:r>
              <w:rPr>
                <w:b/>
                <w:bCs/>
                <w:sz w:val="24"/>
                <w:szCs w:val="24"/>
                <w:u w:val="single"/>
              </w:rPr>
              <w:t>(пяти)</w:t>
            </w:r>
            <w:r>
              <w:rPr>
                <w:sz w:val="24"/>
                <w:szCs w:val="24"/>
              </w:rPr>
              <w:t xml:space="preserve"> специалистов по правилам безопасности  по трем объектам контроля: п.п. 8(8.12), 11, 12.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(Гончаров Антон Николаевич, Мальцев Александр Александрович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Андрей Иванович,Торопов Дмитрий Константинович,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Михаил Алексеевич)</w:t>
            </w:r>
          </w:p>
        </w:tc>
      </w:tr>
      <w:tr>
        <w:trPr>
          <w:trHeight w:val="681" w:hRule="atLeast"/>
        </w:trPr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8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проверка знаний </w:t>
            </w:r>
            <w:r>
              <w:rPr>
                <w:b/>
                <w:bCs/>
                <w:sz w:val="24"/>
                <w:szCs w:val="24"/>
              </w:rPr>
              <w:t>1 (</w:t>
            </w:r>
            <w:r>
              <w:rPr>
                <w:b/>
                <w:bCs/>
                <w:sz w:val="24"/>
                <w:szCs w:val="24"/>
                <w:u w:val="single"/>
              </w:rPr>
              <w:t>Одного)</w:t>
            </w:r>
            <w:r>
              <w:rPr>
                <w:sz w:val="24"/>
                <w:szCs w:val="24"/>
              </w:rPr>
              <w:t xml:space="preserve"> специалиста  по правилам безопасности  по четырем объектам контроля: п.п. 1(1.9), 8(8.12), 11, 12.(Сотников Евгений Викторович)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bookmarkStart w:id="11" w:name="_Toc54646407"/>
      <w:bookmarkStart w:id="12" w:name="_Toc51339696"/>
      <w:r>
        <w:rPr/>
        <w:t xml:space="preserve">Требования </w:t>
      </w:r>
      <w:bookmarkEnd w:id="12"/>
      <w:r>
        <w:rPr/>
        <w:t xml:space="preserve">к срокам </w:t>
      </w:r>
      <w:bookmarkEnd w:id="11"/>
      <w:r>
        <w:rPr/>
        <w:t>оказания услуг</w:t>
      </w:r>
    </w:p>
    <w:p>
      <w:pPr>
        <w:pStyle w:val="Heading1"/>
        <w:tabs>
          <w:tab w:val="clear" w:pos="0"/>
        </w:tabs>
        <w:ind w:left="0" w:hanging="0"/>
        <w:rPr>
          <w:sz w:val="24"/>
          <w:lang w:val="ru-RU"/>
        </w:rPr>
      </w:pPr>
      <w:bookmarkStart w:id="13" w:name="_Toc50125127"/>
      <w:bookmarkStart w:id="14" w:name="_Toc51339697"/>
      <w:bookmarkStart w:id="15" w:name="_Toc54646408"/>
      <w:bookmarkStart w:id="16" w:name="_Toc50125126"/>
      <w:bookmarkEnd w:id="16"/>
      <w:r>
        <w:rPr>
          <w:sz w:val="24"/>
        </w:rPr>
        <w:t xml:space="preserve">Таблица </w:t>
      </w:r>
      <w:r>
        <w:rPr>
          <w:sz w:val="24"/>
          <w:lang w:val="ru-RU"/>
        </w:rPr>
        <w:t>2</w:t>
      </w:r>
      <w:r>
        <w:rPr>
          <w:sz w:val="24"/>
        </w:rPr>
        <w:t xml:space="preserve">. </w:t>
      </w:r>
      <w:bookmarkStart w:id="17" w:name="_Hlk50465284"/>
      <w:r>
        <w:rPr>
          <w:sz w:val="24"/>
        </w:rPr>
        <w:t>Требования к с</w:t>
      </w:r>
      <w:r>
        <w:rPr>
          <w:sz w:val="24"/>
          <w:lang w:val="ru-RU"/>
        </w:rPr>
        <w:t>р</w:t>
      </w:r>
      <w:r>
        <w:rPr>
          <w:sz w:val="24"/>
        </w:rPr>
        <w:t xml:space="preserve">окам </w:t>
      </w:r>
      <w:bookmarkEnd w:id="13"/>
      <w:bookmarkEnd w:id="14"/>
      <w:bookmarkEnd w:id="15"/>
      <w:bookmarkEnd w:id="17"/>
      <w:r>
        <w:rPr>
          <w:sz w:val="24"/>
          <w:lang w:val="ru-RU"/>
        </w:rPr>
        <w:t>оказания услуг</w:t>
      </w:r>
    </w:p>
    <w:tbl>
      <w:tblPr>
        <w:tblpPr w:bottomFromText="0" w:horzAnchor="margin" w:leftFromText="180" w:rightFromText="180" w:tblpX="0" w:tblpY="310" w:topFromText="0" w:vertAnchor="text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7"/>
        <w:gridCol w:w="3277"/>
        <w:gridCol w:w="2031"/>
        <w:gridCol w:w="2028"/>
        <w:gridCol w:w="2028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услуг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Услуги по аттестации персонала НК на</w:t>
            </w:r>
            <w:r>
              <w:rPr>
                <w:rFonts w:eastAsia="Calibri"/>
                <w:sz w:val="24"/>
                <w:szCs w:val="24"/>
                <w:u w:val="none"/>
                <w:lang w:eastAsia="x-none"/>
              </w:rPr>
              <w:t xml:space="preserve"> 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u w:val="none"/>
                <w:lang w:val="en-US" w:eastAsia="x-none"/>
              </w:rPr>
              <w:t>II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u w:val="none"/>
                <w:lang w:eastAsia="x-none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x-none"/>
              </w:rPr>
              <w:t>уровень квалификации по неразрушающим видам (методам) контроля: для нужд Саяно-Шушенского филиала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31.12.2026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Время оказания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</w:rPr>
              <w:t>услуг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14.09.2026 г. по 25.09.2026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eastAsia="Calibri"/>
          <w:b/>
          <w:sz w:val="22"/>
          <w:szCs w:val="24"/>
          <w:lang w:eastAsia="x-none"/>
        </w:rPr>
      </w:pPr>
      <w:bookmarkStart w:id="18" w:name="_Toc54646410"/>
      <w:bookmarkStart w:id="19" w:name="_Toc51339698"/>
      <w:r>
        <w:rPr/>
        <w:t xml:space="preserve">Требования к </w:t>
      </w:r>
      <w:r>
        <w:rPr>
          <w:lang w:val="ru-RU"/>
        </w:rPr>
        <w:t>качеству услуг</w:t>
      </w:r>
    </w:p>
    <w:p>
      <w:pPr>
        <w:pStyle w:val="Heading1"/>
        <w:tabs>
          <w:tab w:val="clear" w:pos="0"/>
        </w:tabs>
        <w:ind w:left="0" w:hanging="0"/>
        <w:rPr>
          <w:sz w:val="24"/>
        </w:rPr>
      </w:pPr>
      <w:r>
        <w:rPr>
          <w:sz w:val="24"/>
        </w:rPr>
        <w:t>Таблица </w:t>
      </w:r>
      <w:r>
        <w:rPr>
          <w:sz w:val="24"/>
          <w:lang w:val="ru-RU"/>
        </w:rPr>
        <w:t>3</w:t>
      </w:r>
      <w:r>
        <w:rPr>
          <w:sz w:val="24"/>
        </w:rPr>
        <w:t xml:space="preserve">. Требования к </w:t>
      </w:r>
      <w:bookmarkEnd w:id="19"/>
      <w:r>
        <w:rPr>
          <w:sz w:val="24"/>
          <w:lang w:val="ru-RU"/>
        </w:rPr>
        <w:t xml:space="preserve">качеству </w:t>
      </w:r>
      <w:bookmarkEnd w:id="18"/>
      <w:r>
        <w:rPr>
          <w:sz w:val="24"/>
          <w:lang w:val="ru-RU"/>
        </w:rPr>
        <w:t>услуг</w:t>
      </w:r>
      <w:r>
        <w:rPr>
          <w:sz w:val="24"/>
        </w:rPr>
        <w:t xml:space="preserve"> </w:t>
      </w:r>
    </w:p>
    <w:p>
      <w:pPr>
        <w:pStyle w:val="Normal"/>
        <w:snapToGrid w:val="false"/>
        <w:spacing w:before="0" w:after="120"/>
        <w:rPr>
          <w:rStyle w:val="Style8"/>
          <w:b w:val="false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b w:val="false"/>
          <w:bCs w:val="false"/>
          <w:sz w:val="24"/>
          <w:szCs w:val="24"/>
          <w:lang w:eastAsia="x-none"/>
        </w:rPr>
        <w:t>Услуги по аттестации персонала НК на</w:t>
      </w:r>
      <w:r>
        <w:rPr>
          <w:rFonts w:eastAsia="Calibri"/>
          <w:b w:val="false"/>
          <w:bCs w:val="false"/>
          <w:sz w:val="24"/>
          <w:szCs w:val="24"/>
          <w:u w:val="none"/>
          <w:lang w:eastAsia="x-none"/>
        </w:rPr>
        <w:t xml:space="preserve">  </w:t>
      </w:r>
      <w:r>
        <w:rPr>
          <w:rFonts w:eastAsia="Calibri"/>
          <w:b w:val="false"/>
          <w:bCs w:val="false"/>
          <w:sz w:val="24"/>
          <w:szCs w:val="24"/>
          <w:u w:val="none"/>
          <w:lang w:val="en-US" w:eastAsia="x-none"/>
        </w:rPr>
        <w:t>II</w:t>
      </w:r>
      <w:r>
        <w:rPr>
          <w:rFonts w:eastAsia="Calibri"/>
          <w:b w:val="false"/>
          <w:bCs w:val="false"/>
          <w:sz w:val="24"/>
          <w:szCs w:val="24"/>
          <w:u w:val="none"/>
          <w:lang w:eastAsia="x-none"/>
        </w:rPr>
        <w:t xml:space="preserve">  </w:t>
      </w:r>
      <w:r>
        <w:rPr>
          <w:rFonts w:eastAsia="Calibri"/>
          <w:b w:val="false"/>
          <w:bCs w:val="false"/>
          <w:sz w:val="24"/>
          <w:szCs w:val="24"/>
          <w:lang w:eastAsia="x-none"/>
        </w:rPr>
        <w:t>уровень квалификации по неразрушающим видам (методам) контроля: для нужд Саяно-Шушенского филиала</w:t>
      </w:r>
    </w:p>
    <w:tbl>
      <w:tblPr>
        <w:tblStyle w:val="affff2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72"/>
        <w:gridCol w:w="2518"/>
        <w:gridCol w:w="11689"/>
      </w:tblGrid>
      <w:tr>
        <w:trPr/>
        <w:tc>
          <w:tcPr>
            <w:tcW w:w="10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25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689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4" w:firstLine="373"/>
              <w:contextualSpacing/>
              <w:jc w:val="both"/>
              <w:rPr>
                <w:szCs w:val="20"/>
              </w:rPr>
            </w:pPr>
            <w:r>
              <w:rPr>
                <w:rFonts w:cs="Times New Roman"/>
                <w:kern w:val="0"/>
                <w:szCs w:val="20"/>
                <w:lang w:val="ru-RU" w:eastAsia="ru-RU" w:bidi="ar-SA"/>
              </w:rPr>
              <w:t>Услуги предоставляются в соответствии со следующими документами, но не ограничиваясь ими: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2"/>
                <w:szCs w:val="22"/>
                <w:lang w:val="ru-RU" w:eastAsia="x-none" w:bidi="ar-SA"/>
              </w:rPr>
              <w:t>«Правила аттестации персонала в области НК (СДАНК-02-2020)»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1420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lang w:val="ru-RU" w:eastAsia="ru-RU" w:bidi="ar-SA"/>
              </w:rPr>
              <w:t>Требования к контролю качества предоставляемых услуг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trike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аттестаций</w:t>
            </w:r>
          </w:p>
        </w:tc>
        <w:tc>
          <w:tcPr>
            <w:tcW w:w="1168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trike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Наличие у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Исполнителя аттестата соответствия САСв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20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результатам услуг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1420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11689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firstLine="360"/>
              <w:contextualSpacing/>
              <w:jc w:val="both"/>
              <w:rPr>
                <w:bCs/>
                <w:shd w:fill="FFFFFF" w:val="clear"/>
              </w:rPr>
            </w:pPr>
            <w:r>
              <w:rPr>
                <w:rFonts w:cs="Times New Roman"/>
                <w:bCs/>
                <w:kern w:val="0"/>
                <w:shd w:fill="FFFFFF" w:val="clear"/>
                <w:lang w:val="ru-RU" w:eastAsia="ru-RU" w:bidi="ar-SA"/>
              </w:rPr>
              <w:t>В течение 20 рабочих дней с момента оказания услуг, выдать Заказчику – акт сдачи-приемки оказанных услуг, оформленный в соответствии с требованиями НК РФ.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firstLine="360"/>
              <w:contextualSpacing/>
              <w:jc w:val="both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cs="Times New Roman"/>
                <w:bCs/>
                <w:kern w:val="0"/>
                <w:shd w:fill="FFFFFF" w:val="clear"/>
                <w:lang w:val="ru-RU" w:eastAsia="ru-RU" w:bidi="ar-SA"/>
              </w:rPr>
              <w:t>В течение 10 рабочих дней с момента оплаты оказанных услуг и поступления оригинала акта сдачи-приемки оказанных услуг, выдать документ установленного образца: свидетельство о прохождении специальной подготовки, удостоверение и протокол аттестации.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14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оказываемым услугам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eastAsia="Calibri"/>
                <w:b/>
                <w:sz w:val="22"/>
                <w:szCs w:val="24"/>
                <w:lang w:eastAsia="x-none"/>
              </w:rPr>
            </w:r>
          </w:p>
        </w:tc>
        <w:tc>
          <w:tcPr>
            <w:tcW w:w="2518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Общие требования</w:t>
            </w:r>
          </w:p>
        </w:tc>
        <w:tc>
          <w:tcPr>
            <w:tcW w:w="1168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firstLine="360"/>
              <w:contextualSpacing/>
              <w:jc w:val="both"/>
              <w:rPr>
                <w:bCs/>
                <w:shd w:fill="FFFFFF" w:val="clear"/>
              </w:rPr>
            </w:pPr>
            <w:bookmarkStart w:id="20" w:name="_GoBack"/>
            <w:bookmarkEnd w:id="20"/>
            <w:r>
              <w:rPr>
                <w:rFonts w:cs="Times New Roman"/>
                <w:bCs/>
                <w:kern w:val="0"/>
                <w:shd w:fill="FFFFFF" w:val="clear"/>
                <w:lang w:val="ru-RU" w:eastAsia="ru-RU" w:bidi="ar-SA"/>
              </w:rPr>
              <w:t xml:space="preserve">В случае неудовлетворительного результата практических и/или теоретических экзаменов специалисту сварочного производства выдаются свидетельство о прохождении специальной подготовки и протокол. 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firstLine="360"/>
              <w:contextualSpacing/>
              <w:jc w:val="both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hd w:fill="FFFFFF" w:val="clear"/>
                <w:lang w:val="ru-RU" w:eastAsia="ru-RU" w:bidi="ar-SA"/>
              </w:rPr>
              <w:t>В случае неудовлетворительного результата практического экзамена специалисту  разрешается пересда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hd w:fill="FFFFFF" w:val="clear"/>
                <w:lang w:val="ru-RU" w:eastAsia="ru-RU" w:bidi="ar-SA"/>
              </w:rPr>
              <w:t xml:space="preserve">ча в течение 6 месяцев, но не ранее чем через 1 месяц со дня сдачи несданного экзамена. 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spacing w:before="0" w:after="0"/>
              <w:ind w:left="0" w:firstLine="360"/>
              <w:contextualSpacing/>
              <w:jc w:val="both"/>
              <w:rPr>
                <w:rFonts w:eastAsia="Calibri"/>
                <w:b/>
                <w:sz w:val="22"/>
                <w:szCs w:val="24"/>
                <w:lang w:eastAsia="x-none"/>
              </w:rPr>
            </w:pPr>
            <w:r>
              <w:rPr>
                <w:rFonts w:cs="Times New Roman"/>
                <w:bCs/>
                <w:kern w:val="0"/>
                <w:shd w:fill="FFFFFF" w:val="clear"/>
                <w:lang w:val="ru-RU" w:eastAsia="ru-RU" w:bidi="ar-SA"/>
              </w:rPr>
              <w:t>Условия и стоимость пересдачи согласовываются Сторонами дополнительным договором и счетом на оплату.</w:t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jc w:val="center"/>
        <w:rPr>
          <w:b w:val="false"/>
          <w:bCs/>
          <w:i w:val="false"/>
          <w:i w:val="false"/>
          <w:iCs/>
          <w:sz w:val="24"/>
          <w:szCs w:val="24"/>
        </w:rPr>
      </w:pPr>
      <w:r>
        <w:rPr>
          <w:b w:val="false"/>
          <w:bCs/>
          <w:i w:val="false"/>
          <w:iCs/>
          <w:sz w:val="24"/>
          <w:szCs w:val="24"/>
        </w:rPr>
      </w:r>
    </w:p>
    <w:p>
      <w:pPr>
        <w:pStyle w:val="29"/>
        <w:tabs>
          <w:tab w:val="clear" w:pos="708"/>
          <w:tab w:val="left" w:pos="7380" w:leader="none"/>
        </w:tabs>
        <w:spacing w:lineRule="auto" w:line="276"/>
        <w:ind w:left="0" w:hanging="0"/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orient="landscape" w:w="16838" w:h="11906"/>
      <w:pgMar w:left="992" w:right="567" w:gutter="0" w:header="680" w:top="851" w:footer="737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1570548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1794564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FCB63B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FCB63B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i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ed75d2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ed75d2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c67f2"/>
    <w:rPr>
      <w:sz w:val="28"/>
      <w:szCs w:val="2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бычный1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9" w:customStyle="1">
    <w:name w:val="Обычный2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2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E12BD-61D6-4427-845C-CF781955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Application>AlterOffice/3.4.0.9$Linux_X86_64 LibreOffice_project/b8daf9e823b1a5463a2f48435ddc2e8696e7d4fc</Application>
  <AppVersion>15.0000</AppVersion>
  <Pages>5</Pages>
  <Words>588</Words>
  <Characters>3965</Characters>
  <CharactersWithSpaces>4471</CharactersWithSpaces>
  <Paragraphs>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2023-02-01T09:46:00Z</dcterms:created>
  <dc:creator>Быстров Олег Геннадьевич</dc:creator>
  <dc:description/>
  <dc:language>ru-RU</dc:language>
  <cp:lastModifiedBy>kuzmichevatav@corp.gidroogk.com</cp:lastModifiedBy>
  <cp:lastPrinted>2023-12-01T17:55:54Z</cp:lastPrinted>
  <dcterms:modified xsi:type="dcterms:W3CDTF">2026-08-05T16:50:11Z</dcterms:modified>
  <cp:revision>38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