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7F3" w:rsidRDefault="008D76DA">
      <w:pPr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Техническое задание</w:t>
      </w:r>
    </w:p>
    <w:p w:rsidR="00BC17F3" w:rsidRDefault="008D76DA">
      <w:pPr>
        <w:pStyle w:val="ab"/>
        <w:spacing w:before="280" w:after="280"/>
        <w:jc w:val="center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на выполнение пуско-наладочных работ и ввод в эксплуатацию оборудования МСОН Новосибирской области в рамках функционирования, расширения и модернизации компонентов обеспечения безопасности населения, среды обитания и муниципальной инфраструктуры после пров</w:t>
      </w:r>
      <w:r>
        <w:rPr>
          <w:b/>
          <w:sz w:val="26"/>
          <w:szCs w:val="26"/>
        </w:rPr>
        <w:t xml:space="preserve">едения СМР </w:t>
      </w:r>
      <w:r>
        <w:rPr>
          <w:b/>
          <w:sz w:val="26"/>
          <w:szCs w:val="26"/>
        </w:rPr>
        <w:t>(Убинского района)</w:t>
      </w:r>
    </w:p>
    <w:p w:rsidR="00BC17F3" w:rsidRDefault="00BC17F3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BC17F3" w:rsidRDefault="008D76DA">
      <w:pPr>
        <w:pStyle w:val="a5"/>
        <w:spacing w:after="0"/>
        <w:ind w:left="0"/>
        <w:rPr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1. Наименование работ Выполнение полного комплекса ПНР на оборудования для муниципальной системы оповещения населения Убинского района. Выполнение пусконаладочных работ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выполняется в соответствии с функционально-технологическ</w:t>
      </w:r>
      <w:r>
        <w:rPr>
          <w:rFonts w:ascii="Times New Roman" w:hAnsi="Times New Roman" w:cs="Times New Roman"/>
          <w:sz w:val="26"/>
          <w:szCs w:val="26"/>
        </w:rPr>
        <w:t>ими, конструктивными и инженерно-техническими решениями, изложенными в проектно-технической документации «Создание муниципальных систем оповещения населения Новосибирской области» шифр ККТ-222/25-м-МСОН от 2025 года (для Убинского района), которая размещен</w:t>
      </w:r>
      <w:r>
        <w:rPr>
          <w:rFonts w:ascii="Times New Roman" w:hAnsi="Times New Roman" w:cs="Times New Roman"/>
          <w:sz w:val="26"/>
          <w:szCs w:val="26"/>
        </w:rPr>
        <w:t>а по следующей ссылке</w:t>
      </w:r>
    </w:p>
    <w:p w:rsidR="00BC17F3" w:rsidRDefault="008D76DA">
      <w:pPr>
        <w:pStyle w:val="a5"/>
        <w:spacing w:after="0"/>
        <w:ind w:left="0"/>
        <w:rPr>
          <w:sz w:val="24"/>
          <w:szCs w:val="24"/>
        </w:rPr>
      </w:pPr>
      <w:hyperlink r:id="rId5">
        <w:r>
          <w:rPr>
            <w:rStyle w:val="a3"/>
          </w:rPr>
          <w:t>https</w:t>
        </w:r>
        <w:r>
          <w:rPr>
            <w:rStyle w:val="a3"/>
            <w:lang w:val="ru-RU"/>
          </w:rPr>
          <w:t>://</w:t>
        </w:r>
        <w:proofErr w:type="spellStart"/>
        <w:r>
          <w:rPr>
            <w:rStyle w:val="a3"/>
          </w:rPr>
          <w:t>zakupki</w:t>
        </w:r>
        <w:proofErr w:type="spellEnd"/>
        <w:r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gov</w:t>
        </w:r>
        <w:proofErr w:type="spellEnd"/>
        <w:r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ru</w:t>
        </w:r>
        <w:proofErr w:type="spellEnd"/>
        <w:r>
          <w:rPr>
            <w:rStyle w:val="a3"/>
            <w:lang w:val="ru-RU"/>
          </w:rPr>
          <w:t>/</w:t>
        </w:r>
        <w:proofErr w:type="spellStart"/>
        <w:r>
          <w:rPr>
            <w:rStyle w:val="a3"/>
          </w:rPr>
          <w:t>epz</w:t>
        </w:r>
        <w:proofErr w:type="spellEnd"/>
        <w:r>
          <w:rPr>
            <w:rStyle w:val="a3"/>
            <w:lang w:val="ru-RU"/>
          </w:rPr>
          <w:t>/</w:t>
        </w:r>
        <w:r>
          <w:rPr>
            <w:rStyle w:val="a3"/>
          </w:rPr>
          <w:t>order</w:t>
        </w:r>
        <w:r>
          <w:rPr>
            <w:rStyle w:val="a3"/>
            <w:lang w:val="ru-RU"/>
          </w:rPr>
          <w:t>/</w:t>
        </w:r>
        <w:r>
          <w:rPr>
            <w:rStyle w:val="a3"/>
          </w:rPr>
          <w:t>notice</w:t>
        </w:r>
        <w:r>
          <w:rPr>
            <w:rStyle w:val="a3"/>
            <w:lang w:val="ru-RU"/>
          </w:rPr>
          <w:t>/</w:t>
        </w:r>
        <w:proofErr w:type="spellStart"/>
        <w:r>
          <w:rPr>
            <w:rStyle w:val="a3"/>
          </w:rPr>
          <w:t>ea</w:t>
        </w:r>
        <w:proofErr w:type="spellEnd"/>
        <w:r>
          <w:rPr>
            <w:rStyle w:val="a3"/>
            <w:lang w:val="ru-RU"/>
          </w:rPr>
          <w:t>20/</w:t>
        </w:r>
        <w:r>
          <w:rPr>
            <w:rStyle w:val="a3"/>
          </w:rPr>
          <w:t>view</w:t>
        </w:r>
        <w:r>
          <w:rPr>
            <w:rStyle w:val="a3"/>
            <w:lang w:val="ru-RU"/>
          </w:rPr>
          <w:t>/</w:t>
        </w:r>
        <w:r>
          <w:rPr>
            <w:rStyle w:val="a3"/>
          </w:rPr>
          <w:t>documents</w:t>
        </w:r>
        <w:r>
          <w:rPr>
            <w:rStyle w:val="a3"/>
            <w:lang w:val="ru-RU"/>
          </w:rPr>
          <w:t>.</w:t>
        </w:r>
        <w:r>
          <w:rPr>
            <w:rStyle w:val="a3"/>
          </w:rPr>
          <w:t>html</w:t>
        </w:r>
        <w:r>
          <w:rPr>
            <w:rStyle w:val="a3"/>
            <w:lang w:val="ru-RU"/>
          </w:rPr>
          <w:t>?</w:t>
        </w:r>
        <w:proofErr w:type="spellStart"/>
        <w:r>
          <w:rPr>
            <w:rStyle w:val="a3"/>
          </w:rPr>
          <w:t>regNumber</w:t>
        </w:r>
        <w:proofErr w:type="spellEnd"/>
        <w:r>
          <w:rPr>
            <w:rStyle w:val="a3"/>
            <w:lang w:val="ru-RU"/>
          </w:rPr>
          <w:t>=0851200000626004741</w:t>
        </w:r>
      </w:hyperlink>
    </w:p>
    <w:p w:rsidR="00BC17F3" w:rsidRDefault="00BC17F3">
      <w:pPr>
        <w:pStyle w:val="a5"/>
        <w:spacing w:after="0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BC17F3" w:rsidRDefault="008D76DA">
      <w:pPr>
        <w:pStyle w:val="a5"/>
        <w:spacing w:after="0"/>
        <w:ind w:left="0"/>
      </w:pPr>
      <w:r>
        <w:rPr>
          <w:rFonts w:ascii="Times New Roman" w:hAnsi="Times New Roman"/>
          <w:b/>
          <w:bCs/>
          <w:sz w:val="24"/>
          <w:szCs w:val="24"/>
        </w:rPr>
        <w:t>Срок выполнения работ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i/>
          <w:spacing w:val="-2"/>
          <w:sz w:val="24"/>
          <w:szCs w:val="24"/>
        </w:rPr>
        <w:t>не позднее 01.12.2026 года</w:t>
      </w:r>
      <w:r>
        <w:rPr>
          <w:rFonts w:ascii="Times New Roman" w:hAnsi="Times New Roman"/>
          <w:bCs/>
          <w:i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Возможно досрочное выполнение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C17F3" w:rsidRDefault="00BC17F3">
      <w:pPr>
        <w:widowControl w:val="0"/>
        <w:spacing w:after="0" w:line="240" w:lineRule="auto"/>
        <w:ind w:firstLine="709"/>
        <w:jc w:val="both"/>
        <w:rPr>
          <w:color w:val="000000"/>
          <w:sz w:val="26"/>
          <w:szCs w:val="26"/>
        </w:rPr>
      </w:pPr>
    </w:p>
    <w:p w:rsidR="00BC17F3" w:rsidRDefault="008D76DA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2. Место выполнения работ: </w:t>
      </w:r>
      <w:r>
        <w:rPr>
          <w:rFonts w:ascii="Times New Roman" w:hAnsi="Times New Roman"/>
          <w:bCs/>
          <w:sz w:val="26"/>
          <w:szCs w:val="26"/>
        </w:rPr>
        <w:t xml:space="preserve">Приложение №1 к Технического задания </w:t>
      </w:r>
    </w:p>
    <w:p w:rsidR="00BC17F3" w:rsidRDefault="008D76DA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Основания для выполнения работ- В рамках реализации Государственного контракта на </w:t>
      </w:r>
      <w:r>
        <w:rPr>
          <w:color w:val="000000"/>
          <w:sz w:val="26"/>
          <w:szCs w:val="26"/>
        </w:rPr>
        <w:t>Выполнение работ по созданию муниципальных</w:t>
      </w:r>
      <w:r>
        <w:rPr>
          <w:color w:val="000000"/>
          <w:sz w:val="26"/>
          <w:szCs w:val="26"/>
        </w:rPr>
        <w:t xml:space="preserve"> систем оповещения населения (МСОН) Новосибирской области в рамках функционирования, расширения и модернизации компонентов обеспечения безопасности населения, среды обитания и муниципальной инфраструктуры (Убинского района</w:t>
      </w:r>
      <w:proofErr w:type="gramStart"/>
      <w:r>
        <w:rPr>
          <w:color w:val="000000"/>
          <w:sz w:val="26"/>
          <w:szCs w:val="26"/>
        </w:rPr>
        <w:t>) .</w:t>
      </w:r>
      <w:proofErr w:type="gramEnd"/>
      <w:r>
        <w:rPr>
          <w:color w:val="000000"/>
          <w:sz w:val="26"/>
          <w:szCs w:val="26"/>
        </w:rPr>
        <w:t xml:space="preserve"> </w:t>
      </w:r>
    </w:p>
    <w:p w:rsidR="00BC17F3" w:rsidRDefault="008D76DA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Требования к выполнению ра</w:t>
      </w:r>
      <w:r>
        <w:rPr>
          <w:color w:val="000000"/>
          <w:sz w:val="26"/>
          <w:szCs w:val="26"/>
        </w:rPr>
        <w:t xml:space="preserve">бот. При оказании услуг Исполнитель должен руководствоваться требованиями: СНиП 12-03-2001 «Безопасность труда в строительстве. Часть 1. Общие требования» </w:t>
      </w:r>
      <w:proofErr w:type="spellStart"/>
      <w:r>
        <w:rPr>
          <w:color w:val="000000"/>
          <w:sz w:val="26"/>
          <w:szCs w:val="26"/>
        </w:rPr>
        <w:t>СниП</w:t>
      </w:r>
      <w:proofErr w:type="spellEnd"/>
      <w:r>
        <w:rPr>
          <w:color w:val="000000"/>
          <w:sz w:val="26"/>
          <w:szCs w:val="26"/>
        </w:rPr>
        <w:t xml:space="preserve"> 12-04-002 «Безопасность труда в строительстве. Часть 2. Строительное производство». Все производ</w:t>
      </w:r>
      <w:r>
        <w:rPr>
          <w:color w:val="000000"/>
          <w:sz w:val="26"/>
          <w:szCs w:val="26"/>
        </w:rPr>
        <w:t>имые работы не должны прерывать или затруднять работу эксплуатирующих подразделений. По итогу проведения пуско-наладочных работ предоставить исполнительную, акты и протоколы испытаний. Пусконаладочные работы должны соответствовать проектным решениям. В сос</w:t>
      </w:r>
      <w:r>
        <w:rPr>
          <w:color w:val="000000"/>
          <w:sz w:val="26"/>
          <w:szCs w:val="26"/>
        </w:rPr>
        <w:t>таве пусконаладочных работ необходимо провести комплекс мероприятий, включающий проверку, настройку и испытание смонтированного оборудования с целью обеспечения параметров и режимов, заданных проектом.</w:t>
      </w:r>
    </w:p>
    <w:p w:rsidR="00BC17F3" w:rsidRDefault="008D76DA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 пусконаладочных работ и программа их выполнения</w:t>
      </w:r>
      <w:r>
        <w:rPr>
          <w:color w:val="000000"/>
          <w:sz w:val="26"/>
          <w:szCs w:val="26"/>
        </w:rPr>
        <w:t xml:space="preserve"> должны соответствовать техническим условиям предприятий - изготовителей оборудования, правилам по охране труда и технике безопасности, пожарной безопасности, правилам органов государственного надзора. При выполнении пусконаладочных работ следует руководст</w:t>
      </w:r>
      <w:r>
        <w:rPr>
          <w:color w:val="000000"/>
          <w:sz w:val="26"/>
          <w:szCs w:val="26"/>
        </w:rPr>
        <w:t xml:space="preserve">воваться требованиями действующих правил устройства </w:t>
      </w:r>
      <w:r>
        <w:rPr>
          <w:color w:val="000000"/>
          <w:sz w:val="26"/>
          <w:szCs w:val="26"/>
        </w:rPr>
        <w:lastRenderedPageBreak/>
        <w:t>электроустановок, проектом, эксплуатационной документацией предприятий и фирм-изготовителей. Пусконаладочные работы считаются законченными после получения на оборудовании предусмотренных проектом параметр</w:t>
      </w:r>
      <w:r>
        <w:rPr>
          <w:color w:val="000000"/>
          <w:sz w:val="26"/>
          <w:szCs w:val="26"/>
        </w:rPr>
        <w:t>ов и режимов. В состав пусконаладочных работ должны быть включены автономные, комплексные испытания всего вновь устанавливаемого оборудования. Пусконаладочные работы считаются выполненными при условии подписания акта приемки пусконаладочных работ Заказчико</w:t>
      </w:r>
      <w:r>
        <w:rPr>
          <w:color w:val="000000"/>
          <w:sz w:val="26"/>
          <w:szCs w:val="26"/>
        </w:rPr>
        <w:t>м. Дефекты оборудования, выявленные в процессе индивидуальных испытаний и комплексного опробования оборудования, а также пусконаладочных работ, должны быть устранены подрядчиком, выполнявшим строительно-монтажные работы или подрядчиком (или предприятием-из</w:t>
      </w:r>
      <w:r>
        <w:rPr>
          <w:color w:val="000000"/>
          <w:sz w:val="26"/>
          <w:szCs w:val="26"/>
        </w:rPr>
        <w:t>готовителем) производившем поставку оборудования до приемки объекта в эксплуатацию.</w:t>
      </w:r>
    </w:p>
    <w:p w:rsidR="00BC17F3" w:rsidRDefault="008D76DA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Перечень выполняемых работ</w:t>
      </w:r>
    </w:p>
    <w:p w:rsidR="00BC17F3" w:rsidRDefault="008D76DA">
      <w:pPr>
        <w:widowControl w:val="0"/>
        <w:numPr>
          <w:ilvl w:val="0"/>
          <w:numId w:val="1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пусконаладочных работ;</w:t>
      </w:r>
    </w:p>
    <w:p w:rsidR="00BC17F3" w:rsidRDefault="008D76DA">
      <w:pPr>
        <w:widowControl w:val="0"/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приемо-сдаточных испытаний</w:t>
      </w:r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BC17F3" w:rsidRDefault="008D76DA">
      <w:pPr>
        <w:widowControl w:val="0"/>
        <w:numPr>
          <w:ilvl w:val="0"/>
          <w:numId w:val="2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проведение рабочей комиссии по приемке в эксплуатацию (приемо-сдаточн</w:t>
      </w:r>
      <w:r>
        <w:rPr>
          <w:rFonts w:ascii="Times New Roman" w:hAnsi="Times New Roman" w:cs="Times New Roman"/>
          <w:sz w:val="26"/>
          <w:szCs w:val="26"/>
        </w:rPr>
        <w:t>ые испытания): апробирование системы оповещения (временной интервал апробирования согласовывается с Заказчиком на этапе пусконаладочных работ, но не менее 72 часов).</w:t>
      </w:r>
    </w:p>
    <w:p w:rsidR="00BC17F3" w:rsidRDefault="00BC17F3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C17F3" w:rsidRDefault="008D76DA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 Подключение установленных усилительно-коммутационных блоков к пультам управления МСОН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обеспечивает </w:t>
      </w:r>
      <w:r>
        <w:rPr>
          <w:rFonts w:ascii="Times New Roman" w:hAnsi="Times New Roman" w:cs="Times New Roman"/>
          <w:b/>
          <w:sz w:val="26"/>
          <w:szCs w:val="26"/>
        </w:rPr>
        <w:t>Подрядчик</w:t>
      </w:r>
      <w:r>
        <w:rPr>
          <w:rFonts w:ascii="Times New Roman" w:hAnsi="Times New Roman" w:cs="Times New Roman"/>
          <w:sz w:val="26"/>
          <w:szCs w:val="26"/>
        </w:rPr>
        <w:t xml:space="preserve"> по существующим каналам связи. Требования к каналам связи изложены в Проектно-технической документации.</w:t>
      </w:r>
    </w:p>
    <w:p w:rsidR="00BC17F3" w:rsidRDefault="008D76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Данные системы должны обеспечивать трансляцию сигнала «Внимание всем» - звук электронной сирены, и речевого сообщения. Передача </w:t>
      </w:r>
      <w:r>
        <w:rPr>
          <w:rFonts w:ascii="Times New Roman" w:hAnsi="Times New Roman" w:cs="Times New Roman"/>
          <w:sz w:val="26"/>
          <w:szCs w:val="26"/>
          <w:lang w:eastAsia="ar-SA"/>
        </w:rPr>
        <w:t>сигналов «Внимание всем» и речевых сообщений должна обеспечиваться с места и дистанционно.</w:t>
      </w:r>
    </w:p>
    <w:p w:rsidR="00BC17F3" w:rsidRDefault="008D76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5.2. В СЗО необходимо настроить (прописать соответствующие настройки маршрутизаторов и </w:t>
      </w:r>
      <w:r>
        <w:rPr>
          <w:rFonts w:ascii="Times New Roman" w:hAnsi="Times New Roman" w:cs="Times New Roman"/>
          <w:sz w:val="26"/>
          <w:szCs w:val="26"/>
        </w:rPr>
        <w:t>модулей сопряжения</w:t>
      </w:r>
      <w:r>
        <w:rPr>
          <w:rFonts w:ascii="Times New Roman" w:hAnsi="Times New Roman" w:cs="Times New Roman"/>
          <w:sz w:val="26"/>
          <w:szCs w:val="26"/>
          <w:lang w:eastAsia="ar-SA"/>
        </w:rPr>
        <w:t>) управление с ТУ КТСО П-166М, имеющиеся у Заказчика (рабоче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е место оперативного дежурного ЕДДС районов), установленных в ЕДДС этих районов по предоставляемым заказчикам каналам. </w:t>
      </w:r>
    </w:p>
    <w:p w:rsidR="00BC17F3" w:rsidRDefault="00BC17F3">
      <w:pPr>
        <w:widowControl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C17F3" w:rsidRDefault="008D76DA">
      <w:pPr>
        <w:spacing w:after="0" w:line="240" w:lineRule="auto"/>
        <w:ind w:firstLine="42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Пусконаладочные работы </w:t>
      </w:r>
      <w:proofErr w:type="spellStart"/>
      <w:r>
        <w:rPr>
          <w:rFonts w:ascii="Times New Roman" w:hAnsi="Times New Roman" w:cs="Times New Roman"/>
          <w:sz w:val="26"/>
          <w:szCs w:val="26"/>
        </w:rPr>
        <w:t>сиренно</w:t>
      </w:r>
      <w:proofErr w:type="spellEnd"/>
      <w:r>
        <w:rPr>
          <w:rFonts w:ascii="Times New Roman" w:hAnsi="Times New Roman" w:cs="Times New Roman"/>
          <w:sz w:val="26"/>
          <w:szCs w:val="26"/>
        </w:rPr>
        <w:t>-речевых установок включают:</w:t>
      </w:r>
    </w:p>
    <w:p w:rsidR="00BC17F3" w:rsidRDefault="008D76DA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подключение к существующей сети передачи данных IP VPN, предоставленной оп</w:t>
      </w:r>
      <w:r>
        <w:rPr>
          <w:rFonts w:ascii="Times New Roman" w:hAnsi="Times New Roman" w:cs="Times New Roman"/>
          <w:sz w:val="26"/>
          <w:szCs w:val="26"/>
        </w:rPr>
        <w:t>ератором связи (проводной сети) на территории Новосибирской области (Убинского района)</w:t>
      </w:r>
    </w:p>
    <w:p w:rsidR="00BC17F3" w:rsidRDefault="008D76DA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проведение пусконаладочных работ;</w:t>
      </w:r>
    </w:p>
    <w:p w:rsidR="00BC17F3" w:rsidRDefault="008D76DA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организацию запуска системы звукового оповещения из помещения ЕДДС соответствующего района (Приложение 2), в режимах: сирена; перед</w:t>
      </w:r>
      <w:r>
        <w:rPr>
          <w:rFonts w:ascii="Times New Roman" w:hAnsi="Times New Roman" w:cs="Times New Roman"/>
          <w:sz w:val="26"/>
          <w:szCs w:val="26"/>
        </w:rPr>
        <w:t>ача записанного речевого сообщения; передача речи с микрофона;</w:t>
      </w:r>
    </w:p>
    <w:p w:rsidR="00BC17F3" w:rsidRDefault="008D76DA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приемо-сдаточные испытания;</w:t>
      </w:r>
    </w:p>
    <w:p w:rsidR="00BC17F3" w:rsidRDefault="008D76DA">
      <w:pPr>
        <w:tabs>
          <w:tab w:val="left" w:pos="0"/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разработку и подготовку, эксплуатационной документации;</w:t>
      </w:r>
    </w:p>
    <w:p w:rsidR="00BC17F3" w:rsidRDefault="008D76DA">
      <w:pPr>
        <w:tabs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результатам комплексных испытаний оформляются протоколы испытаний. По результатам рассмотрения прото</w:t>
      </w:r>
      <w:r>
        <w:rPr>
          <w:rFonts w:ascii="Times New Roman" w:hAnsi="Times New Roman" w:cs="Times New Roman"/>
          <w:sz w:val="26"/>
          <w:szCs w:val="26"/>
        </w:rPr>
        <w:t xml:space="preserve">колов испытаний Заказчик и Подрядчик оформляют Акт, в котором указываются цель и основные результаты работ, замечания и рекомендации, делается вывод о соответствии системы оповещения и даются рекомендации по приему системы в эксплуатацию. В случае </w:t>
      </w:r>
      <w:r>
        <w:rPr>
          <w:rFonts w:ascii="Times New Roman" w:hAnsi="Times New Roman" w:cs="Times New Roman"/>
          <w:sz w:val="26"/>
          <w:szCs w:val="26"/>
        </w:rPr>
        <w:lastRenderedPageBreak/>
        <w:t>принятия</w:t>
      </w:r>
      <w:r>
        <w:rPr>
          <w:rFonts w:ascii="Times New Roman" w:hAnsi="Times New Roman" w:cs="Times New Roman"/>
          <w:sz w:val="26"/>
          <w:szCs w:val="26"/>
        </w:rPr>
        <w:t xml:space="preserve"> Заказчиком решения о невозможности приемки системы оповещения в эксплуатацию составляется мотивированное заключение с обоснованиями, имеющими ссылки на действующие законодательные и нормативные акты, с рекомендуемыми мерами по обеспечению ввода системы в </w:t>
      </w:r>
      <w:r>
        <w:rPr>
          <w:rFonts w:ascii="Times New Roman" w:hAnsi="Times New Roman" w:cs="Times New Roman"/>
          <w:sz w:val="26"/>
          <w:szCs w:val="26"/>
        </w:rPr>
        <w:t>эксплуатацию.</w:t>
      </w:r>
    </w:p>
    <w:p w:rsidR="00BC17F3" w:rsidRDefault="008D76DA">
      <w:pPr>
        <w:widowControl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уровень </w:t>
      </w:r>
      <w:proofErr w:type="spellStart"/>
      <w:r>
        <w:rPr>
          <w:rFonts w:ascii="Times New Roman" w:hAnsi="Times New Roman" w:cs="Times New Roman"/>
          <w:sz w:val="26"/>
          <w:szCs w:val="26"/>
        </w:rPr>
        <w:t>оповещателей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уровень локального управления узла системы оповещения. На этом уровне размещается усилительно-коммутационное оборудование в настенном/уличном исполнении для включения</w:t>
      </w:r>
    </w:p>
    <w:p w:rsidR="00BC17F3" w:rsidRDefault="008D76DA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sz w:val="26"/>
          <w:szCs w:val="26"/>
        </w:rPr>
        <w:t xml:space="preserve">Все пункты оповещения должны управляться </w:t>
      </w:r>
      <w:r>
        <w:rPr>
          <w:rFonts w:ascii="Times New Roman" w:hAnsi="Times New Roman" w:cs="Times New Roman"/>
          <w:sz w:val="26"/>
          <w:szCs w:val="26"/>
        </w:rPr>
        <w:t>(запускат</w:t>
      </w:r>
      <w:r>
        <w:rPr>
          <w:rFonts w:ascii="Times New Roman" w:hAnsi="Times New Roman" w:cs="Times New Roman"/>
          <w:sz w:val="26"/>
          <w:szCs w:val="26"/>
        </w:rPr>
        <w:t>ься и контролироваться)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из пункта управления оповещением РСОН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адресу: Российская Федерация, 630007, Новосибирская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обл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, Новосибирск г, Советская, д.4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А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далее – пункт управления оповещением).</w:t>
      </w:r>
    </w:p>
    <w:p w:rsidR="00BC17F3" w:rsidRDefault="008D76DA">
      <w:pPr>
        <w:tabs>
          <w:tab w:val="left" w:pos="1560"/>
        </w:tabs>
        <w:spacing w:after="0" w:line="240" w:lineRule="auto"/>
        <w:ind w:left="100" w:right="37" w:firstLine="7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Программно-аппаратная совместимость предполагает поддержку </w:t>
      </w:r>
      <w:r>
        <w:rPr>
          <w:rFonts w:ascii="Times New Roman" w:hAnsi="Times New Roman" w:cs="Times New Roman"/>
          <w:sz w:val="26"/>
          <w:szCs w:val="26"/>
        </w:rPr>
        <w:t>максимального функционала, заложенного производителем П-166М, включая:</w:t>
      </w:r>
    </w:p>
    <w:p w:rsidR="00BC17F3" w:rsidRDefault="008D76DA">
      <w:pPr>
        <w:pStyle w:val="a5"/>
        <w:numPr>
          <w:ilvl w:val="0"/>
          <w:numId w:val="3"/>
        </w:numPr>
        <w:tabs>
          <w:tab w:val="left" w:pos="1560"/>
        </w:tabs>
        <w:spacing w:after="0" w:line="240" w:lineRule="auto"/>
        <w:ind w:right="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осуществление запуска с пункта управления оповещением региональной (муниципальной) системы оповещения (РСОН, МСОН) расположенного г. Новосибирск,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ул.Советская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>, 4а;</w:t>
      </w:r>
    </w:p>
    <w:p w:rsidR="00BC17F3" w:rsidRDefault="008D76DA">
      <w:pPr>
        <w:pStyle w:val="a5"/>
        <w:numPr>
          <w:ilvl w:val="0"/>
          <w:numId w:val="3"/>
        </w:numPr>
        <w:tabs>
          <w:tab w:val="left" w:pos="1560"/>
        </w:tabs>
        <w:spacing w:after="0" w:line="240" w:lineRule="auto"/>
        <w:ind w:right="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оборудование должно п</w:t>
      </w:r>
      <w:r>
        <w:rPr>
          <w:rFonts w:ascii="Times New Roman" w:hAnsi="Times New Roman" w:cs="Times New Roman"/>
          <w:sz w:val="26"/>
          <w:szCs w:val="26"/>
        </w:rPr>
        <w:t>оддерживать передачу о несанкционированном вскрытии оборудования оконечной точки оповещения;</w:t>
      </w:r>
    </w:p>
    <w:p w:rsidR="00BC17F3" w:rsidRDefault="008D76DA">
      <w:pPr>
        <w:pStyle w:val="a5"/>
        <w:numPr>
          <w:ilvl w:val="0"/>
          <w:numId w:val="3"/>
        </w:numPr>
        <w:tabs>
          <w:tab w:val="left" w:pos="1560"/>
        </w:tabs>
        <w:spacing w:after="0" w:line="240" w:lineRule="auto"/>
        <w:ind w:right="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поддержка всех типов сигналов, заложенных производителем П-166М (непрерывная сирена, сирена прерывистая, речь с микрофона, речь записанных сообщений, оповещение ин</w:t>
      </w:r>
      <w:r>
        <w:rPr>
          <w:rFonts w:ascii="Times New Roman" w:hAnsi="Times New Roman" w:cs="Times New Roman"/>
          <w:sz w:val="26"/>
          <w:szCs w:val="26"/>
        </w:rPr>
        <w:t>дивидуально, оповещение в группе).</w:t>
      </w:r>
    </w:p>
    <w:p w:rsidR="00BC17F3" w:rsidRDefault="008D76DA">
      <w:pPr>
        <w:pStyle w:val="ab"/>
        <w:spacing w:before="280" w:after="28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Произведение всего комплекса пусконаладочных работ на объектах МСОН в </w:t>
      </w:r>
      <w:proofErr w:type="spellStart"/>
      <w:r>
        <w:rPr>
          <w:color w:val="000000"/>
          <w:sz w:val="26"/>
          <w:szCs w:val="26"/>
        </w:rPr>
        <w:t>т.ч</w:t>
      </w:r>
      <w:proofErr w:type="spellEnd"/>
      <w:r>
        <w:rPr>
          <w:color w:val="000000"/>
          <w:sz w:val="26"/>
          <w:szCs w:val="26"/>
        </w:rPr>
        <w:t>: - наладка вновь смонтированного электрооборудования, устройств оповещения, сетевого оборудования, управляющих устройств - сдача в опытную и промыш</w:t>
      </w:r>
      <w:r>
        <w:rPr>
          <w:color w:val="000000"/>
          <w:sz w:val="26"/>
          <w:szCs w:val="26"/>
        </w:rPr>
        <w:t xml:space="preserve">ленную эксплуатацию, организация защищенных каналов передачи данных (туннели </w:t>
      </w:r>
      <w:r>
        <w:rPr>
          <w:color w:val="000000"/>
          <w:sz w:val="26"/>
          <w:szCs w:val="26"/>
          <w:lang w:val="en-US"/>
        </w:rPr>
        <w:t>VPN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IP</w:t>
      </w:r>
      <w:r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  <w:lang w:val="en-US"/>
        </w:rPr>
        <w:t>Sec</w:t>
      </w:r>
      <w:r>
        <w:rPr>
          <w:color w:val="000000"/>
          <w:sz w:val="26"/>
          <w:szCs w:val="26"/>
        </w:rPr>
        <w:t xml:space="preserve"> оборудованием оконечных точек оповещения и оборудованием управления МСОН в ЕДДС района) предусмотренных проектом.</w:t>
      </w:r>
    </w:p>
    <w:p w:rsidR="00BC17F3" w:rsidRDefault="008D76DA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6. Требования по передаче заказчику технических или </w:t>
      </w:r>
      <w:r>
        <w:rPr>
          <w:color w:val="000000"/>
          <w:sz w:val="26"/>
          <w:szCs w:val="26"/>
        </w:rPr>
        <w:t>иных документов по завершению и сдаче работ по окончании работ исполнитель предоставляет: акты приемки выполненных работ, счета-фактуры, исполнительную документацию в 2-х экземплярах на бумажном носителе и в электронном виде, акт проведения комплексных исп</w:t>
      </w:r>
      <w:r>
        <w:rPr>
          <w:color w:val="000000"/>
          <w:sz w:val="26"/>
          <w:szCs w:val="26"/>
        </w:rPr>
        <w:t>ытаний (комплексного опробования).</w:t>
      </w:r>
    </w:p>
    <w:p w:rsidR="00BC17F3" w:rsidRDefault="008D76DA">
      <w:pPr>
        <w:pStyle w:val="ab"/>
        <w:spacing w:before="280" w:after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 Требования по гарантии качества работ Гарантийный период на выполненные работы и на применяемые при производстве работ материалы и оборудование должен составлять не менее 12 месяцев.</w:t>
      </w:r>
    </w:p>
    <w:p w:rsidR="00BC17F3" w:rsidRDefault="008D76DA">
      <w:pPr>
        <w:pStyle w:val="ab"/>
        <w:ind w:left="-11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Время начала исчисления гарантийног</w:t>
      </w:r>
      <w:r>
        <w:rPr>
          <w:color w:val="000000"/>
          <w:sz w:val="26"/>
          <w:szCs w:val="26"/>
        </w:rPr>
        <w:t>о срока – с момента начала эксплуатации оборудования.</w:t>
      </w:r>
    </w:p>
    <w:p w:rsidR="00BC17F3" w:rsidRDefault="008D76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 1 </w:t>
      </w:r>
    </w:p>
    <w:p w:rsidR="00BC17F3" w:rsidRDefault="008D76D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 Техническому заданию </w:t>
      </w:r>
    </w:p>
    <w:p w:rsidR="00BC17F3" w:rsidRDefault="00BC17F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D76DA" w:rsidRDefault="008D76D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D76DA" w:rsidRDefault="008D76D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D76DA" w:rsidRDefault="008D76D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D76DA" w:rsidRDefault="008D76DA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C17F3" w:rsidRDefault="008D76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 пусконаладочных работ оборудования </w:t>
      </w:r>
    </w:p>
    <w:p w:rsidR="00BC17F3" w:rsidRDefault="008D76DA">
      <w:pPr>
        <w:shd w:val="clear" w:color="00FF37" w:fill="00FF3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Убинский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tbl>
      <w:tblPr>
        <w:tblW w:w="977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62"/>
        <w:gridCol w:w="5390"/>
        <w:gridCol w:w="704"/>
        <w:gridCol w:w="3116"/>
      </w:tblGrid>
      <w:tr w:rsidR="00BC17F3">
        <w:trPr>
          <w:trHeight w:val="3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выполнения работ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Крещенский, ул. Цветочная, 21, кв.1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Борисоглебское, ул. Школьная, 9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Подлесный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Центральная, 18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ж/д ст. Клубничная, ул. Центральная, 15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Суходолье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Центральная, 3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громкоговорящей связи П-166М СЗО-3 (200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Ермолаевка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Школьная, 1А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Орловка, ул. Орловская, 28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Клубничный, ул. Центральная, д. 11А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громкоговорящей связи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Колмаково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Центральная,</w:t>
            </w:r>
          </w:p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д.12, кв.1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Гандичи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Озерная, 14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Школьная, 2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Белоозерный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Центральная, 36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Николаевка 2-я, ул. Центральная, 15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Орловское, 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Центральная, 26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Асенкритово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Центральная, 39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Каменка, ул. Центральная, 39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Система громкоговорящей связи П-166М СЗО-3 (400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Борисоглебское, ул. Андреева, 26, кв.1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Система громкоговорящей связи П-166М СЗО-3 (400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Кожурла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Октябрьская, 13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Система громкоговорящей связи П-166М СЗО-3 (400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Новоселово, ул. Майская, 2А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Система громкоговорящей связи П-166М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СЗО-3 (400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Крещенское, ул. Центральная, 61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Система громкоговорящей связи П-166М СЗО-3 (400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Александро-Невское, ул. Школьная, 1б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Система громкоговорящей связи П-166М СЗО-3 (400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-105" w:right="-11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Новодубровское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Центральная, д. 41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Система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громкоговорящей связи П-166М СЗО-3 (400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Пешково, ул. Центральная, 70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(600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Убинское, ул. Матросова, 1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Убинское, ул. Ломоносова, 1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(200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Убинское, ул. Элеваторная , 3а</w:t>
            </w:r>
          </w:p>
        </w:tc>
      </w:tr>
      <w:tr w:rsidR="00BC17F3">
        <w:trPr>
          <w:trHeight w:val="4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(600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Школьная, 24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(600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Новогандичево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Школьная, 11а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(600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Круглоозерное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Школьная, 19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(600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Кундран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Новая, 26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(600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Раисино, ул. Кирова, 74</w:t>
            </w:r>
          </w:p>
        </w:tc>
      </w:tr>
      <w:tr w:rsidR="00BC17F3">
        <w:trPr>
          <w:trHeight w:val="2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(600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Раисино, ул. Кирова, 78</w:t>
            </w:r>
          </w:p>
        </w:tc>
      </w:tr>
      <w:tr w:rsidR="00BC17F3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BC17F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ind w:left="132" w:right="142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громкоговорящей связи П-166М СЗО-3 (600 Вт)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F3" w:rsidRDefault="008D76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Черный Мыс, ул. Руднева, 29</w:t>
            </w:r>
          </w:p>
        </w:tc>
      </w:tr>
    </w:tbl>
    <w:p w:rsidR="00BC17F3" w:rsidRDefault="00BC17F3">
      <w:pPr>
        <w:tabs>
          <w:tab w:val="left" w:pos="3012"/>
        </w:tabs>
        <w:ind w:left="-709"/>
        <w:rPr>
          <w:rFonts w:ascii="Times New Roman" w:hAnsi="Times New Roman" w:cs="Times New Roman"/>
          <w:sz w:val="26"/>
          <w:szCs w:val="26"/>
        </w:rPr>
      </w:pPr>
    </w:p>
    <w:sectPr w:rsidR="00BC17F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roman"/>
    <w:notTrueType/>
    <w:pitch w:val="default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A7E17"/>
    <w:multiLevelType w:val="multilevel"/>
    <w:tmpl w:val="3440E0F2"/>
    <w:lvl w:ilvl="0">
      <w:start w:val="1"/>
      <w:numFmt w:val="bullet"/>
      <w:lvlText w:val=""/>
      <w:lvlJc w:val="left"/>
      <w:pPr>
        <w:tabs>
          <w:tab w:val="num" w:pos="0"/>
        </w:tabs>
        <w:ind w:left="91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7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DC1837"/>
    <w:multiLevelType w:val="multilevel"/>
    <w:tmpl w:val="716A5438"/>
    <w:lvl w:ilvl="0">
      <w:start w:val="1"/>
      <w:numFmt w:val="bullet"/>
      <w:lvlText w:val=""/>
      <w:lvlJc w:val="left"/>
      <w:pPr>
        <w:tabs>
          <w:tab w:val="num" w:pos="0"/>
        </w:tabs>
        <w:ind w:left="91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7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5B43FC"/>
    <w:multiLevelType w:val="multilevel"/>
    <w:tmpl w:val="A13C0DCC"/>
    <w:lvl w:ilvl="0">
      <w:start w:val="1"/>
      <w:numFmt w:val="bullet"/>
      <w:lvlText w:val=""/>
      <w:lvlJc w:val="left"/>
      <w:pPr>
        <w:tabs>
          <w:tab w:val="num" w:pos="0"/>
        </w:tabs>
        <w:ind w:left="8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499139B"/>
    <w:multiLevelType w:val="multilevel"/>
    <w:tmpl w:val="ADEE2B6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65C347C8"/>
    <w:multiLevelType w:val="multilevel"/>
    <w:tmpl w:val="FD2409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F3"/>
    <w:rsid w:val="008D76DA"/>
    <w:rsid w:val="00BC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CCFD"/>
  <w15:docId w15:val="{FA8644E3-8156-47A0-B55C-297EA7F8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C0564"/>
    <w:rPr>
      <w:rFonts w:ascii="Verdana" w:hAnsi="Verdana" w:cs="Verdana"/>
      <w:color w:val="0000FF"/>
      <w:sz w:val="24"/>
      <w:szCs w:val="24"/>
      <w:u w:val="single"/>
      <w:lang w:val="en-US" w:bidi="ar-SA"/>
    </w:rPr>
  </w:style>
  <w:style w:type="character" w:customStyle="1" w:styleId="a4">
    <w:name w:val="Абзац списка Знак"/>
    <w:link w:val="a5"/>
    <w:uiPriority w:val="34"/>
    <w:qFormat/>
    <w:rsid w:val="004C0564"/>
    <w:rPr>
      <w:rFonts w:eastAsiaTheme="minorEastAsia"/>
      <w:lang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Noto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b">
    <w:name w:val="Normal (Web)"/>
    <w:basedOn w:val="a"/>
    <w:uiPriority w:val="99"/>
    <w:unhideWhenUsed/>
    <w:qFormat/>
    <w:rsid w:val="004750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4"/>
    <w:qFormat/>
    <w:rsid w:val="004C056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numbering" w:customStyle="1" w:styleId="user1">
    <w:name w:val="Без списка (user)"/>
    <w:uiPriority w:val="99"/>
    <w:semiHidden/>
    <w:unhideWhenUsed/>
    <w:qFormat/>
  </w:style>
  <w:style w:type="table" w:styleId="ac">
    <w:name w:val="Table Grid"/>
    <w:basedOn w:val="a1"/>
    <w:uiPriority w:val="39"/>
    <w:rsid w:val="006307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order/notice/ea20/view/documents.html?regNumber=08512000006260047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1626</Words>
  <Characters>9272</Characters>
  <Application>Microsoft Office Word</Application>
  <DocSecurity>0</DocSecurity>
  <Lines>77</Lines>
  <Paragraphs>21</Paragraphs>
  <ScaleCrop>false</ScaleCrop>
  <Company>vdi</Company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Кульпин</dc:creator>
  <dc:description/>
  <cp:lastModifiedBy>Ануфриева Елена Александровна</cp:lastModifiedBy>
  <cp:revision>8</cp:revision>
  <dcterms:created xsi:type="dcterms:W3CDTF">2026-08-04T06:42:00Z</dcterms:created>
  <dcterms:modified xsi:type="dcterms:W3CDTF">2026-08-05T06:54:00Z</dcterms:modified>
  <dc:language>ru-RU</dc:language>
</cp:coreProperties>
</file>