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_rels/document.xml.rels" ContentType="application/vnd.openxmlformats-package.relationships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before="120" w:after="120"/>
        <w:ind w:left="426" w:hanging="0"/>
        <w:jc w:val="right"/>
        <w:rPr>
          <w:rFonts w:ascii="Times New Roman" w:hAnsi="Times New Roman" w:eastAsia="Calibri"/>
          <w:sz w:val="26"/>
          <w:szCs w:val="26"/>
        </w:rPr>
      </w:pPr>
      <w:r>
        <w:rPr>
          <w:rFonts w:eastAsia="Calibri" w:ascii="Times New Roman" w:hAnsi="Times New Roman"/>
          <w:sz w:val="26"/>
          <w:szCs w:val="26"/>
        </w:rPr>
        <w:t>Приложение № 8</w:t>
      </w:r>
    </w:p>
    <w:p>
      <w:pPr>
        <w:pStyle w:val="Normal"/>
        <w:spacing w:before="360" w:after="120"/>
        <w:ind w:left="425" w:hanging="0"/>
        <w:jc w:val="center"/>
        <w:rPr>
          <w:rFonts w:ascii="Times New Roman" w:hAnsi="Times New Roman" w:eastAsia="Calibri"/>
          <w:b/>
          <w:caps/>
          <w:szCs w:val="24"/>
        </w:rPr>
      </w:pPr>
      <w:r>
        <w:rPr>
          <w:rFonts w:eastAsia="Calibri" w:ascii="Times New Roman" w:hAnsi="Times New Roman"/>
          <w:b/>
          <w:caps/>
          <w:szCs w:val="24"/>
        </w:rPr>
        <w:t>ОБОСНОВАНИЕ начальной (максимальной) цены договора</w:t>
      </w:r>
      <w:r>
        <w:rPr>
          <w:rFonts w:eastAsia="Calibri" w:ascii="Times New Roman" w:hAnsi="Times New Roman"/>
          <w:sz w:val="26"/>
          <w:szCs w:val="26"/>
        </w:rPr>
        <w:t xml:space="preserve"> / </w:t>
      </w:r>
      <w:r>
        <w:rPr>
          <w:rFonts w:eastAsia="Calibri" w:ascii="Times New Roman" w:hAnsi="Times New Roman"/>
          <w:b/>
          <w:caps/>
          <w:szCs w:val="24"/>
        </w:rPr>
        <w:t>цены единицы товара, работы, услуги</w:t>
      </w:r>
    </w:p>
    <w:p>
      <w:pPr>
        <w:pStyle w:val="Normal"/>
        <w:numPr>
          <w:ilvl w:val="0"/>
          <w:numId w:val="2"/>
        </w:numPr>
        <w:spacing w:lineRule="exact" w:line="360" w:before="120" w:after="120"/>
        <w:ind w:left="714" w:hanging="357"/>
        <w:jc w:val="both"/>
        <w:rPr>
          <w:rFonts w:ascii="Times New Roman" w:hAnsi="Times New Roman" w:eastAsia="Calibri"/>
          <w:b/>
          <w:sz w:val="26"/>
          <w:szCs w:val="26"/>
        </w:rPr>
      </w:pPr>
      <w:r>
        <w:rPr>
          <w:rFonts w:eastAsia="Calibri" w:ascii="Times New Roman" w:hAnsi="Times New Roman"/>
          <w:b/>
          <w:sz w:val="26"/>
          <w:szCs w:val="26"/>
        </w:rPr>
        <w:t>Общая информация</w:t>
      </w:r>
    </w:p>
    <w:tbl>
      <w:tblPr>
        <w:tblStyle w:val="1"/>
        <w:tblW w:w="9527" w:type="dxa"/>
        <w:jc w:val="left"/>
        <w:tblInd w:w="7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704"/>
        <w:gridCol w:w="3686"/>
        <w:gridCol w:w="5137"/>
      </w:tblGrid>
      <w:tr>
        <w:trPr>
          <w:trHeight w:val="525" w:hRule="atLeast"/>
        </w:trPr>
        <w:tc>
          <w:tcPr>
            <w:tcW w:w="704" w:type="dxa"/>
            <w:tcBorders/>
          </w:tcPr>
          <w:p>
            <w:pPr>
              <w:pStyle w:val="Normal"/>
              <w:widowControl w:val="false"/>
              <w:suppressAutoHyphens w:val="true"/>
              <w:spacing w:lineRule="exact" w:line="360" w:before="120" w:after="0"/>
              <w:contextualSpacing/>
              <w:jc w:val="both"/>
              <w:rPr>
                <w:rFonts w:ascii="Times New Roman" w:hAnsi="Times New Roman" w:eastAsia="Calibri"/>
                <w:sz w:val="22"/>
                <w:szCs w:val="22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bidi="ar-SA"/>
              </w:rPr>
              <w:t xml:space="preserve">№ </w:t>
            </w: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bidi="ar-SA"/>
              </w:rPr>
              <w:t>п/п</w:t>
            </w:r>
          </w:p>
        </w:tc>
        <w:tc>
          <w:tcPr>
            <w:tcW w:w="3686" w:type="dxa"/>
            <w:tcBorders/>
          </w:tcPr>
          <w:p>
            <w:pPr>
              <w:pStyle w:val="Normal"/>
              <w:widowControl w:val="false"/>
              <w:suppressAutoHyphens w:val="true"/>
              <w:spacing w:lineRule="exact" w:line="360" w:before="120" w:after="0"/>
              <w:contextualSpacing/>
              <w:jc w:val="both"/>
              <w:rPr>
                <w:rFonts w:ascii="Times New Roman" w:hAnsi="Times New Roman" w:eastAsia="Calibri"/>
                <w:sz w:val="22"/>
                <w:szCs w:val="22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bidi="ar-SA"/>
              </w:rPr>
              <w:t>Наименование</w:t>
            </w:r>
          </w:p>
        </w:tc>
        <w:tc>
          <w:tcPr>
            <w:tcW w:w="5137" w:type="dxa"/>
            <w:tcBorders/>
          </w:tcPr>
          <w:p>
            <w:pPr>
              <w:pStyle w:val="Normal"/>
              <w:widowControl w:val="false"/>
              <w:suppressAutoHyphens w:val="true"/>
              <w:spacing w:lineRule="exact" w:line="360" w:before="120" w:after="0"/>
              <w:contextualSpacing/>
              <w:jc w:val="both"/>
              <w:rPr>
                <w:rFonts w:ascii="Times New Roman" w:hAnsi="Times New Roman" w:eastAsia="Calibri"/>
                <w:sz w:val="22"/>
                <w:szCs w:val="22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bidi="ar-SA"/>
              </w:rPr>
              <w:t>Информация по лоту</w:t>
            </w:r>
          </w:p>
        </w:tc>
      </w:tr>
      <w:tr>
        <w:trPr/>
        <w:tc>
          <w:tcPr>
            <w:tcW w:w="704" w:type="dxa"/>
            <w:tcBorders/>
          </w:tcPr>
          <w:p>
            <w:pPr>
              <w:pStyle w:val="Normal"/>
              <w:widowControl w:val="false"/>
              <w:numPr>
                <w:ilvl w:val="1"/>
                <w:numId w:val="2"/>
              </w:numPr>
              <w:suppressAutoHyphens w:val="true"/>
              <w:spacing w:lineRule="exact" w:line="360" w:before="120" w:after="120"/>
              <w:ind w:left="0" w:hanging="0"/>
              <w:contextualSpacing/>
              <w:jc w:val="both"/>
              <w:rPr>
                <w:rFonts w:ascii="Times New Roman" w:hAnsi="Times New Roman" w:eastAsia="Calibri"/>
                <w:sz w:val="22"/>
                <w:szCs w:val="22"/>
              </w:rPr>
            </w:pPr>
            <w:r>
              <w:rPr>
                <w:rFonts w:eastAsia="Calibri" w:ascii="Times New Roman" w:hAnsi="Times New Roman"/>
                <w:sz w:val="22"/>
                <w:szCs w:val="22"/>
              </w:rPr>
            </w:r>
          </w:p>
        </w:tc>
        <w:tc>
          <w:tcPr>
            <w:tcW w:w="3686" w:type="dxa"/>
            <w:tcBorders/>
          </w:tcPr>
          <w:p>
            <w:pPr>
              <w:pStyle w:val="Normal"/>
              <w:widowControl w:val="false"/>
              <w:suppressAutoHyphens w:val="true"/>
              <w:spacing w:lineRule="exact" w:line="360" w:before="120" w:after="0"/>
              <w:contextualSpacing/>
              <w:jc w:val="both"/>
              <w:rPr>
                <w:rFonts w:ascii="Times New Roman" w:hAnsi="Times New Roman" w:eastAsia="Times New Roman"/>
                <w:b/>
                <w:i/>
                <w:i/>
                <w:sz w:val="22"/>
                <w:szCs w:val="22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bidi="ar-SA"/>
              </w:rPr>
              <w:t>Наименование лота</w:t>
            </w:r>
          </w:p>
        </w:tc>
        <w:tc>
          <w:tcPr>
            <w:tcW w:w="5137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color w:val="auto"/>
                <w:kern w:val="0"/>
                <w:sz w:val="22"/>
                <w:szCs w:val="22"/>
                <w:lang w:val="ru-RU" w:eastAsia="en-US" w:bidi="ar-SA"/>
              </w:rPr>
            </w:pPr>
            <w:bookmarkStart w:id="0" w:name="__DdeLink__1742_4272245518"/>
            <w:r>
              <w:rPr>
                <w:rFonts w:eastAsia="Calibri" w:cs="Times New Roman" w:ascii="Times New Roman" w:hAnsi="Times New Roman"/>
                <w:color w:val="auto"/>
                <w:kern w:val="0"/>
                <w:sz w:val="22"/>
                <w:szCs w:val="22"/>
                <w:lang w:val="ru-RU" w:eastAsia="en-US" w:bidi="ar-SA"/>
              </w:rPr>
              <w:t xml:space="preserve">ОКДП2 42.22.12.110 Выполнение проектных, строительно-монтажных работ (включая поставку оборудования и материалов) для технологического присоединения к электрическим сетям заявителей </w:t>
            </w:r>
            <w:bookmarkEnd w:id="0"/>
            <w:r>
              <w:rPr>
                <w:rFonts w:eastAsia="Calibri" w:cs="Times New Roman" w:ascii="Times New Roman" w:hAnsi="Times New Roman"/>
                <w:color w:val="auto"/>
                <w:kern w:val="0"/>
                <w:sz w:val="22"/>
                <w:szCs w:val="22"/>
                <w:lang w:val="ru-RU" w:eastAsia="en-US" w:bidi="ar-SA"/>
              </w:rPr>
              <w:t>Администрация Шкотовского муниципального района в Приморском крае, Шкотовском р-не, с. Многоуд</w:t>
            </w:r>
            <w:bookmarkStart w:id="1" w:name="_GoBack1"/>
            <w:bookmarkEnd w:id="1"/>
            <w:r>
              <w:rPr>
                <w:rFonts w:eastAsia="Calibri" w:cs="Times New Roman" w:ascii="Times New Roman" w:hAnsi="Times New Roman"/>
                <w:color w:val="auto"/>
                <w:kern w:val="0"/>
                <w:sz w:val="22"/>
                <w:szCs w:val="22"/>
                <w:lang w:val="ru-RU" w:eastAsia="en-US" w:bidi="ar-SA"/>
              </w:rPr>
              <w:t>обное»;  Администрация Шкотовского муниципального района в Приморском крае, Шкотовском р-не, п. Подъяпольское</w:t>
            </w:r>
          </w:p>
        </w:tc>
      </w:tr>
      <w:tr>
        <w:trPr>
          <w:trHeight w:val="558" w:hRule="atLeast"/>
        </w:trPr>
        <w:tc>
          <w:tcPr>
            <w:tcW w:w="704" w:type="dxa"/>
            <w:tcBorders/>
          </w:tcPr>
          <w:p>
            <w:pPr>
              <w:pStyle w:val="Normal"/>
              <w:widowControl w:val="false"/>
              <w:numPr>
                <w:ilvl w:val="1"/>
                <w:numId w:val="2"/>
              </w:numPr>
              <w:suppressAutoHyphens w:val="true"/>
              <w:spacing w:lineRule="exact" w:line="360" w:before="120" w:after="120"/>
              <w:ind w:left="0" w:hanging="0"/>
              <w:contextualSpacing/>
              <w:jc w:val="both"/>
              <w:rPr>
                <w:rFonts w:ascii="Times New Roman" w:hAnsi="Times New Roman" w:eastAsia="Calibri"/>
                <w:sz w:val="22"/>
                <w:szCs w:val="22"/>
              </w:rPr>
            </w:pPr>
            <w:r>
              <w:rPr>
                <w:rFonts w:eastAsia="Calibri" w:ascii="Times New Roman" w:hAnsi="Times New Roman"/>
                <w:sz w:val="22"/>
                <w:szCs w:val="22"/>
              </w:rPr>
            </w:r>
          </w:p>
        </w:tc>
        <w:tc>
          <w:tcPr>
            <w:tcW w:w="3686" w:type="dxa"/>
            <w:tcBorders/>
          </w:tcPr>
          <w:p>
            <w:pPr>
              <w:pStyle w:val="Normal"/>
              <w:widowControl w:val="false"/>
              <w:suppressAutoHyphens w:val="true"/>
              <w:spacing w:lineRule="exact" w:line="360" w:before="120" w:after="0"/>
              <w:contextualSpacing/>
              <w:jc w:val="both"/>
              <w:rPr>
                <w:rFonts w:ascii="Times New Roman" w:hAnsi="Times New Roman" w:eastAsia="Calibri"/>
                <w:sz w:val="22"/>
                <w:szCs w:val="22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bidi="ar-SA"/>
              </w:rPr>
              <w:t>Номер лота</w:t>
            </w:r>
          </w:p>
        </w:tc>
        <w:tc>
          <w:tcPr>
            <w:tcW w:w="5137" w:type="dxa"/>
            <w:tcBorders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eastAsia="Calibri" w:cs="Times New Roman"/>
                <w:bCs/>
                <w:smallCaps/>
                <w:color w:val="0070C0"/>
              </w:rPr>
            </w:pPr>
            <w:r>
              <w:rPr>
                <w:rFonts w:eastAsia="Calibri" w:cs="Times New Roman"/>
                <w:bCs/>
                <w:smallCaps/>
                <w:color w:val="0070C0"/>
                <w:sz w:val="26"/>
              </w:rPr>
            </w:r>
          </w:p>
          <w:p>
            <w:pPr>
              <w:pStyle w:val="Normal"/>
              <w:widowControl w:val="fals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Calibri" w:cs="Times New Roman" w:ascii="Liberation Serif" w:hAnsi="Liberation Serif"/>
                <w:bCs/>
                <w:smallCaps/>
                <w:color w:val="0070C0"/>
                <w:sz w:val="24"/>
                <w:szCs w:val="24"/>
                <w:shd w:fill="FFF5CE" w:val="clear"/>
              </w:rPr>
              <w:t xml:space="preserve">ЛОТ </w:t>
            </w:r>
            <w:r>
              <w:rPr>
                <w:rFonts w:eastAsia="Calibri" w:cs="Times New Roman" w:ascii="Liberation Serif" w:hAnsi="Liberation Serif"/>
                <w:bCs/>
                <w:color w:val="0070C0"/>
                <w:sz w:val="24"/>
                <w:szCs w:val="24"/>
                <w:shd w:fill="FFF5CE" w:val="clear"/>
              </w:rPr>
              <w:t>№        -КС ПИР СМР-2026-ДРСК-ПЭС</w:t>
            </w:r>
          </w:p>
        </w:tc>
      </w:tr>
      <w:tr>
        <w:trPr/>
        <w:tc>
          <w:tcPr>
            <w:tcW w:w="704" w:type="dxa"/>
            <w:tcBorders/>
          </w:tcPr>
          <w:p>
            <w:pPr>
              <w:pStyle w:val="Normal"/>
              <w:widowControl w:val="false"/>
              <w:numPr>
                <w:ilvl w:val="1"/>
                <w:numId w:val="2"/>
              </w:numPr>
              <w:suppressAutoHyphens w:val="true"/>
              <w:spacing w:lineRule="exact" w:line="360" w:before="120" w:after="120"/>
              <w:ind w:left="0" w:hanging="0"/>
              <w:contextualSpacing/>
              <w:jc w:val="both"/>
              <w:rPr>
                <w:rFonts w:ascii="Times New Roman" w:hAnsi="Times New Roman" w:eastAsia="Calibri"/>
                <w:sz w:val="22"/>
                <w:szCs w:val="22"/>
              </w:rPr>
            </w:pPr>
            <w:r>
              <w:rPr>
                <w:rFonts w:eastAsia="Calibri" w:ascii="Times New Roman" w:hAnsi="Times New Roman"/>
                <w:sz w:val="22"/>
                <w:szCs w:val="22"/>
              </w:rPr>
            </w:r>
          </w:p>
        </w:tc>
        <w:tc>
          <w:tcPr>
            <w:tcW w:w="3686" w:type="dxa"/>
            <w:tcBorders/>
          </w:tcPr>
          <w:p>
            <w:pPr>
              <w:pStyle w:val="Normal"/>
              <w:widowControl w:val="false"/>
              <w:suppressAutoHyphens w:val="true"/>
              <w:spacing w:lineRule="exact" w:line="360" w:before="120" w:after="0"/>
              <w:contextualSpacing/>
              <w:jc w:val="both"/>
              <w:rPr>
                <w:rFonts w:ascii="Times New Roman" w:hAnsi="Times New Roman" w:eastAsia="Calibri"/>
                <w:sz w:val="22"/>
                <w:szCs w:val="22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bidi="ar-SA"/>
              </w:rPr>
              <w:t>НМЦ лота</w:t>
            </w:r>
          </w:p>
        </w:tc>
        <w:tc>
          <w:tcPr>
            <w:tcW w:w="5137" w:type="dxa"/>
            <w:tcBorders/>
          </w:tcPr>
          <w:p>
            <w:pPr>
              <w:pStyle w:val="Normal"/>
              <w:widowControl w:val="false"/>
              <w:suppressAutoHyphens w:val="true"/>
              <w:spacing w:lineRule="exact" w:line="360" w:before="60" w:after="60"/>
              <w:jc w:val="both"/>
              <w:rPr>
                <w:rFonts w:ascii="Times New Roman" w:hAnsi="Times New Roman" w:eastAsia="Times New Roman"/>
                <w:b/>
                <w:i/>
                <w:i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b/>
                <w:i/>
                <w:kern w:val="0"/>
                <w:sz w:val="22"/>
                <w:szCs w:val="22"/>
                <w:lang w:bidi="ar-SA"/>
              </w:rPr>
              <w:t xml:space="preserve">1 </w:t>
            </w:r>
            <w:r>
              <w:rPr>
                <w:rFonts w:eastAsia="Times New Roman" w:cs="Times New Roman" w:ascii="Times New Roman" w:hAnsi="Times New Roman"/>
                <w:b/>
                <w:i/>
                <w:kern w:val="0"/>
                <w:sz w:val="22"/>
                <w:szCs w:val="22"/>
                <w:lang w:bidi="ar-SA"/>
              </w:rPr>
              <w:t>494</w:t>
            </w:r>
            <w:r>
              <w:rPr>
                <w:rFonts w:eastAsia="Times New Roman" w:cs="Times New Roman" w:ascii="Times New Roman" w:hAnsi="Times New Roman"/>
                <w:b/>
                <w:i/>
                <w:kern w:val="0"/>
                <w:sz w:val="22"/>
                <w:szCs w:val="22"/>
                <w:lang w:bidi="ar-SA"/>
              </w:rPr>
              <w:t xml:space="preserve"> 4</w:t>
            </w:r>
            <w:r>
              <w:rPr>
                <w:rFonts w:eastAsia="Times New Roman" w:cs="Times New Roman" w:ascii="Times New Roman" w:hAnsi="Times New Roman"/>
                <w:b/>
                <w:i/>
                <w:kern w:val="0"/>
                <w:sz w:val="22"/>
                <w:szCs w:val="22"/>
                <w:lang w:bidi="ar-SA"/>
              </w:rPr>
              <w:t>20</w:t>
            </w:r>
            <w:r>
              <w:rPr>
                <w:rFonts w:eastAsia="Times New Roman" w:cs="Times New Roman" w:ascii="Times New Roman" w:hAnsi="Times New Roman"/>
                <w:b/>
                <w:i/>
                <w:kern w:val="0"/>
                <w:sz w:val="22"/>
                <w:szCs w:val="22"/>
                <w:lang w:bidi="ar-SA"/>
              </w:rPr>
              <w:t>,</w:t>
            </w:r>
            <w:r>
              <w:rPr>
                <w:rFonts w:eastAsia="Times New Roman" w:cs="Times New Roman" w:ascii="Times New Roman" w:hAnsi="Times New Roman"/>
                <w:b/>
                <w:i/>
                <w:kern w:val="0"/>
                <w:sz w:val="22"/>
                <w:szCs w:val="22"/>
                <w:lang w:bidi="ar-SA"/>
              </w:rPr>
              <w:t xml:space="preserve">44 </w:t>
            </w:r>
            <w:r>
              <w:rPr>
                <w:rFonts w:eastAsia="Times New Roman" w:cs="Times New Roman" w:ascii="Times New Roman" w:hAnsi="Times New Roman"/>
                <w:b/>
                <w:i/>
                <w:kern w:val="0"/>
                <w:sz w:val="22"/>
                <w:szCs w:val="22"/>
                <w:lang w:bidi="ar-SA"/>
              </w:rPr>
              <w:t>руб. без НДС</w:t>
            </w:r>
          </w:p>
        </w:tc>
      </w:tr>
    </w:tbl>
    <w:p>
      <w:pPr>
        <w:pStyle w:val="Normal"/>
        <w:numPr>
          <w:ilvl w:val="0"/>
          <w:numId w:val="2"/>
        </w:numPr>
        <w:spacing w:lineRule="exact" w:line="360" w:before="120" w:after="120"/>
        <w:ind w:left="714" w:hanging="357"/>
        <w:jc w:val="both"/>
        <w:rPr>
          <w:rFonts w:ascii="Times New Roman" w:hAnsi="Times New Roman" w:eastAsia="Calibri"/>
          <w:b/>
          <w:sz w:val="26"/>
          <w:szCs w:val="26"/>
        </w:rPr>
      </w:pPr>
      <w:r>
        <w:rPr>
          <w:rFonts w:eastAsia="Calibri" w:ascii="Times New Roman" w:hAnsi="Times New Roman"/>
          <w:b/>
          <w:sz w:val="26"/>
          <w:szCs w:val="26"/>
        </w:rPr>
        <w:t>Использованный метод (методы) расчета НМЦ / цены единицы товара, работы, услуги:</w:t>
      </w:r>
    </w:p>
    <w:p>
      <w:pPr>
        <w:pStyle w:val="Normal"/>
        <w:spacing w:before="0" w:after="0"/>
        <w:contextualSpacing/>
        <w:jc w:val="both"/>
        <w:rPr>
          <w:rFonts w:ascii="Times New Roman" w:hAnsi="Times New Roman" w:eastAsia="Calibri"/>
          <w:sz w:val="26"/>
          <w:szCs w:val="26"/>
        </w:rPr>
      </w:pPr>
      <w:r>
        <w:rPr>
          <w:rFonts w:eastAsia="Calibri" w:ascii="Times New Roman" w:hAnsi="Times New Roman"/>
          <w:sz w:val="26"/>
          <w:szCs w:val="26"/>
        </w:rPr>
        <w:t>Метод укрупненных расчетов, ресурсно-индексный метод</w:t>
      </w:r>
    </w:p>
    <w:p>
      <w:pPr>
        <w:pStyle w:val="Normal"/>
        <w:spacing w:before="0" w:after="0"/>
        <w:contextualSpacing/>
        <w:jc w:val="both"/>
        <w:rPr>
          <w:rFonts w:ascii="Times New Roman" w:hAnsi="Times New Roman" w:eastAsia="Calibri"/>
          <w:sz w:val="26"/>
          <w:szCs w:val="26"/>
        </w:rPr>
      </w:pPr>
      <w:r>
        <w:rPr/>
      </w:r>
    </w:p>
    <w:sectPr>
      <w:headerReference w:type="even" r:id="rId2"/>
      <w:headerReference w:type="default" r:id="rId3"/>
      <w:type w:val="nextPage"/>
      <w:pgSz w:w="11906" w:h="16838"/>
      <w:pgMar w:left="1701" w:right="709" w:gutter="0" w:header="964" w:top="1021" w:footer="0" w:bottom="851"/>
      <w:pgNumType w:fmt="decimal"/>
      <w:formProt w:val="false"/>
      <w:titlePg/>
      <w:textDirection w:val="lrTb"/>
      <w:docGrid w:type="default" w:linePitch="326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Carlito">
    <w:altName w:val="Calibri"/>
    <w:charset w:val="01"/>
    <w:family w:val="roman"/>
    <w:pitch w:val="variable"/>
  </w:font>
  <w:font w:name="Cambria">
    <w:charset w:val="01"/>
    <w:family w:val="roman"/>
    <w:pitch w:val="variable"/>
  </w:font>
  <w:font w:name="Geneva CY">
    <w:charset w:val="01"/>
    <w:family w:val="roman"/>
    <w:pitch w:val="variable"/>
  </w:font>
  <w:font w:name="Lucida Grande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Times New Roman">
    <w:charset w:val="01"/>
    <w:family w:val="roman"/>
    <w:pitch w:val="variable"/>
  </w:font>
  <w:font w:name="Liberation Serif">
    <w:altName w:val="Times New Roman"/>
    <w:charset w:val="01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2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Врезка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Врезка1" path="m0,0l-2147483645,0l-2147483645,-2147483646l0,-2147483646xe" stroked="f" o:allowincell="f" style="position:absolute;margin-left:0pt;margin-top:0.05pt;width:1.1pt;height:1.1pt;mso-wrap-style:square;v-text-anchor:top;mso-position-horizontal:center;mso-position-horizontal-relative:margin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Top of Page)"/>
        <w:docPartUnique w:val="true"/>
      </w:docPartObj>
      <w:id w:val="1208568566"/>
    </w:sdtPr>
    <w:sdtContent>
      <w:p>
        <w:pPr>
          <w:pStyle w:val="Header"/>
          <w:jc w:val="center"/>
          <w:rPr>
            <w:rFonts w:ascii="Times New Roman" w:hAnsi="Times New Roman"/>
          </w:rPr>
        </w:pPr>
        <w:r>
          <w:rPr>
            <w:rFonts w:ascii="Times New Roman" w:hAnsi="Times New Roman"/>
          </w:rPr>
          <w:fldChar w:fldCharType="begin"/>
        </w:r>
        <w:r>
          <w:rPr>
            <w:rFonts w:ascii="Times New Roman" w:hAnsi="Times New Roman"/>
          </w:rPr>
          <w:instrText xml:space="preserve"> PAGE </w:instrText>
        </w:r>
        <w:r>
          <w:rPr>
            <w:rFonts w:ascii="Times New Roman" w:hAnsi="Times New Roman"/>
          </w:rPr>
          <w:fldChar w:fldCharType="separate"/>
        </w:r>
        <w:r>
          <w:rPr>
            <w:rFonts w:ascii="Times New Roman" w:hAnsi="Times New Roman"/>
          </w:rPr>
          <w:t>0</w:t>
        </w:r>
        <w:r>
          <w:rPr>
            <w:rFonts w:ascii="Times New Roman" w:hAnsi="Times New Roman"/>
          </w:rPr>
          <w:fldChar w:fldCharType="end"/>
        </w:r>
      </w:p>
    </w:sdtContent>
  </w:sdt>
  <w:p>
    <w:pPr>
      <w:pStyle w:val="Head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360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  <w:rPr/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mbria" w:hAnsi="Cambria" w:eastAsia="MS Mincho" w:cs="Times New Roman"/>
        <w:lang w:val="en-US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d002ca"/>
    <w:pPr>
      <w:widowControl/>
      <w:suppressAutoHyphens w:val="true"/>
      <w:bidi w:val="0"/>
      <w:spacing w:before="0" w:after="0"/>
      <w:jc w:val="left"/>
    </w:pPr>
    <w:rPr>
      <w:rFonts w:ascii="Geneva CY" w:hAnsi="Geneva CY" w:eastAsia="Geneva" w:cs="Times New Roman"/>
      <w:color w:val="auto"/>
      <w:kern w:val="0"/>
      <w:sz w:val="24"/>
      <w:szCs w:val="20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9" w:customStyle="1">
    <w:name w:val="Верхний колонтитул Знак"/>
    <w:uiPriority w:val="99"/>
    <w:qFormat/>
    <w:rsid w:val="00d002ca"/>
    <w:rPr>
      <w:rFonts w:ascii="Geneva CY" w:hAnsi="Geneva CY" w:eastAsia="Geneva" w:cs="Times New Roman"/>
      <w:szCs w:val="20"/>
      <w:lang w:val="ru-RU" w:eastAsia="en-US"/>
    </w:rPr>
  </w:style>
  <w:style w:type="character" w:styleId="Pagenumber">
    <w:name w:val="page number"/>
    <w:basedOn w:val="DefaultParagraphFont"/>
    <w:qFormat/>
    <w:rsid w:val="00d002ca"/>
    <w:rPr/>
  </w:style>
  <w:style w:type="character" w:styleId="Style10" w:customStyle="1">
    <w:name w:val="Текст выноски Знак"/>
    <w:link w:val="BalloonText"/>
    <w:uiPriority w:val="99"/>
    <w:semiHidden/>
    <w:qFormat/>
    <w:rsid w:val="00d002ca"/>
    <w:rPr>
      <w:rFonts w:ascii="Lucida Grande" w:hAnsi="Lucida Grande" w:eastAsia="Geneva" w:cs="Times New Roman"/>
      <w:sz w:val="18"/>
      <w:szCs w:val="18"/>
      <w:lang w:val="ru-RU" w:eastAsia="en-US"/>
    </w:rPr>
  </w:style>
  <w:style w:type="character" w:styleId="Hyperlink">
    <w:name w:val="Hyperlink"/>
    <w:basedOn w:val="DefaultParagraphFont"/>
    <w:uiPriority w:val="99"/>
    <w:unhideWhenUsed/>
    <w:rsid w:val="0017740a"/>
    <w:rPr>
      <w:color w:val="0000FF" w:themeColor="hyperlink"/>
      <w:u w:val="single"/>
    </w:rPr>
  </w:style>
  <w:style w:type="character" w:styleId="Style11" w:customStyle="1">
    <w:name w:val="Нижний колонтитул Знак"/>
    <w:basedOn w:val="DefaultParagraphFont"/>
    <w:uiPriority w:val="99"/>
    <w:qFormat/>
    <w:rsid w:val="00206a95"/>
    <w:rPr>
      <w:rFonts w:ascii="Geneva CY" w:hAnsi="Geneva CY" w:eastAsia="Geneva"/>
      <w:sz w:val="24"/>
      <w:lang w:val="ru-RU" w:eastAsia="en-US"/>
    </w:rPr>
  </w:style>
  <w:style w:type="character" w:styleId="Style12" w:customStyle="1">
    <w:name w:val="Текст сноски Знак"/>
    <w:basedOn w:val="DefaultParagraphFont"/>
    <w:uiPriority w:val="99"/>
    <w:qFormat/>
    <w:rsid w:val="005f30b7"/>
    <w:rPr>
      <w:rFonts w:ascii="Geneva CY" w:hAnsi="Geneva CY" w:eastAsia="Geneva"/>
      <w:lang w:val="ru-RU" w:eastAsia="en-US"/>
    </w:rPr>
  </w:style>
  <w:style w:type="character" w:styleId="Style13">
    <w:name w:val="Символ сноски"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FootnoteCharacters">
    <w:name w:val="Footnote Characters"/>
    <w:basedOn w:val="DefaultParagraphFont"/>
    <w:uiPriority w:val="99"/>
    <w:unhideWhenUsed/>
    <w:qFormat/>
    <w:rsid w:val="005f30b7"/>
    <w:rPr>
      <w:vertAlign w:val="superscript"/>
    </w:rPr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Arial"/>
      <w:lang w:val="zxx" w:eastAsia="zxx" w:bidi="zxx"/>
    </w:rPr>
  </w:style>
  <w:style w:type="paragraph" w:styleId="Style16">
    <w:name w:val="Колонтитул"/>
    <w:basedOn w:val="Normal"/>
    <w:qFormat/>
    <w:pPr/>
    <w:rPr/>
  </w:style>
  <w:style w:type="paragraph" w:styleId="Header">
    <w:name w:val="Header"/>
    <w:basedOn w:val="Normal"/>
    <w:link w:val="Style9"/>
    <w:uiPriority w:val="99"/>
    <w:rsid w:val="00d002ca"/>
    <w:pPr>
      <w:tabs>
        <w:tab w:val="clear" w:pos="708"/>
        <w:tab w:val="center" w:pos="4320" w:leader="none"/>
        <w:tab w:val="right" w:pos="8640" w:leader="none"/>
      </w:tabs>
    </w:pPr>
    <w:rPr/>
  </w:style>
  <w:style w:type="paragraph" w:styleId="BalloonText">
    <w:name w:val="Balloon Text"/>
    <w:basedOn w:val="Normal"/>
    <w:link w:val="Style10"/>
    <w:uiPriority w:val="99"/>
    <w:semiHidden/>
    <w:unhideWhenUsed/>
    <w:qFormat/>
    <w:rsid w:val="00d002ca"/>
    <w:pPr/>
    <w:rPr>
      <w:rFonts w:ascii="Lucida Grande" w:hAnsi="Lucida Grande"/>
      <w:sz w:val="18"/>
      <w:szCs w:val="18"/>
    </w:rPr>
  </w:style>
  <w:style w:type="paragraph" w:styleId="ListParagraph">
    <w:name w:val="List Paragraph"/>
    <w:basedOn w:val="Normal"/>
    <w:uiPriority w:val="34"/>
    <w:qFormat/>
    <w:rsid w:val="00206a95"/>
    <w:pPr>
      <w:spacing w:before="0" w:after="0"/>
      <w:ind w:left="720" w:hanging="0"/>
      <w:contextualSpacing/>
    </w:pPr>
    <w:rPr/>
  </w:style>
  <w:style w:type="paragraph" w:styleId="Footer">
    <w:name w:val="Footer"/>
    <w:basedOn w:val="Normal"/>
    <w:link w:val="Style11"/>
    <w:uiPriority w:val="99"/>
    <w:unhideWhenUsed/>
    <w:rsid w:val="00206a95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FootnoteText">
    <w:name w:val="Footnote Text"/>
    <w:basedOn w:val="Normal"/>
    <w:link w:val="Style12"/>
    <w:uiPriority w:val="99"/>
    <w:unhideWhenUsed/>
    <w:qFormat/>
    <w:rsid w:val="005f30b7"/>
    <w:pPr/>
    <w:rPr>
      <w:sz w:val="20"/>
    </w:rPr>
  </w:style>
  <w:style w:type="paragraph" w:styleId="NormalWeb">
    <w:name w:val="Normal (Web)"/>
    <w:basedOn w:val="Normal"/>
    <w:uiPriority w:val="99"/>
    <w:unhideWhenUsed/>
    <w:qFormat/>
    <w:rsid w:val="00336344"/>
    <w:pPr>
      <w:spacing w:beforeAutospacing="1" w:afterAutospacing="1"/>
    </w:pPr>
    <w:rPr>
      <w:rFonts w:ascii="Times New Roman" w:hAnsi="Times New Roman" w:eastAsia="Times New Roman"/>
      <w:szCs w:val="24"/>
      <w:lang w:eastAsia="ru-RU"/>
    </w:rPr>
  </w:style>
  <w:style w:type="paragraph" w:styleId="Style17">
    <w:name w:val="Содержимое врезки"/>
    <w:basedOn w:val="Normal"/>
    <w:qFormat/>
    <w:pPr/>
    <w:rPr/>
  </w:style>
  <w:style w:type="paragraph" w:styleId="Style18">
    <w:name w:val="Содержимое таблицы"/>
    <w:basedOn w:val="Normal"/>
    <w:qFormat/>
    <w:pPr>
      <w:widowControl w:val="false"/>
      <w:suppressLineNumbers/>
    </w:pPr>
    <w:rPr/>
  </w:style>
  <w:style w:type="paragraph" w:styleId="Style19">
    <w:name w:val="Заголовок таблицы"/>
    <w:basedOn w:val="Style18"/>
    <w:qFormat/>
    <w:pPr>
      <w:suppressLineNumbers/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uiPriority w:val="59"/>
    <w:rsid w:val="00c13822"/>
    <w:pPr>
      <w:jc w:val="both"/>
    </w:pPr>
    <w:rPr>
      <w:lang w:val="ru-RU" w:eastAsia="en-US"/>
      <w:sz w:val="26"/>
      <w:szCs w:val="26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af0">
    <w:name w:val="Table Grid"/>
    <w:basedOn w:val="a1"/>
    <w:uiPriority w:val="59"/>
    <w:rsid w:val="00c13822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2">
    <w:name w:val="Сетка таблицы2"/>
    <w:basedOn w:val="a1"/>
    <w:uiPriority w:val="39"/>
    <w:rsid w:val="00bb06c8"/>
    <w:rPr>
      <w:lang w:val="ru-RU" w:eastAsia="en-US"/>
      <w:sz w:val="22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705D07-AA36-42EA-A2D0-ECBC4E7187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Application>AlterOffice/2025.2.0.0$Linux_X86_64 LibreOffice_project/6187b38627dc96752c3a67d602c04ead81138ae8</Application>
  <AppVersion>15.0000</AppVersion>
  <Pages>1</Pages>
  <Words>102</Words>
  <Characters>697</Characters>
  <CharactersWithSpaces>786</CharactersWithSpaces>
  <Paragraphs>19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2021-07-05T12:53:00Z</dcterms:created>
  <dc:creator>Andrey Zhurin</dc:creator>
  <dc:description/>
  <dc:language>ru-RU</dc:language>
  <cp:lastModifiedBy>bobrova_nv</cp:lastModifiedBy>
  <cp:lastPrinted>2021-07-02T09:19:00Z</cp:lastPrinted>
  <dcterms:modified xsi:type="dcterms:W3CDTF">2026-02-13T11:49:34Z</dcterms:modified>
  <cp:revision>86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