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«УТВЕРЖДАЮ»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Главный инженер 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Якутской ГРЭС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ПАО "Якутскэнерго"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Н.Н. Аммосов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«____»_______________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Start w:id="6" w:name="_Toc141696704"/>
      <w:bookmarkEnd w:id="4"/>
      <w:bookmarkEnd w:id="5"/>
      <w:bookmarkEnd w:id="6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/>
      </w:pPr>
      <w:r>
        <w:rPr>
          <w:rStyle w:val="Style7"/>
          <w:b w:val="false"/>
          <w:i w:val="false"/>
          <w:shd w:fill="auto" w:val="clear"/>
        </w:rPr>
        <w:t>ОКПД 2 26.51.53 Приобретение приборов химического контроля для оснащения Химического цеха Якутской ГРЭС в рамках инвестиционного проекта Q_508-9301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b w:val="false"/>
          <w:i w:val="false"/>
          <w:shd w:fill="auto" w:val="clear"/>
        </w:rPr>
        <w:t>Лот</w:t>
      </w:r>
    </w:p>
    <w:p>
      <w:pPr>
        <w:pStyle w:val="Normal"/>
        <w:jc w:val="center"/>
        <w:rPr>
          <w:rStyle w:val="Style7"/>
          <w:i w:val="false"/>
          <w:i w:val="false"/>
          <w:shd w:fill="auto" w:val="clear"/>
        </w:rPr>
      </w:pPr>
      <w:r>
        <w:rPr>
          <w:i w:val="false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  <w:t>1. Общие сведения</w:t>
            <w:tab/>
            <w:t>3</w:t>
          </w:r>
        </w:p>
        <w:p>
          <w:pPr>
            <w:pStyle w:val="TOC4"/>
            <w:rPr/>
          </w:pPr>
          <w:r>
            <w:rPr/>
            <w:t>1.1. Обозначения и сокращения</w:t>
            <w:tab/>
            <w:t>3</w:t>
          </w:r>
        </w:p>
        <w:p>
          <w:pPr>
            <w:pStyle w:val="TOC4"/>
            <w:rPr/>
          </w:pPr>
          <w:r>
            <w:rPr/>
            <w:t>1.2. Наименование закупаемой продукции</w:t>
            <w:tab/>
            <w:t>4</w:t>
          </w:r>
        </w:p>
        <w:p>
          <w:pPr>
            <w:pStyle w:val="TOC4"/>
            <w:rPr/>
          </w:pPr>
          <w:r>
            <w:rPr/>
            <w:t>1.3.</w:t>
          </w:r>
          <w:hyperlink w:anchor="__RefHeading___Toc35927_2613968454">
            <w:r>
              <w:rPr>
                <w:webHidden/>
                <w:rStyle w:val="Style12"/>
                <w:vanish w:val="false"/>
              </w:rPr>
              <w:t xml:space="preserve">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2. Требования к продукции</w:t>
            <w:tab/>
          </w:r>
          <w:hyperlink w:anchor="__RefHeading___Toc3592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hyperlink w:anchor="__RefHeading___Toc35931_2613968454">
            <w:r>
              <w:rPr>
                <w:webHidden/>
                <w:rStyle w:val="Style12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r>
            <w:rPr/>
            <w:t>2.1.1. Перечень и объем закупаемой продукции</w:t>
            <w:tab/>
            <w:t>4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1.1 Перечень и объем закупаемой продукции</w:t>
            <w:tab/>
          </w:r>
          <w:hyperlink w:anchor="__RefHeading___Toc35935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hyperlink w:anchor="__RefHeading___Toc35937_2613968454">
            <w:r>
              <w:rPr>
                <w:webHidden/>
                <w:rStyle w:val="Style12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2.1 Требования по срокам поставки продукции</w:t>
            <w:tab/>
          </w:r>
          <w:hyperlink w:anchor="__RefHeading___Toc3593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r>
            <w:rPr/>
            <w:t>2.2. Требования к качеству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5943_2613968454">
            <w:r>
              <w:rPr>
                <w:webHidden/>
                <w:rStyle w:val="Style12"/>
                <w:vanish w:val="false"/>
              </w:rPr>
              <w:t xml:space="preserve"> </w:t>
            </w:r>
          </w:hyperlink>
          <w:r>
            <w:rPr/>
            <w:t>Таблица 3. Требования к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3. Требования к документации по ценообразованию на этапе зак</w:t>
          </w:r>
          <w:hyperlink w:anchor="__RefHeading___Toc35945_2613968454">
            <w:r>
              <w:rPr>
                <w:webHidden/>
                <w:rStyle w:val="Style12"/>
                <w:vanish w:val="false"/>
              </w:rPr>
              <w:t>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Heading2"/>
        <w:shd w:fill="FFFFFF" w:val="clear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7" w:name="__RefHeading___Toc35921_2613968454"/>
      <w:bookmarkStart w:id="8" w:name="_Toc75446566"/>
      <w:bookmarkStart w:id="9" w:name="_Toc51339692"/>
      <w:bookmarkEnd w:id="7"/>
      <w:r>
        <w:rPr>
          <w:lang w:val="ru-RU"/>
        </w:rPr>
        <w:t>Общие сведения</w:t>
      </w:r>
      <w:bookmarkEnd w:id="8"/>
      <w:bookmarkEnd w:id="9"/>
    </w:p>
    <w:p>
      <w:pPr>
        <w:pStyle w:val="Heading4"/>
        <w:numPr>
          <w:ilvl w:val="1"/>
          <w:numId w:val="3"/>
        </w:numPr>
        <w:rPr/>
      </w:pPr>
      <w:bookmarkStart w:id="10" w:name="__RefHeading___Toc35923_2613968454"/>
      <w:bookmarkStart w:id="11" w:name="_Toc75446567"/>
      <w:bookmarkStart w:id="12" w:name="_Toc46743505"/>
      <w:bookmarkEnd w:id="10"/>
      <w:r>
        <w:rPr/>
        <w:t>Обозначения и сокращения</w:t>
      </w:r>
      <w:bookmarkEnd w:id="11"/>
      <w:bookmarkEnd w:id="1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ЯГРЭС- Якутская государственная районная электростанция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РФ -Российская Федерация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ТУ -Технические условия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ГОСТ -</w:t>
      </w:r>
      <w:r>
        <w:rPr>
          <w:bCs/>
          <w:color w:val="202124"/>
          <w:sz w:val="24"/>
          <w:szCs w:val="24"/>
          <w:shd w:fill="FFFFFF" w:val="clear"/>
        </w:rPr>
        <w:t xml:space="preserve"> государственный стандарт</w:t>
      </w:r>
    </w:p>
    <w:p>
      <w:pPr>
        <w:pStyle w:val="Normal"/>
        <w:rPr>
          <w:color w:val="202124"/>
          <w:sz w:val="24"/>
          <w:szCs w:val="24"/>
          <w:shd w:fill="FFFFFF" w:val="clear"/>
        </w:rPr>
      </w:pPr>
      <w:r>
        <w:rPr>
          <w:sz w:val="24"/>
          <w:szCs w:val="24"/>
        </w:rPr>
        <w:t>ЗИП -</w:t>
      </w:r>
      <w:r>
        <w:rPr>
          <w:color w:val="202124"/>
          <w:sz w:val="24"/>
          <w:szCs w:val="24"/>
          <w:shd w:fill="FFFFFF" w:val="clear"/>
        </w:rPr>
        <w:t xml:space="preserve"> запасные части, инструменты и принадлежности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РЭ – руководство по эксплуатации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ТО – техническое обслуживание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СИ – средства измерения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3" w:name="__RefHeading___Toc35925_2613968454"/>
      <w:bookmarkStart w:id="14" w:name="_Toc46743506"/>
      <w:bookmarkStart w:id="15" w:name="_Toc75446568"/>
      <w:bookmarkEnd w:id="13"/>
      <w:r>
        <w:rPr/>
        <w:t>Наименование закупаемой продукции</w:t>
      </w:r>
      <w:bookmarkEnd w:id="14"/>
      <w:bookmarkEnd w:id="15"/>
    </w:p>
    <w:p>
      <w:pPr>
        <w:pStyle w:val="Normal"/>
        <w:tabs>
          <w:tab w:val="clear" w:pos="708"/>
          <w:tab w:val="left" w:pos="567" w:leader="none"/>
        </w:tabs>
        <w:jc w:val="both"/>
        <w:rPr>
          <w:sz w:val="24"/>
          <w:szCs w:val="24"/>
        </w:rPr>
      </w:pPr>
      <w:bookmarkStart w:id="16" w:name="_Toc75446569"/>
      <w:r>
        <w:rPr>
          <w:sz w:val="24"/>
          <w:szCs w:val="24"/>
        </w:rPr>
        <w:t>Приборы и аппаратура для оснащения химического цеха.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b/>
          <w:sz w:val="24"/>
          <w:szCs w:val="24"/>
        </w:rPr>
      </w:pPr>
      <w:bookmarkStart w:id="17" w:name="_Toc46743507"/>
      <w:r>
        <w:rPr>
          <w:b/>
          <w:sz w:val="24"/>
          <w:szCs w:val="24"/>
        </w:rPr>
        <w:t xml:space="preserve">Цель </w:t>
      </w:r>
      <w:bookmarkEnd w:id="17"/>
      <w:r>
        <w:rPr>
          <w:b/>
          <w:sz w:val="24"/>
          <w:szCs w:val="24"/>
        </w:rPr>
        <w:t xml:space="preserve">использования закупаемой продукции 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7"/>
          <w:b w:val="false"/>
          <w:bCs/>
          <w:i w:val="false"/>
          <w:i w:val="false"/>
          <w:sz w:val="24"/>
          <w:szCs w:val="24"/>
        </w:rPr>
      </w:pPr>
      <w:r>
        <w:rPr>
          <w:rStyle w:val="Style7"/>
          <w:b w:val="false"/>
          <w:bCs/>
          <w:i w:val="false"/>
          <w:sz w:val="24"/>
          <w:szCs w:val="24"/>
          <w:shd w:fill="auto" w:val="clear"/>
        </w:rPr>
        <w:t xml:space="preserve">Приобретение необходимого перечня приборов и оборудования для прохождения аттестации химической лаборатории в соответствии с требованиями ПБ 03-372-00 «Правила аттестации и основные требования к лабораториям неразрушающего контроля» и СДА 15-2009 «Требования к испытательным лабораториям». </w:t>
      </w:r>
      <w:r>
        <w:rPr>
          <w:sz w:val="24"/>
          <w:szCs w:val="24"/>
        </w:rPr>
        <w:t xml:space="preserve">Создание условий устойчивого, безопасного и эффективного функционирования предприятия путем замены устаревшего оборудования лаборатории, не обеспечивающего точность диагностирования новым и приобретением дополнительных единиц приборов химического контроля.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8" w:name="__RefHeading___Toc35929_2613968454"/>
      <w:bookmarkStart w:id="19" w:name="_Toc75446573"/>
      <w:bookmarkStart w:id="20" w:name="_Toc51339693"/>
      <w:bookmarkEnd w:id="18"/>
      <w:r>
        <w:rPr>
          <w:iCs/>
          <w:sz w:val="24"/>
          <w:szCs w:val="24"/>
        </w:rPr>
        <w:t>Требования к продукции</w:t>
      </w:r>
      <w:bookmarkEnd w:id="19"/>
      <w:bookmarkEnd w:id="20"/>
    </w:p>
    <w:p>
      <w:pPr>
        <w:pStyle w:val="Heading4"/>
        <w:numPr>
          <w:ilvl w:val="1"/>
          <w:numId w:val="3"/>
        </w:numPr>
        <w:rPr/>
      </w:pPr>
      <w:bookmarkStart w:id="21" w:name="__RefHeading___Toc35931_2613968454"/>
      <w:bookmarkStart w:id="22" w:name="_Toc75446574"/>
      <w:bookmarkEnd w:id="21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rPr/>
      </w:pPr>
      <w:bookmarkStart w:id="23" w:name="__RefHeading___Toc35933_2613968454"/>
      <w:bookmarkStart w:id="24" w:name="_Toc75446575"/>
      <w:bookmarkEnd w:id="23"/>
      <w:r>
        <w:rPr>
          <w:lang w:val="ru-RU"/>
        </w:rPr>
        <w:t>Перечень и объем закупаемой продукции</w:t>
      </w:r>
      <w:bookmarkEnd w:id="2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5" w:name="__RefHeading___Toc35935_2613968454"/>
      <w:bookmarkStart w:id="26" w:name="_Toc75446576"/>
      <w:bookmarkStart w:id="27" w:name="_Toc51339695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End w:id="26"/>
    </w:p>
    <w:tbl>
      <w:tblPr>
        <w:tblW w:w="9812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6"/>
        <w:gridCol w:w="3784"/>
        <w:gridCol w:w="1300"/>
        <w:gridCol w:w="962"/>
        <w:gridCol w:w="1200"/>
        <w:gridCol w:w="2109"/>
      </w:tblGrid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Аналитические весы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/>
            </w:pPr>
            <w:r>
              <w:rPr>
                <w:rStyle w:val="Style7"/>
                <w:b w:val="false"/>
                <w:i w:val="false"/>
                <w:sz w:val="24"/>
                <w:szCs w:val="24"/>
                <w:shd w:fill="auto" w:val="clear"/>
              </w:rPr>
              <w:t>ОКПД 2 26.51.53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 (когда национальный режим не предоставляется)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Аппарат автоматический для определения температуры вспышки в закрытом тигле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Термостат для определения вязкости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8" w:name="__RefHeading___Toc35937_2613968454"/>
      <w:bookmarkStart w:id="29" w:name="_Toc75446578"/>
      <w:bookmarkStart w:id="30" w:name="_Toc51339696"/>
      <w:bookmarkEnd w:id="28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продукции и оказания сопутствующих услуг</w:t>
      </w:r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1" w:name="__RefHeading___Toc35939_2613968454"/>
      <w:bookmarkStart w:id="32" w:name="_Toc75446579"/>
      <w:bookmarkStart w:id="33" w:name="_Toc51339697"/>
      <w:bookmarkStart w:id="34" w:name="_Toc50125127"/>
      <w:bookmarkStart w:id="35" w:name="_Toc50125126"/>
      <w:bookmarkEnd w:id="3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800" w:type="dxa"/>
        <w:jc w:val="left"/>
        <w:tblInd w:w="2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1"/>
        <w:gridCol w:w="4400"/>
        <w:gridCol w:w="2418"/>
        <w:gridCol w:w="2540"/>
      </w:tblGrid>
      <w:tr>
        <w:trPr/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7" w:name="_Toc46743510"/>
            <w:r>
              <w:rPr>
                <w:b/>
                <w:sz w:val="24"/>
                <w:szCs w:val="24"/>
              </w:rPr>
              <w:t>4</w:t>
            </w:r>
            <w:bookmarkEnd w:id="37"/>
          </w:p>
        </w:tc>
      </w:tr>
      <w:tr>
        <w:trPr>
          <w:trHeight w:val="1222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Аналитические весы (с поверкой)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регламенту</w:t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Аппарат автоматический для определения температуры вспышки в закрытом тигле (с поверкой)</w:t>
            </w:r>
          </w:p>
        </w:tc>
        <w:tc>
          <w:tcPr>
            <w:tcW w:w="241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Термостат для определения вязкости (с поверкой)</w:t>
            </w:r>
          </w:p>
        </w:tc>
        <w:tc>
          <w:tcPr>
            <w:tcW w:w="241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_RefHeading___Toc35941_2613968454"/>
      <w:bookmarkStart w:id="39" w:name="_Toc51339698"/>
      <w:bookmarkStart w:id="40" w:name="_Toc75446581"/>
      <w:bookmarkStart w:id="41" w:name="_Toc46743511"/>
      <w:bookmarkEnd w:id="38"/>
      <w:r>
        <w:rPr/>
        <w:t xml:space="preserve">Требования к </w:t>
      </w:r>
      <w:bookmarkEnd w:id="41"/>
      <w:r>
        <w:rPr>
          <w:lang w:val="ru-RU"/>
        </w:rPr>
        <w:t>качеству продукции</w:t>
      </w:r>
      <w:bookmarkEnd w:id="4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2" w:name="__RefHeading___Toc35943_2613968454"/>
      <w:bookmarkEnd w:id="42"/>
      <w:r>
        <w:rPr>
          <w:sz w:val="24"/>
          <w:szCs w:val="24"/>
        </w:rPr>
        <w:t xml:space="preserve"> </w:t>
      </w:r>
      <w:bookmarkStart w:id="4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3"/>
      <w:r>
        <w:rPr>
          <w:sz w:val="24"/>
          <w:szCs w:val="24"/>
        </w:rPr>
        <w:t xml:space="preserve"> </w:t>
      </w:r>
      <w:bookmarkEnd w:id="39"/>
    </w:p>
    <w:p>
      <w:pPr>
        <w:pStyle w:val="Normal"/>
        <w:jc w:val="both"/>
        <w:rPr>
          <w:rStyle w:val="Style7"/>
          <w:sz w:val="26"/>
          <w:szCs w:val="26"/>
          <w:shd w:fill="auto" w:val="clear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 Таблицы 1.1): «</w:t>
      </w:r>
      <w:r>
        <w:rPr>
          <w:rStyle w:val="Style7"/>
          <w:sz w:val="26"/>
          <w:szCs w:val="26"/>
          <w:shd w:fill="auto" w:val="clear"/>
        </w:rPr>
        <w:t>Приборы и аппаратура для оснащения электротехнической лаборатории»</w:t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00"/>
        <w:gridCol w:w="1994"/>
        <w:gridCol w:w="3342"/>
        <w:gridCol w:w="2836"/>
        <w:gridCol w:w="2829"/>
        <w:gridCol w:w="3413"/>
      </w:tblGrid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заказчика*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33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 оборудования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677004, РФ, Республика Саха (Якутия) г. Якутск, ул. Кржижановского, д. 2</w:t>
            </w:r>
          </w:p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Грузополучатель: Якутская ГРЭС филиал ПАО «Якутскэнерго»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Транспортирование оборудования  в упаковке предприятия-изготовителя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гарантии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Гарантийный срок эксплуатации прибора виброизмерительного при соблюдении Потребителем условий</w:t>
            </w:r>
          </w:p>
          <w:p>
            <w:pPr>
              <w:pStyle w:val="Normal"/>
              <w:widowControl w:val="false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эксплуатации - 12 месяца со дня продажи прибора.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27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 оборудованием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технические паспорта;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руководства по эксплуатации. 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технические паспорта;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руководства по эксплуатации, методику поверки.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 при поставке должны сопровождаться следующей документацией: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свидетельством об утверждении типа СИ;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описанием типа (приложением к свидетельству);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методикой поверки СИ данного типа;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- свидетельством о первичной поверке.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до окончания действия свидетельства о поверке СИ на дату поставки должен быть не менее 2/3 межповерочного интервала.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</w:t>
            </w:r>
          </w:p>
        </w:tc>
        <w:tc>
          <w:tcPr>
            <w:tcW w:w="5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5.1</w:t>
            </w:r>
          </w:p>
        </w:tc>
        <w:tc>
          <w:tcPr>
            <w:tcW w:w="5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lang w:val="x-none" w:eastAsia="x-none"/>
              </w:rPr>
            </w:pPr>
            <w:r>
              <w:rPr>
                <w:lang w:val="x-none" w:eastAsia="x-none"/>
              </w:rPr>
              <w:t>6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6.1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Требования к происхождению поставляемой продукции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Оборудование и комплектующие заграничных производителей допускается применять только в случае отсутствия аналогов, произведенных в РФ, отвечающих всем техническим требованиям, предъявляемым к ним Заказчиком.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6.2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       оборудованию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Оборудование должно быть новым, ранее не используемым изготовленным, период изготовления: не ранее 202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 выпуска, и соответствовать настоящим техническим требованиям.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новым следует понимать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>, которое не было в употреблении, не проходило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236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36"/>
      </w:tblGrid>
      <w:tr>
        <w:trPr/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</w:tbl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b/>
          <w:bCs/>
          <w:i/>
          <w:sz w:val="24"/>
          <w:szCs w:val="24"/>
        </w:rPr>
        <w:t>«Приборы и аппаратура для оснащен</w:t>
      </w:r>
      <w:r>
        <w:rPr>
          <w:rFonts w:eastAsia="Calibri"/>
          <w:b/>
          <w:bCs/>
          <w:i/>
          <w:sz w:val="24"/>
          <w:szCs w:val="24"/>
        </w:rPr>
        <w:t>ия Химического цеха Якутской ГРЭС</w:t>
      </w:r>
      <w:r>
        <w:rPr>
          <w:rFonts w:eastAsia="Calibri"/>
          <w:b/>
          <w:bCs/>
          <w:i/>
          <w:sz w:val="24"/>
          <w:szCs w:val="24"/>
        </w:rPr>
        <w:t>»</w:t>
      </w:r>
    </w:p>
    <w:tbl>
      <w:tblPr>
        <w:tblStyle w:val="1f0"/>
        <w:tblW w:w="1548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3"/>
        <w:gridCol w:w="1406"/>
        <w:gridCol w:w="2249"/>
        <w:gridCol w:w="935"/>
        <w:gridCol w:w="5051"/>
        <w:gridCol w:w="1551"/>
        <w:gridCol w:w="842"/>
        <w:gridCol w:w="610"/>
        <w:gridCol w:w="1155"/>
        <w:gridCol w:w="946"/>
      </w:tblGrid>
      <w:tr>
        <w:trPr/>
        <w:tc>
          <w:tcPr>
            <w:tcW w:w="7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4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22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53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Требования заказчика *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50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bCs/>
                <w:kern w:val="0"/>
                <w:sz w:val="24"/>
                <w:szCs w:val="24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6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1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2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0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iCs/>
                <w:kern w:val="0"/>
                <w:sz w:val="24"/>
                <w:szCs w:val="24"/>
                <w:lang w:val="ru-RU" w:eastAsia="en-US" w:bidi="ar-SA"/>
              </w:rPr>
              <w:t>Позиция 1</w:t>
            </w:r>
          </w:p>
        </w:tc>
        <w:tc>
          <w:tcPr>
            <w:tcW w:w="22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Аналитические весы 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1. Наибольший предел взвешивания (НПВ) — 252 г.;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2. Наименьший предел взвешивания (НмПВ) - 0.01 г.;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3. Цена деления (дискретность) - 0.0001 г.;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4. ГОСТ - OIML R76-1-2011;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5. Класс точности - I специальный;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6. Дисплей — жидкокристаллический;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7. Размер платформы - Ø90 мм.;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8. Калибровка - внутренняя;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9. Габариты198x294x315 мм.;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10. Вес - 3.5 кг.;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11. Интерфейс — RS-232C;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12. Питание - сетевой адаптер.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</w:t>
            </w:r>
          </w:p>
        </w:tc>
        <w:tc>
          <w:tcPr>
            <w:tcW w:w="224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Аппарат автоматический для определения температуры вспышки в закрытом тигле 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1. Диапазон температуры вспышки - Автоматическое определение вспышки в диапазоне температур от +12 до +370  °C;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2. Нагрев - Автоматический нагрев продукта и поддержание скорости нагрева в соответствии с выбранной программой испытания;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3. Поджиг - Автоматический поджиг при помощи электрической искры, контролируемой мощности для полной имитации газового шарика диаметром 4 мм.;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4. Мешалка - Скорость перемешивания соответствуют требованиям выбранной программы испытаний и поддерживается автоматически;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5. Потребляемая мощность</w:t>
              <w:tab/>
              <w:t>не более 750 Вт (в режиме подготовки к испытанию, не более 120 Вт);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6. Размеры аппарата (с установленным тиглем) - 420х310х455 мм, (ширина х высота х глубина);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7. Масса аппарата - не более 15 кг;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8. Температура окружающей среды от 10 до 35 °C;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 xml:space="preserve">9. Относительная влажность при температуре +25°С </w:t>
              <w:tab/>
              <w:t>не более 80%;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10. Напряжение сети питания от 198 до 242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11. Частота сети питания от 49 до 51 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12. Срок службы - 6 лет, не более 15 000 часов;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13. Гарантийный срок эксплуатации - 1 год, не более 2 500 часов;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14. Электробезопасность -Дифференциальный автомат, предотвращающий поражение электрическим током пользователя и повреждение аппарата в результате короткого замыкания;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15. Пожарная безопасность</w:t>
              <w:tab/>
              <w:t>- Если показания цифрового измерителя температуры превысили плюс 395°С, либо было проведено 28 испытаний искрой, процесс испытания останавливается, при этом аппарат подает прерывистый звуковой сигнал и на дисплей выдается сообщение о ошибке. При остановке испытания нагрев отключается;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16. Звуковое сопровождение - Подача звукового сигнала при окончании испытания, обнаружении неисправности;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17. Диагностика и настройка - Встроенные алгоритмы самодиагностики и настройки, оповещение пользователей о причинах неисправностей.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iCs/>
                <w:kern w:val="0"/>
                <w:sz w:val="24"/>
                <w:szCs w:val="24"/>
                <w:lang w:val="ru-RU" w:eastAsia="en-US" w:bidi="ar-SA"/>
              </w:rPr>
              <w:t>Позиция 3</w:t>
            </w:r>
          </w:p>
        </w:tc>
        <w:tc>
          <w:tcPr>
            <w:tcW w:w="22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Термостат для определения вязкости 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1. Количество мест под вискозиметры — 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2. Диапазон температур</w:t>
              <w:br/>
              <w:t>— без внешнего охлаждения, °С</w:t>
              <w:br/>
              <w:t>— с охлаждением водопроводной водой, °С</w:t>
            </w:r>
            <w:bookmarkStart w:id="44" w:name="bx-cursor-node_Копия_2"/>
            <w:bookmarkEnd w:id="44"/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br/>
              <w:t>— с охлаждением криостатом, °С</w:t>
            </w:r>
            <w:bookmarkStart w:id="45" w:name="bx-cursor-node_Копия_1"/>
            <w:bookmarkEnd w:id="45"/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(Т</w:t>
            </w:r>
            <w:r>
              <w:rPr>
                <w:rFonts w:eastAsia="Calibri" w:cs="Arial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окр</w:t>
            </w: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+10)…+150</w:t>
              <w:br/>
              <w:t>(Т</w:t>
            </w:r>
            <w:r>
              <w:rPr>
                <w:rFonts w:eastAsia="Calibri" w:cs="Arial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воды</w:t>
            </w: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+5)…+150</w:t>
              <w:br/>
              <w:t>0…+150;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bookmarkStart w:id="46" w:name="bx-cursor-node"/>
            <w:bookmarkEnd w:id="46"/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3. Погрешность установления заданной температуры, °С±0,02;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4. Погрешность поддержания температуры, °С±0,01;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5. Потребляемая мощность, Вт — 1500;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6. Габаритные размеры, мм — 380х235х560;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7. Рабочая глубина, мм — 300;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8. Объём рабочей жидкости, л — 14;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9. Масса прибора без жидкости, кг — 16;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before="120" w:after="40"/>
        <w:ind w:right="397" w:hanging="0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7" w:name="__RefNumPara__25022_3612817740"/>
      <w:bookmarkStart w:id="48" w:name="__RefNumPara__25022_3612817740"/>
      <w:bookmarkEnd w:id="48"/>
    </w:p>
    <w:p>
      <w:pPr>
        <w:pStyle w:val="Normal"/>
        <w:spacing w:before="120" w:after="40"/>
        <w:ind w:left="1224" w:right="397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*Указанные в настоящем ТТ ссылки на ТУ, марку (тип) продукции носят описательный, а не обязательный характер. </w:t>
      </w:r>
    </w:p>
    <w:p>
      <w:pPr>
        <w:pStyle w:val="Normal"/>
        <w:spacing w:before="40" w:after="120"/>
        <w:ind w:left="1224" w:right="-28" w:hanging="0"/>
        <w:jc w:val="both"/>
        <w:rPr>
          <w:lang w:val="x-none" w:eastAsia="x-none"/>
        </w:rPr>
      </w:pPr>
      <w:r>
        <w:rPr>
          <w:b/>
          <w:bCs/>
          <w:sz w:val="24"/>
          <w:szCs w:val="24"/>
        </w:rPr>
        <w:t>В случае, если Участником предлагается эквивалентная продукция</w:t>
      </w:r>
      <w:r>
        <w:rPr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851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before="40" w:after="120"/>
        <w:ind w:left="1224" w:right="-28" w:hanging="0"/>
        <w:jc w:val="both"/>
        <w:rPr>
          <w:sz w:val="24"/>
          <w:szCs w:val="24"/>
        </w:rPr>
      </w:pPr>
      <w:r>
        <w:rPr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9" w:name="__RefHeading___Toc35945_2613968454"/>
      <w:bookmarkStart w:id="50" w:name="_Toc75446583"/>
      <w:bookmarkStart w:id="51" w:name="_Toc53393312"/>
      <w:bookmarkEnd w:id="49"/>
      <w:r>
        <w:rPr>
          <w:lang w:val="ru-RU"/>
        </w:rPr>
        <w:t>Требования к документации по ценообразованию</w:t>
      </w:r>
      <w:bookmarkEnd w:id="51"/>
      <w:r>
        <w:rPr>
          <w:lang w:val="ru-RU"/>
        </w:rPr>
        <w:t xml:space="preserve"> на этапе закупки</w:t>
      </w:r>
      <w:bookmarkEnd w:id="50"/>
    </w:p>
    <w:p>
      <w:pPr>
        <w:pStyle w:val="Style32"/>
        <w:ind w:firstLine="357"/>
        <w:rPr>
          <w:sz w:val="24"/>
          <w:szCs w:val="24"/>
        </w:rPr>
      </w:pPr>
      <w:bookmarkStart w:id="52" w:name="__RefHeading___Toc35947_2613968454"/>
      <w:bookmarkEnd w:id="52"/>
      <w:r>
        <w:rPr>
          <w:rStyle w:val="Style7"/>
          <w:rFonts w:ascii="Times New Roman" w:hAnsi="Times New Roman"/>
          <w:b w:val="false"/>
          <w:i w:val="false"/>
          <w:sz w:val="24"/>
          <w:szCs w:val="24"/>
          <w:shd w:fill="auto" w:val="clear"/>
        </w:rPr>
        <w:t>По результатам настоящей закупки заключается договор с предельной ценой, равной начальной (максимальной) цене договора.</w:t>
      </w:r>
    </w:p>
    <w:p>
      <w:pPr>
        <w:pStyle w:val="Style32"/>
        <w:rPr>
          <w:sz w:val="24"/>
          <w:szCs w:val="24"/>
        </w:rPr>
      </w:pPr>
      <w:bookmarkStart w:id="53" w:name="__RefHeading___Toc35949_2613968454"/>
      <w:bookmarkStart w:id="54" w:name="_Toc51339699"/>
      <w:bookmarkStart w:id="55" w:name="_Toc46743519"/>
      <w:bookmarkEnd w:id="53"/>
      <w:r>
        <w:rPr>
          <w:rStyle w:val="Style7"/>
          <w:rFonts w:ascii="Times New Roman" w:hAnsi="Times New Roman"/>
          <w:b w:val="false"/>
          <w:i w:val="false"/>
          <w:sz w:val="24"/>
          <w:szCs w:val="24"/>
          <w:shd w:fill="auto" w:val="clear"/>
        </w:rPr>
        <w:t>Цена на продукцию должна включать в себя все расходы Поставщика, связанные с исполнением договора, в том числе расходы по доставке, погрузочно-разгрузочные работы, страхование, уплату таможенных пошлин, сборов, других обязательных платежей и выражена в рублях Российской Федерации.</w:t>
      </w:r>
      <w:bookmarkEnd w:id="54"/>
      <w:bookmarkEnd w:id="55"/>
    </w:p>
    <w:p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32"/>
        <w:rPr>
          <w:rFonts w:ascii="Times New Roman" w:hAnsi="Times New Roman"/>
          <w:sz w:val="24"/>
          <w:szCs w:val="24"/>
        </w:rPr>
      </w:pPr>
      <w:r>
        <w:rPr/>
      </w:r>
      <w:bookmarkStart w:id="56" w:name="RANGE!A1%2525252525252525252525252525252"/>
      <w:bookmarkStart w:id="57" w:name="RANGE!A1%2525252525252525252525252525252"/>
      <w:bookmarkEnd w:id="57"/>
    </w:p>
    <w:sectPr>
      <w:headerReference w:type="default" r:id="rId7"/>
      <w:headerReference w:type="first" r:id="rId8"/>
      <w:type w:val="nextPage"/>
      <w:pgSz w:w="11906" w:h="16838"/>
      <w:pgMar w:left="851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9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19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27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3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17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7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17"/>
    <w:qFormat/>
    <w:pPr/>
    <w:rPr/>
  </w:style>
  <w:style w:type="paragraph" w:styleId="Style15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6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7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9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19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1e7cb7"/>
    <w:pPr>
      <w:shd w:val="clear" w:color="auto" w:fill="FFFFFF"/>
      <w:tabs>
        <w:tab w:val="clear" w:pos="708"/>
        <w:tab w:val="right" w:pos="10204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0" w:customStyle="1">
    <w:name w:val="Раздел регламента"/>
    <w:basedOn w:val="Normal"/>
    <w:qFormat/>
    <w:rsid w:val="00e228fa"/>
    <w:pPr/>
    <w:rPr/>
  </w:style>
  <w:style w:type="paragraph" w:styleId="Style21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11fe6"/>
    <w:pPr>
      <w:shd w:val="clear" w:color="auto" w:fill="FFFFFF"/>
      <w:tabs>
        <w:tab w:val="clear" w:pos="708"/>
        <w:tab w:val="right" w:pos="10204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2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7" w:customStyle="1">
    <w:name w:val="Подподпункт"/>
    <w:basedOn w:val="Style19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8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29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0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Western" w:customStyle="1">
    <w:name w:val="western"/>
    <w:basedOn w:val="Normal"/>
    <w:qFormat/>
    <w:rsid w:val="00404a99"/>
    <w:pPr>
      <w:spacing w:beforeAutospacing="1" w:after="119"/>
    </w:pPr>
    <w:rPr>
      <w:color w:val="000000"/>
    </w:rPr>
  </w:style>
  <w:style w:type="paragraph" w:styleId="Style31" w:customStyle="1">
    <w:name w:val="Содержимое врезки"/>
    <w:basedOn w:val="Normal"/>
    <w:qFormat/>
    <w:pPr/>
    <w:rPr/>
  </w:style>
  <w:style w:type="paragraph" w:styleId="Style3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4" w:customStyle="1">
    <w:name w:val="Заголовок таблицы"/>
    <w:basedOn w:val="Style3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7242-8BEB-49F1-A39A-4628D1AF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AlterOffice/3.4.0.9$Linux_X86_64 LibreOffice_project/b8daf9e823b1a5463a2f48435ddc2e8696e7d4fc</Application>
  <AppVersion>15.0000</AppVersion>
  <DocSecurity>4</DocSecurity>
  <Pages>13</Pages>
  <Words>1621</Words>
  <Characters>10981</Characters>
  <CharactersWithSpaces>12373</CharactersWithSpaces>
  <Paragraphs>268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2026-02-18T03:10:00Z</dcterms:created>
  <dc:creator>Быстров Олег Геннадьевич</dc:creator>
  <dc:description/>
  <dc:language>ru-RU</dc:language>
  <cp:lastModifiedBy>gabyshevinin</cp:lastModifiedBy>
  <cp:lastPrinted>2025-03-31T05:43:00Z</cp:lastPrinted>
  <dcterms:modified xsi:type="dcterms:W3CDTF">2026-08-06T13:32:12Z</dcterms:modified>
  <cp:revision>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