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«УТВЕРЖДАЮ»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Главный инженер 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Якутской ГРЭС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ПАО "Якутскэнерго"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Н.Н. Аммосов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«____»_______________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Start w:id="6" w:name="_Toc141696704"/>
      <w:bookmarkEnd w:id="4"/>
      <w:bookmarkEnd w:id="5"/>
      <w:bookmarkEnd w:id="6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/>
      </w:pPr>
      <w:r>
        <w:rPr>
          <w:rStyle w:val="Style7"/>
          <w:b w:val="false"/>
          <w:i w:val="false"/>
          <w:shd w:fill="auto" w:val="clear"/>
        </w:rPr>
        <w:t xml:space="preserve">ОКПД 2 26.51.66.190 Приобретение приборов и аппаратуры для оснащения Электротехнической лаборатории </w:t>
      </w:r>
      <w:r>
        <w:rPr>
          <w:rStyle w:val="Style7"/>
          <w:b w:val="false"/>
          <w:i w:val="false"/>
          <w:shd w:fill="auto" w:val="clear"/>
        </w:rPr>
        <w:t>№1</w:t>
      </w:r>
      <w:r>
        <w:rPr>
          <w:rStyle w:val="Style7"/>
          <w:b w:val="false"/>
          <w:i w:val="false"/>
          <w:shd w:fill="auto" w:val="clear"/>
        </w:rPr>
        <w:t xml:space="preserve"> Якутской ГРЭС в рамках инвестиционного проекта </w:t>
      </w:r>
      <w:r>
        <w:rPr>
          <w:rStyle w:val="Style7"/>
          <w:b w:val="false"/>
          <w:i w:val="false"/>
          <w:shd w:fill="auto" w:val="clear"/>
        </w:rPr>
        <w:t>Р</w:t>
      </w:r>
      <w:r>
        <w:rPr>
          <w:rStyle w:val="Style7"/>
          <w:b w:val="false"/>
          <w:i w:val="false"/>
          <w:shd w:fill="auto" w:val="clear"/>
        </w:rPr>
        <w:t>_508-9</w:t>
      </w:r>
      <w:r>
        <w:rPr>
          <w:rStyle w:val="Style7"/>
          <w:b w:val="false"/>
          <w:i w:val="false"/>
          <w:shd w:fill="auto" w:val="clear"/>
        </w:rPr>
        <w:t>2566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b w:val="false"/>
          <w:i w:val="false"/>
          <w:shd w:fill="auto" w:val="clear"/>
        </w:rPr>
        <w:t>Лот</w:t>
      </w:r>
    </w:p>
    <w:p>
      <w:pPr>
        <w:pStyle w:val="Normal"/>
        <w:jc w:val="center"/>
        <w:rPr>
          <w:rStyle w:val="Style7"/>
          <w:i w:val="false"/>
          <w:i w:val="false"/>
          <w:shd w:fill="auto" w:val="clear"/>
        </w:rPr>
      </w:pPr>
      <w:r>
        <w:rPr>
          <w:i w:val="false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  <w:t>1. Общие сведения</w:t>
            <w:tab/>
            <w:t>3</w:t>
          </w:r>
        </w:p>
        <w:p>
          <w:pPr>
            <w:pStyle w:val="TOC4"/>
            <w:rPr/>
          </w:pPr>
          <w:r>
            <w:rPr/>
            <w:t>1.1. Обозначения и сокращения</w:t>
            <w:tab/>
            <w:t>3</w:t>
          </w:r>
        </w:p>
        <w:p>
          <w:pPr>
            <w:pStyle w:val="TOC4"/>
            <w:rPr/>
          </w:pPr>
          <w:r>
            <w:rPr/>
            <w:t>1.2. Наименование закупаемой продукции</w:t>
            <w:tab/>
            <w:t>4</w:t>
          </w:r>
        </w:p>
        <w:p>
          <w:pPr>
            <w:pStyle w:val="TOC4"/>
            <w:rPr/>
          </w:pPr>
          <w:r>
            <w:rPr/>
            <w:t>1.3.</w:t>
          </w:r>
          <w:hyperlink w:anchor="__RefHeading___Toc35927_2613968454">
            <w:r>
              <w:rPr>
                <w:webHidden/>
                <w:rStyle w:val="Style12"/>
                <w:vanish w:val="false"/>
              </w:rPr>
              <w:t xml:space="preserve">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2. Требования к продукции</w:t>
            <w:tab/>
          </w:r>
          <w:hyperlink w:anchor="__RefHeading___Toc3592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hyperlink w:anchor="__RefHeading___Toc35931_2613968454">
            <w:r>
              <w:rPr>
                <w:webHidden/>
                <w:rStyle w:val="Style12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r>
            <w:rPr/>
            <w:t>2.1.1. Перечень и объем закупаемой продукции</w:t>
            <w:tab/>
            <w:t>4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1.1 Перечень и объем закупаемой продукции</w:t>
            <w:tab/>
          </w:r>
          <w:hyperlink w:anchor="__RefHeading___Toc35935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hyperlink w:anchor="__RefHeading___Toc35937_2613968454">
            <w:r>
              <w:rPr>
                <w:webHidden/>
                <w:rStyle w:val="Style12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2.1 Требования по срокам поставки продукции</w:t>
            <w:tab/>
          </w:r>
          <w:hyperlink w:anchor="__RefHeading___Toc3593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r>
            <w:rPr/>
            <w:t>2.2. Требования к качеству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5943_2613968454">
            <w:r>
              <w:rPr>
                <w:webHidden/>
                <w:rStyle w:val="Style12"/>
                <w:vanish w:val="false"/>
              </w:rPr>
              <w:t xml:space="preserve"> </w:t>
            </w:r>
          </w:hyperlink>
          <w:r>
            <w:rPr/>
            <w:t>Таблица 3. Требования к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3. Требования к документации по ценообразованию на этапе зак</w:t>
          </w:r>
          <w:hyperlink w:anchor="__RefHeading___Toc35945_2613968454">
            <w:r>
              <w:rPr>
                <w:webHidden/>
                <w:rStyle w:val="Style12"/>
                <w:vanish w:val="false"/>
              </w:rPr>
              <w:t>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Heading2"/>
        <w:shd w:fill="FFFFFF" w:val="clear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7" w:name="__RefHeading___Toc35921_2613968454"/>
      <w:bookmarkStart w:id="8" w:name="_Toc75446566"/>
      <w:bookmarkStart w:id="9" w:name="_Toc51339692"/>
      <w:bookmarkEnd w:id="7"/>
      <w:r>
        <w:rPr>
          <w:lang w:val="ru-RU"/>
        </w:rPr>
        <w:t>Общие сведения</w:t>
      </w:r>
      <w:bookmarkEnd w:id="8"/>
      <w:bookmarkEnd w:id="9"/>
    </w:p>
    <w:p>
      <w:pPr>
        <w:pStyle w:val="Heading4"/>
        <w:numPr>
          <w:ilvl w:val="1"/>
          <w:numId w:val="3"/>
        </w:numPr>
        <w:rPr/>
      </w:pPr>
      <w:bookmarkStart w:id="10" w:name="__RefHeading___Toc35923_2613968454"/>
      <w:bookmarkStart w:id="11" w:name="_Toc75446567"/>
      <w:bookmarkStart w:id="12" w:name="_Toc46743505"/>
      <w:bookmarkEnd w:id="10"/>
      <w:r>
        <w:rPr/>
        <w:t>Обозначения и сокращения</w:t>
      </w:r>
      <w:bookmarkEnd w:id="11"/>
      <w:bookmarkEnd w:id="1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ЯГРЭС- Якутская государственная районная электростанция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РФ -Российская Федерация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ТУ -Технические условия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ГОСТ -</w:t>
      </w:r>
      <w:r>
        <w:rPr>
          <w:bCs/>
          <w:color w:val="202124"/>
          <w:sz w:val="24"/>
          <w:szCs w:val="24"/>
          <w:shd w:fill="FFFFFF" w:val="clear"/>
        </w:rPr>
        <w:t xml:space="preserve"> государственный стандарт</w:t>
      </w:r>
    </w:p>
    <w:p>
      <w:pPr>
        <w:pStyle w:val="Normal"/>
        <w:rPr>
          <w:color w:val="202124"/>
          <w:sz w:val="24"/>
          <w:szCs w:val="24"/>
          <w:shd w:fill="FFFFFF" w:val="clear"/>
        </w:rPr>
      </w:pPr>
      <w:r>
        <w:rPr>
          <w:sz w:val="24"/>
          <w:szCs w:val="24"/>
        </w:rPr>
        <w:t>ЗИП -</w:t>
      </w:r>
      <w:r>
        <w:rPr>
          <w:color w:val="202124"/>
          <w:sz w:val="24"/>
          <w:szCs w:val="24"/>
          <w:shd w:fill="FFFFFF" w:val="clear"/>
        </w:rPr>
        <w:t xml:space="preserve"> запасные части, инструменты и принадлежности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РЭ – руководство по эксплуатации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ТО – техническое обслуживание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СИ – средства измерения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3" w:name="__RefHeading___Toc35925_2613968454"/>
      <w:bookmarkStart w:id="14" w:name="_Toc46743506"/>
      <w:bookmarkStart w:id="15" w:name="_Toc75446568"/>
      <w:bookmarkEnd w:id="13"/>
      <w:r>
        <w:rPr/>
        <w:t>Наименование закупаемой продукции</w:t>
      </w:r>
      <w:bookmarkEnd w:id="14"/>
      <w:bookmarkEnd w:id="15"/>
    </w:p>
    <w:p>
      <w:pPr>
        <w:pStyle w:val="Normal"/>
        <w:tabs>
          <w:tab w:val="clear" w:pos="708"/>
          <w:tab w:val="left" w:pos="567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ОКПД 2 26.51.66.190 Приобретение приборов и аппаратуры для оснащения Электротехнической лаборатории №1 Якутской ГРЭС в рамках инвестиционного проекта Р_508-92566.</w:t>
      </w:r>
      <w:bookmarkStart w:id="16" w:name="_Toc75446569"/>
    </w:p>
    <w:p>
      <w:pPr>
        <w:pStyle w:val="Normal"/>
        <w:tabs>
          <w:tab w:val="clear" w:pos="708"/>
          <w:tab w:val="left" w:pos="567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b/>
          <w:sz w:val="24"/>
          <w:szCs w:val="24"/>
        </w:rPr>
      </w:pPr>
      <w:bookmarkStart w:id="17" w:name="_Toc46743507"/>
      <w:r>
        <w:rPr>
          <w:b/>
          <w:sz w:val="24"/>
          <w:szCs w:val="24"/>
        </w:rPr>
        <w:t xml:space="preserve">Цель </w:t>
      </w:r>
      <w:bookmarkEnd w:id="17"/>
      <w:r>
        <w:rPr>
          <w:b/>
          <w:sz w:val="24"/>
          <w:szCs w:val="24"/>
        </w:rPr>
        <w:t xml:space="preserve">использования закупаемой продукции 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7"/>
          <w:b w:val="false"/>
          <w:bCs/>
          <w:i w:val="false"/>
          <w:i w:val="false"/>
          <w:sz w:val="24"/>
          <w:szCs w:val="24"/>
        </w:rPr>
      </w:pPr>
      <w:r>
        <w:rPr>
          <w:rStyle w:val="Style7"/>
          <w:b w:val="false"/>
          <w:bCs/>
          <w:i w:val="false"/>
          <w:sz w:val="24"/>
          <w:szCs w:val="24"/>
          <w:shd w:fill="auto" w:val="clear"/>
        </w:rPr>
        <w:t>Приобретение необходимого перечня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u w:val="none"/>
          <w:em w:val="none"/>
        </w:rPr>
        <w:t xml:space="preserve"> резервных приборов и аппаратуры, в том числе в период убытия на поверку. Отсутствие запасных частей. Необратимый моральный и физический износ оборудования. Необходимость проведения высоковольтных испытаний, проверки соответствия расцепителей автоматических выключателей (РД 34.45-51.300-97 "Объем и нормы испытаний электрооборудования);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8" w:name="__RefHeading___Toc35929_2613968454"/>
      <w:bookmarkStart w:id="19" w:name="_Toc75446573"/>
      <w:bookmarkStart w:id="20" w:name="_Toc51339693"/>
      <w:bookmarkEnd w:id="18"/>
      <w:r>
        <w:rPr>
          <w:iCs/>
          <w:sz w:val="24"/>
          <w:szCs w:val="24"/>
        </w:rPr>
        <w:t>Требования к продукции</w:t>
      </w:r>
      <w:bookmarkEnd w:id="19"/>
      <w:bookmarkEnd w:id="20"/>
    </w:p>
    <w:p>
      <w:pPr>
        <w:pStyle w:val="Heading4"/>
        <w:numPr>
          <w:ilvl w:val="1"/>
          <w:numId w:val="3"/>
        </w:numPr>
        <w:rPr/>
      </w:pPr>
      <w:bookmarkStart w:id="21" w:name="__RefHeading___Toc35931_2613968454"/>
      <w:bookmarkStart w:id="22" w:name="_Toc75446574"/>
      <w:bookmarkEnd w:id="21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rPr/>
      </w:pPr>
      <w:bookmarkStart w:id="23" w:name="__RefHeading___Toc35933_2613968454"/>
      <w:bookmarkStart w:id="24" w:name="_Toc75446575"/>
      <w:bookmarkEnd w:id="23"/>
      <w:r>
        <w:rPr>
          <w:lang w:val="ru-RU"/>
        </w:rPr>
        <w:t>Перечень и объем закупаемой продукции</w:t>
      </w:r>
      <w:bookmarkEnd w:id="2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5" w:name="__RefHeading___Toc35935_2613968454"/>
      <w:bookmarkStart w:id="26" w:name="_Toc75446576"/>
      <w:bookmarkStart w:id="27" w:name="_Toc51339695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End w:id="26"/>
    </w:p>
    <w:tbl>
      <w:tblPr>
        <w:tblW w:w="9812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6"/>
        <w:gridCol w:w="3784"/>
        <w:gridCol w:w="1300"/>
        <w:gridCol w:w="962"/>
        <w:gridCol w:w="1200"/>
        <w:gridCol w:w="2109"/>
      </w:tblGrid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тационарная высоковольтная испытательная лаборатория для проведения испытаний электрооборудования и диэлектрических средств защиты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/>
            </w:pPr>
            <w:r>
              <w:rPr>
                <w:rStyle w:val="Style7"/>
                <w:b w:val="false"/>
                <w:i w:val="false"/>
                <w:sz w:val="22"/>
                <w:szCs w:val="22"/>
                <w:shd w:fill="auto" w:val="clear"/>
              </w:rPr>
              <w:t>ОКПД 2 26.51.66.190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ограничения закупки иностранной продукции (когда национальный режим не предоставляется)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ппарат испытания диэлектриков цифровой(с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ппарат испытательно-прожигающий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Вольтметр универсальный цифровой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(с поверкой)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8" w:name="__RefHeading___Toc35937_2613968454"/>
      <w:bookmarkStart w:id="29" w:name="_Toc75446578"/>
      <w:bookmarkStart w:id="30" w:name="_Toc51339696"/>
      <w:bookmarkEnd w:id="28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продукции и оказания сопутствующих услуг</w:t>
      </w:r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1" w:name="__RefHeading___Toc35939_2613968454"/>
      <w:bookmarkStart w:id="32" w:name="_Toc75446579"/>
      <w:bookmarkStart w:id="33" w:name="_Toc51339697"/>
      <w:bookmarkStart w:id="34" w:name="_Toc50125127"/>
      <w:bookmarkStart w:id="35" w:name="_Toc50125126"/>
      <w:bookmarkEnd w:id="3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800" w:type="dxa"/>
        <w:jc w:val="left"/>
        <w:tblInd w:w="2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1"/>
        <w:gridCol w:w="4400"/>
        <w:gridCol w:w="2418"/>
        <w:gridCol w:w="2540"/>
      </w:tblGrid>
      <w:tr>
        <w:trPr/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7" w:name="_Toc46743510"/>
            <w:r>
              <w:rPr>
                <w:b/>
                <w:sz w:val="24"/>
                <w:szCs w:val="24"/>
              </w:rPr>
              <w:t>4</w:t>
            </w:r>
            <w:bookmarkEnd w:id="37"/>
          </w:p>
        </w:tc>
      </w:tr>
      <w:tr>
        <w:trPr>
          <w:trHeight w:val="1222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тационарная высоковольтная испытательная лаборатория для проведения испытаний электрооборудования и диэлектрических средств защиты (с поверкой)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регламенту</w:t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ппарат испытания диэлектриков цифровой(с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ппарат испытательно-прожигающий 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Вольтметр универсальный цифровой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_RefHeading___Toc35941_2613968454"/>
      <w:bookmarkStart w:id="39" w:name="_Toc51339698"/>
      <w:bookmarkStart w:id="40" w:name="_Toc75446581"/>
      <w:bookmarkStart w:id="41" w:name="_Toc46743511"/>
      <w:bookmarkEnd w:id="38"/>
      <w:r>
        <w:rPr/>
        <w:t xml:space="preserve">Требования к </w:t>
      </w:r>
      <w:bookmarkEnd w:id="41"/>
      <w:r>
        <w:rPr>
          <w:lang w:val="ru-RU"/>
        </w:rPr>
        <w:t>качеству продукции</w:t>
      </w:r>
      <w:bookmarkEnd w:id="4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2" w:name="__RefHeading___Toc35943_2613968454"/>
      <w:bookmarkEnd w:id="42"/>
      <w:r>
        <w:rPr>
          <w:sz w:val="24"/>
          <w:szCs w:val="24"/>
        </w:rPr>
        <w:t xml:space="preserve"> </w:t>
      </w:r>
      <w:bookmarkStart w:id="4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3"/>
      <w:r>
        <w:rPr>
          <w:sz w:val="24"/>
          <w:szCs w:val="24"/>
        </w:rPr>
        <w:t xml:space="preserve"> </w:t>
      </w:r>
      <w:bookmarkEnd w:id="39"/>
    </w:p>
    <w:p>
      <w:pPr>
        <w:pStyle w:val="Normal"/>
        <w:jc w:val="both"/>
        <w:rPr>
          <w:rStyle w:val="Style7"/>
          <w:sz w:val="26"/>
          <w:szCs w:val="26"/>
          <w:shd w:fill="auto" w:val="clear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 Таблицы 1.1): «</w:t>
      </w:r>
      <w:r>
        <w:rPr>
          <w:rStyle w:val="Style7"/>
          <w:sz w:val="26"/>
          <w:szCs w:val="26"/>
          <w:shd w:fill="auto" w:val="clear"/>
        </w:rPr>
        <w:t>Приборы и аппаратура для оснащения электротехнической лаборатории»</w:t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00"/>
        <w:gridCol w:w="1994"/>
        <w:gridCol w:w="3342"/>
        <w:gridCol w:w="2836"/>
        <w:gridCol w:w="2829"/>
        <w:gridCol w:w="3413"/>
      </w:tblGrid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заказчика*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33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 оборудования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677004, РФ, Республика Саха (Якутия) г. Якутск, ул. Кржижановского, д. 2</w:t>
            </w:r>
          </w:p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Грузополучатель: Якутская ГРЭС филиал ПАО «Якутскэнерго»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Транспортирование оборудования  в упаковке предприятия-изготовителя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гарантии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Гарантийный срок эксплуатации прибора виброизмерительного при соблюдении Потребителем условий</w:t>
            </w:r>
          </w:p>
          <w:p>
            <w:pPr>
              <w:pStyle w:val="Normal"/>
              <w:widowControl w:val="false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эксплуатации - 12 месяца со дня продажи прибора.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27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 оборудованием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технические паспорта;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руководства по эксплуатации. 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технические паспорта;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руководства по эксплуатации, методику поверки.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 при поставке должны сопровождаться следующей документацией: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свидетельством об утверждении типа СИ;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описанием типа (приложением к свидетельству);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методикой поверки СИ данного типа;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- свидетельством о первичной поверке.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до окончания действия свидетельства о поверке СИ на дату поставки должен быть не менее 2/3 межповерочного интервала.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</w:t>
            </w:r>
          </w:p>
        </w:tc>
        <w:tc>
          <w:tcPr>
            <w:tcW w:w="5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5.1</w:t>
            </w:r>
          </w:p>
        </w:tc>
        <w:tc>
          <w:tcPr>
            <w:tcW w:w="5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lang w:val="x-none" w:eastAsia="x-none"/>
              </w:rPr>
            </w:pPr>
            <w:r>
              <w:rPr>
                <w:lang w:val="x-none" w:eastAsia="x-none"/>
              </w:rPr>
              <w:t>6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6.1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Требования к происхождению поставляемой продукции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Оборудование и комплектующие заграничных производителей допускается применять только в случае отсутствия аналогов, произведенных в РФ, отвечающих всем техническим требованиям, предъявляемым к ним Заказчиком.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6.2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       оборудованию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Оборудование должно быть новым, ранее не используемым изготовленным, период изготовления: не ранее 202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 выпуска, и соответствовать настоящим техническим требованиям.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новым следует понимать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>, которое не было в употреблении, не проходило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236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36"/>
      </w:tblGrid>
      <w:tr>
        <w:trPr/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</w:tbl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b/>
          <w:bCs/>
          <w:i/>
          <w:sz w:val="24"/>
          <w:szCs w:val="24"/>
        </w:rPr>
        <w:t>«Приборы и аппаратура для оснащения электротехнической лаборатории»</w:t>
      </w:r>
    </w:p>
    <w:tbl>
      <w:tblPr>
        <w:tblStyle w:val="1f0"/>
        <w:tblW w:w="1548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3"/>
        <w:gridCol w:w="1406"/>
        <w:gridCol w:w="2249"/>
        <w:gridCol w:w="935"/>
        <w:gridCol w:w="5051"/>
        <w:gridCol w:w="1551"/>
        <w:gridCol w:w="842"/>
        <w:gridCol w:w="610"/>
        <w:gridCol w:w="1155"/>
        <w:gridCol w:w="946"/>
      </w:tblGrid>
      <w:tr>
        <w:trPr/>
        <w:tc>
          <w:tcPr>
            <w:tcW w:w="7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4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22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53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Требования заказчика *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50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kern w:val="0"/>
                <w:sz w:val="24"/>
                <w:szCs w:val="24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6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1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2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0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iCs/>
                <w:kern w:val="0"/>
                <w:sz w:val="24"/>
                <w:szCs w:val="24"/>
                <w:lang w:val="ru-RU" w:eastAsia="en-US" w:bidi="ar-SA"/>
              </w:rPr>
              <w:t>Позиция 1</w:t>
            </w:r>
          </w:p>
        </w:tc>
        <w:tc>
          <w:tcPr>
            <w:tcW w:w="22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тационарная высоковольтная испытательная лаборатория для проведения испытаний электрооборудования и диэлектрических средств защиты 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стенда испытаний средств защиты до 1</w:t>
            </w: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кВ: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Напряжение питания стенда - 220 В, 50 Гц.;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Наибольшее рабочее переменное напряжение - 0 - 15 кВ, (регулируется с дискретой 25 В);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Диапазон измеряемых токов утечки — Не менее 0,1 - 10 мА;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Способ регулировки напряжения - Электронный (без ЛАТРа)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Измерение 2-мя типами приборов - Цифровая индикация и стрелочная;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Относительная погрешность измерения напряжения, не более3 %;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Возможности программирования - Скорости подъёма и спада напряжения, времени испытаний;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t>Режимы управления - Ручной (оператор задает напряжение, максимальный ток и время испытаний). Полностью автоматический (по встроенным готовым программам испытаний на каждый тип изделий).</w:t>
            </w:r>
          </w:p>
          <w:p>
            <w:pPr>
              <w:pStyle w:val="BodyTex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стенда для испытаний указателей напряжения до 1000 В: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Напряжение питания стенда - 220 В, 50 Гц;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Диапазоны испытательных напряжений промышленной частоты 0 - 3 кВ. - постоянное напряжение 0 - 2,5 кВ. переменное напряжение;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Мощность - 500 Вт;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Способ регулировки напряжения - Электронный (без ЛАТРа) позволяет плавно изменять значение напряжение с дискретой 1В;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Погрешность измерения напряжения - Не более 3%;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Диапазон измеряемых токов утечки0 - 50 мА;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Возможности программирования - Скорости подъёма и спада напряжения, времени испытаний;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t>Режимы управления - Ручной (оператор задает напряжение, максимальный ток и время испытаний). Полностью автоматический (по встроенным готовым программам испытаний на каждый тип изделий).</w:t>
            </w:r>
          </w:p>
          <w:p>
            <w:pPr>
              <w:pStyle w:val="BodyText"/>
              <w:spacing w:before="0" w:after="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стенда испытаний изолирующих штанг и электрооборудования до 100 кВ: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Напряжение питания стенда - 220 В, 50 Гц;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Рабочее переменное напряжение - 100 кВ (регулируется с дискретой 25 В)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Регулировка напряженияЭлектронный способ (без ЛАТРа);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Максимальный выходной ток - 0-10 мА;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Погрешность измерения напряжений, промышленной частоты - Не хуже  3%;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Режимы управления - Ручной (оператор задает напряжение, максимальный ток и время испытаний). Полностью автоматический (по встроенным готовым программам испытаний на каждый тип изделий).</w:t>
            </w:r>
          </w:p>
          <w:p>
            <w:pPr>
              <w:pStyle w:val="BodyText"/>
              <w:spacing w:before="0" w:after="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установки для определения пробивного напряжения трансформаторного масла и других жидких диэлектриков до 100 кВ: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Напряжение питания стенда - 220 В, 50 Гц;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Наибольшее рабочее переменное напряжение - 100 кВ;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Форма испытательного напряжения — Синусоидальная;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Режим управление - Ручной или автоматический;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Фиксация результатов испытаний — Автоматическая;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Передача данных на компьютер - Автоматическая, расстановка данных в текст и распечатка протоколов испытаний.</w:t>
            </w:r>
          </w:p>
          <w:p>
            <w:pPr>
              <w:pStyle w:val="BodyText"/>
              <w:spacing w:before="0" w:after="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установки для измерения диэлектрических потерь жидких диэлектриков: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Диапазон измерений тангенса угла диэлектрических потерь - От 1. 10</w:t>
            </w:r>
            <w:r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 до 0,99;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Диапазон измерения емкости при испытательном напряжении от 1,5 до 2 кВОт 5 пФ до 100 пФ;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Время нагрева до 90 °C80±20 мин;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Хранение данных - Обеспечивает вывод результатов измерений на жидкокристаллический дисплей (ЖКИ) блока индикации;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Связь между высоковольтным измерительным блоком и блоком индикации - Осуществляется по радиоканалу в диапазоне частот 845-945 МГц;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Устойчивость радиосвязи - На расстоянии 5-7 м обеспечивается уровнем выходной мощности передатчика в 1 мВт.</w:t>
            </w:r>
          </w:p>
          <w:p>
            <w:pPr>
              <w:pStyle w:val="BodyText"/>
              <w:spacing w:before="0" w:after="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стенда испытания автоматических выключателей: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Максимальный ток In - До 2500А;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Ток перегрузки - До 12 кА;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Диапазоны измерения силы переменного тока, А -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0,025 до 25;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0,25 до 250;</w:t>
              <w:br/>
              <w:t>от 2,5 до 2500.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cтенда испытаний силовых трансформаторов: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повышенным напряжением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Диапазон испытательных напряжений, кВ - 4…50 (100);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Погрешность измерения напряжений - Не более % 3;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Ток срабатывания защиты по низкой стороне - Не более 30 А;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Подъем напряжения — Ручной;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Снятие напряжения — Ручное.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Измерения тока и потерь холостого хода: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Измерения тока и потерь холостого тока - Проводятся в соответствии с технической документацией на измеритель Коэффициент-3.3.</w:t>
            </w:r>
          </w:p>
          <w:p>
            <w:pPr>
              <w:pStyle w:val="BodyText"/>
              <w:spacing w:before="0" w:after="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Измерение коэффициента трансформации: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Измерения тока и потерь холостого тока - Проводятся в соответствии с технической документацией на измеритель Коэффициент-3.3.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Измерение омического сопротивления обмоток постоянному току: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Диапазон измерения сопротивления, Ом - 0,00001 – 10*5;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Погрешность измерения сопротивления, % - Не более 0,5.</w:t>
            </w:r>
          </w:p>
          <w:p>
            <w:pPr>
              <w:pStyle w:val="BodyText"/>
              <w:spacing w:before="0" w:after="0"/>
              <w:ind w:left="0" w:right="0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Измерение сопротивления изоляции: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сопротивления изоляции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Производится мегаомметром Е 6-24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 автоматизированного стенда механических испытаний: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Напряжение питания стенда, В - 220 В, 50 Гц;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Максимальное испытательное усилие, кг - 600 (регулируется с дискретой 1 кг)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Режим управления - Полуавтоматический (оператор задает усилие и время испытаний) или полностью автоматический (по встроенным программам испытаний);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Максимальное количество программ - До 19 + ручной режим управления;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Фиксация результатов испытаний — Автоматическая;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Возможность передачи данных - На компьютер и распечатка протоколов испытаний;</w:t>
            </w:r>
          </w:p>
          <w:p>
            <w:pPr>
              <w:pStyle w:val="BodyText"/>
              <w:spacing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Уровень шума — Низкий.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</w:t>
            </w:r>
          </w:p>
        </w:tc>
        <w:tc>
          <w:tcPr>
            <w:tcW w:w="224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ппарат испытания диэлектриков цифровой(с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Диапазон регулирования постоянного напряжения - 2 - 70 кВ с шагом 0,3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Диапазон регулирования переменного напряжения - 2 - 50 кВ с шагом 0,2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Допускаемая относительная погрешность измерения постоянного напряжения в диапазоне от 10 до 70 кВ - не превышает ± 3 %;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Допускаемая относительная погрешность измерения переменного напряжения в диапазоне от 10 до 50 кВ - не превышает ± 3 %;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Минимальное выходное напряжение аппарата (определяется конструктивными особенностями автотрансформатора, установленного в пульте управления) - (1 ± 1)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Амплитуда пульсации испытательного напряжения постоянного тока - не более 3 %; Коэффициент несинусоидальности испытательного напряжения переменного тока - не более 5 %;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Максимальный рабочий постоянный ток аппарата (амплитудное значение) в диапазоне напряжений от 2 до 60 кВ - 10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t>Максимальный рабочий постоянный ток аппарата (амплитудное значение) в диапазоне напряжений от 60 до 70 кВ - 5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>Измерение силы постоянного тока на основном диапазоне измерения 1-10 мА - с шагом 0,1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>
              <w:rPr>
                <w:sz w:val="24"/>
                <w:szCs w:val="24"/>
              </w:rPr>
              <w:t>Измерение силы постоянного тока на дополнительном диапазоне измерения 0,1-1 мА - с шагом 0,01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>Максимальная выходная мощность аппарата - 0,6 кВ·А;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>
              <w:rPr>
                <w:sz w:val="24"/>
                <w:szCs w:val="24"/>
              </w:rPr>
              <w:t>Максимальное время работы аппарата в режиме постоянного тока - 10 мин;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>
              <w:rPr>
                <w:sz w:val="24"/>
                <w:szCs w:val="24"/>
              </w:rPr>
              <w:t>Минимальное время выключенного состояния аппарата - 5 мин;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>
              <w:rPr>
                <w:sz w:val="24"/>
                <w:szCs w:val="24"/>
              </w:rPr>
              <w:t>Максимальный рабочий переменный ток аппарата (действующее значение) в диапазоне от 2 до 40 кВ50 мАМаксимальный рабочий переменный ток аппарата (действующее значение) в диапазоне от 40 до 50 кВ - 20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>
              <w:rPr>
                <w:sz w:val="24"/>
                <w:szCs w:val="24"/>
              </w:rPr>
              <w:t>Измерение силы переменного тока на основном диапазоне измерения 5-50 мА - с шагом 0,1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>
              <w:rPr>
                <w:sz w:val="24"/>
                <w:szCs w:val="24"/>
              </w:rPr>
              <w:t>Измерение силы переменного тока на дополнительном диапазоне измерения 0,5-5 мА - с шагом 0,01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>
              <w:rPr>
                <w:sz w:val="24"/>
                <w:szCs w:val="24"/>
              </w:rPr>
              <w:t>Максимальное время работы аппарата в режиме переменного тока при мощности, подаваемой в нагрузку - от 1,8 до 2,0 кВт - 1 мин - от 1,5 до 1,8 кВт - 5 мин - от 1,0 до 1,5 кВт - 10 мин - до 1,0 кВт - 1 ч;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>
              <w:rPr>
                <w:sz w:val="24"/>
                <w:szCs w:val="24"/>
              </w:rPr>
              <w:t>Допускаемая приведенная погрешность при измерении силы тока на основном диапазоне измерения постоянного тока 1-10 мА и переменного тока 5-50 мА - не превышает ± 5 %;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  <w:r>
              <w:rPr>
                <w:sz w:val="24"/>
                <w:szCs w:val="24"/>
              </w:rPr>
              <w:t>Допускаемая приведенная погрешность при измерении силы тока на дополнительном диапазоне измерения постоянного тока 0,1-1 мА и переменного тока 0,5-5 мА - не превышает ± 5 %;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 xml:space="preserve">20. </w:t>
            </w:r>
            <w:r>
              <w:rPr>
                <w:sz w:val="24"/>
                <w:szCs w:val="24"/>
                <w:shd w:fill="auto" w:val="clear"/>
              </w:rPr>
              <w:t xml:space="preserve">Встроенная память - </w:t>
            </w:r>
            <w:r>
              <w:rPr>
                <w:sz w:val="24"/>
                <w:szCs w:val="24"/>
              </w:rPr>
              <w:t>Да (позволяет записывать режимы испытаний (всего 4 режима));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</w:t>
            </w:r>
            <w:r>
              <w:rPr>
                <w:sz w:val="24"/>
                <w:szCs w:val="24"/>
              </w:rPr>
              <w:t>Режимы работы — ручной, автоматический (предусматривает задание оператором величины испытательного напряжения с шагом 0,5 кВ, скорости подъема испытательного напряжения, напряжения и тока срабатывания защиты (шагом 1 кВ), времени проведения испытания);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  <w:r>
              <w:rPr>
                <w:sz w:val="24"/>
                <w:szCs w:val="24"/>
              </w:rPr>
              <w:t>Максимальная активная мощность, потребляемая аппаратом из питающей сети - не более 2,2 кВт;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  <w:r>
              <w:rPr>
                <w:sz w:val="24"/>
                <w:szCs w:val="24"/>
              </w:rPr>
              <w:t>Устройство защиты, отключающее высокое напряжение при достижении на выходе - напряжением постоянного тока величины (амплитудное значение) от 70,1 до 74,0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напряжением переменного тока величины (действующее значение) от 50,1 до 53,0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силой постоянного тока величины (амплитудное значение) от 10,1 до 12,0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силой переменного тока величины (действующее значение) от 50,1 до 54,0 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Габаритные размеры пульта управления - не более 415 х 220 х 345 мм.;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Габаритные размеры генератора высоковольтного - не более 335 х 285 х 630 мм.;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Масса пульта упаравления - не более 16 кг.;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Масса генератора высоковольтного  - не более 38 кг.;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Средний срок службы аппарата - не менее 6 лет.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>Позиция 3</w:t>
            </w:r>
          </w:p>
        </w:tc>
        <w:tc>
          <w:tcPr>
            <w:tcW w:w="224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ппарат испытательно-прожигающий (с поверкой)</w:t>
            </w:r>
          </w:p>
        </w:tc>
        <w:tc>
          <w:tcPr>
            <w:tcW w:w="935" w:type="dxa"/>
            <w:tcBorders>
              <w:top w:val="nil"/>
            </w:tcBorders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Рабочий диапазон выходного переменного напряжения (действующее значение), кВ - от 10 до 50;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Рабочий диапазон выходного выпрямленного напряжения (амплитудное значение), кВ - от 10 до 70;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Предел допускаемой основной приведенной погрешности воспроизведения переменного напряжения в режиме холостого хода, % ±3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Предел допускаемой основной приведенной погрешности воспроизведения выпрямленного напряжения (амплитудное значение) в режиме испытаний объектов с емкостной нагрузкой, % - ±3;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Предел допускаемой основной приведенной погрешности воспроизведения выпрямленного напряжения (амплитудное значение) в режиме холостого хода, %±3;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Предел допускаемой основной приведенной погрешности измерения тока утечки испытываемого объекта в цепи выпрямленного напряжения, %±10;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Предел допускаемой дополнительной погрешности воспроизведения переменного и выпрямленного напряжений, вызванной отклонением температуры окружающего воздуха от нормальной до любой в пределах рабочей области, %±3;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t>Предел допускаемой дополнительной погрешности измерения тока утечки испытываемого объекта в цепи выпрямленного напряжения, вызванной отклонением температуры окружающего воздуха от нормальной до любой в пределах рабочей области, % ±10;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>Выходной переменный рабочий ток (действующее значение) в режиме короткого замыкания, мА, не менее —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>
              <w:rPr>
                <w:sz w:val="24"/>
                <w:szCs w:val="24"/>
              </w:rPr>
              <w:t>Потребляемая мощность, кВ·А, не более — 2,2;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>
              <w:rPr>
                <w:sz w:val="24"/>
                <w:szCs w:val="24"/>
              </w:rPr>
              <w:t>Общая масса, кг, не более — 62;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>
              <w:rPr>
                <w:sz w:val="24"/>
                <w:szCs w:val="24"/>
              </w:rPr>
              <w:t>Габаритные размеры высоковольтного блока345х360х665;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>
              <w:rPr>
                <w:sz w:val="24"/>
                <w:szCs w:val="24"/>
              </w:rPr>
              <w:t>Габаритные размеры пульта управления415х220х335</w:t>
            </w:r>
          </w:p>
        </w:tc>
        <w:tc>
          <w:tcPr>
            <w:tcW w:w="155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iCs/>
                <w:kern w:val="0"/>
                <w:sz w:val="24"/>
                <w:szCs w:val="24"/>
                <w:lang w:val="ru-RU" w:eastAsia="en-US" w:bidi="ar-SA"/>
              </w:rPr>
              <w:t xml:space="preserve">Позиция </w:t>
            </w:r>
            <w:r>
              <w:rPr>
                <w:rFonts w:eastAsia="Calibri" w:cs="Arial"/>
                <w:iCs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2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Вольтметр универсальный цифровой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ПОСТОЯННОЕ НАПРЯЖЕНИЕ DCV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Пределы измерений - 100 мВ / 1 / 10 / 100 / 1000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Разрешение - 0,1 / 1 мкВ / 10 мкВ / 0,1 / 1 мВ;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 ± (0,007 %);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Times New Roman" w:hAnsi="Times New Roman"/>
                <w:color w:val="auto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lang w:eastAsia="en-US"/>
              </w:rPr>
              <w:t xml:space="preserve">Входной импеданс — 10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МОм;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ПЕРЕМЕННОЕ НАПРЯЖЕНИЕ (AC+DC, TRUE RMS) ACV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Пределы измерений - 100 мВ / 1 … 750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Разрешение - 0,1 / 1 мкВ / 1 / 0,1 / 1 мВ;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Частотный диапазон - 3 Гц…300 кГц;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± (0,04 (79061)/0,07(79060) %изм. + 0,02%диапазона) - 10 Гц…20 кГц, 1…750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± (0,10 %изм. + 0,04 %диапазона) – 20 кГц…50 кГц, 1…750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до (4 %изм. + 0,5 %диап.) в остальном диапазоне частот;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5.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Входной импеданс - 10 МОм / 100 пФ;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ПОСТОЯННЫЙ ТОК DC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Пределы измерений100 мкА/ 1 /10 / 100 мА/ 1 / 3 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Разрешение100 пА / 1 /10 / 100 нА / 1 / 10 мкА;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± (0,07 % изм. + 0,006 % диапазона) – 0…1 мА</w:t>
              <w:br/>
              <w:t>± (0,18 % изм. + 0,02 % диапазона) – 0…10А.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ПЕРЕМЕННЫЙ ТОК (AC+DC, TRUE RMS) ACA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Пределы измерений100 мкА/ 1 мА / 100 мА /1 А/ 3 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Разрешение100 пА / 1/ 10/ 100 нА/ 1 мкА / 10 мкА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Частотный диапазон - 3 Гц…10 кГц;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± (0,1 % изм. + 0,04 % диапазона) – 10 Гц…5 кГц, 0…1А;</w:t>
              <w:br/>
              <w:t>± (0,23 %изм. + 0,04 % диапазона) – 10 Гц…5 кГц, 0…3 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СОПРОТИВЛЕНИЕ (4-Х ПР/ 2-Х ПР)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Пределы измерений100 Ом / 1 / 10 / 100 кОм / 1 / 10 / 100 МОм;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Разрешение0,1 / 1 / 10 мОм / 0,1 / 1 / 10 Ом / 0,1 кОм;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измерения± (0,0020 %изм. + 0,0005 %диапазона), 1…100 кОм</w:t>
              <w:br/>
              <w:t>± (0,015 %изм. + 0,001 %диапазона) в остальных диапазонах.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ПРОЗВОН ЦЕПИ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Порог срабатывания - Плавно регулируется в диапазоне 1 кОм;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 ± (0,003 %изм. + 0,03 %диапазона).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ЧАСТОТА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Диапазон частот - 3 Гц…1 МГц;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Диапазон входных напряжений100 мВ - 750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± 0,006 %изм. в диапазоне 40 Гц…1 МГц</w:t>
              <w:br/>
              <w:t>± 0,03 - 0,1 %изм. в остальном диапазоне частот.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ТЕМПЕРАТУРА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Предел измерений -200…+600°С (терморезисторы/ RTD); -200…+ 1870°С (термопара);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Разрешение0,001°С;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Термопарыподдержка термопар J,K,N,T, E, R, S, B типов (не входят в комплект).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ЁМКОСТЬ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Пределы измерений1нФ/ 10 нФ/ 100 нФ / 1мкФ / 10мкФ / 100 мкФРазрешение0,001 нФ / 0,01 нФ / 0,1 нФ / 0,001 мкФ / 0,01 мкФ / 0,1 мкФ 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измерения± (2,00 % изм. + 0,40 % диапазона).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ИСПЫТАНИЕ P-N ПЕРЕХОДА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Тестовое напряжение≤ 5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измерения± (0,003 %изм. + 0,03 %диапазона).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ДИСПЛЕЙИ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ндикатор - ЖКИ, графическая цветная матрица (диагональ 11см);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Формат - максимально 6½ разрядов;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Статистика - Построение гистограмм, линейная шкала, тренды.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Скорость измерений -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S (медленно)/ 5…100 изм/с (6 ½ разрядов)</w:t>
              <w:br/>
              <w:t>M (средне)/ 400…2400 изм/с (5 ½ разрядов)</w:t>
              <w:br/>
              <w:t>F (быстро)/ 4800…10000 изм/с (4 ½ разрядов) (79061).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ОБЩИЕ ДАННЫЕ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Напряжение питания100 / 120 / 220 / 240 В ( 10 %), 45 - 66 Гц или 360 – 440 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Внутренняя память - 10 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Интерфейс - USB, RS-232, LAN, дополнительный разъем «ввод/вывод» (D I/O) GPIB (опция);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Входные гнезда - Дублирование измерительных входов на задней панели;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5.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Габаритные размеры220 х 88 х 301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6.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t>Масса - 3,3 кг.</w:t>
            </w:r>
          </w:p>
        </w:tc>
        <w:tc>
          <w:tcPr>
            <w:tcW w:w="1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before="120" w:after="40"/>
        <w:ind w:right="397" w:hanging="0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4" w:name="__RefNumPara__25022_3612817740"/>
      <w:bookmarkStart w:id="45" w:name="__RefNumPara__25022_3612817740"/>
      <w:bookmarkEnd w:id="45"/>
    </w:p>
    <w:p>
      <w:pPr>
        <w:pStyle w:val="Normal"/>
        <w:spacing w:before="120" w:after="40"/>
        <w:ind w:left="1224" w:right="397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*Указанные в настоящем ТТ ссылки на ТУ, марку (тип) продукции носят описательный, а не обязательный характер. </w:t>
      </w:r>
    </w:p>
    <w:p>
      <w:pPr>
        <w:pStyle w:val="Normal"/>
        <w:spacing w:before="40" w:after="120"/>
        <w:ind w:left="1224" w:right="-28" w:hanging="0"/>
        <w:jc w:val="both"/>
        <w:rPr>
          <w:lang w:val="x-none" w:eastAsia="x-none"/>
        </w:rPr>
      </w:pPr>
      <w:r>
        <w:rPr>
          <w:b/>
          <w:bCs/>
          <w:sz w:val="24"/>
          <w:szCs w:val="24"/>
        </w:rPr>
        <w:t>В случае, если Участником предлагается эквивалентная продукция</w:t>
      </w:r>
      <w:r>
        <w:rPr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851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before="40" w:after="120"/>
        <w:ind w:left="1224" w:right="-28" w:hanging="0"/>
        <w:jc w:val="both"/>
        <w:rPr>
          <w:sz w:val="24"/>
          <w:szCs w:val="24"/>
        </w:rPr>
      </w:pPr>
      <w:r>
        <w:rPr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6" w:name="__RefHeading___Toc35945_2613968454"/>
      <w:bookmarkStart w:id="47" w:name="_Toc75446583"/>
      <w:bookmarkStart w:id="48" w:name="_Toc53393312"/>
      <w:bookmarkEnd w:id="46"/>
      <w:r>
        <w:rPr>
          <w:lang w:val="ru-RU"/>
        </w:rPr>
        <w:t>Требования к документации по ценообразованию</w:t>
      </w:r>
      <w:bookmarkEnd w:id="48"/>
      <w:r>
        <w:rPr>
          <w:lang w:val="ru-RU"/>
        </w:rPr>
        <w:t xml:space="preserve"> на этапе закупки</w:t>
      </w:r>
      <w:bookmarkEnd w:id="47"/>
    </w:p>
    <w:p>
      <w:pPr>
        <w:pStyle w:val="Style32"/>
        <w:ind w:firstLine="357"/>
        <w:rPr>
          <w:sz w:val="24"/>
          <w:szCs w:val="24"/>
        </w:rPr>
      </w:pPr>
      <w:bookmarkStart w:id="49" w:name="__RefHeading___Toc35947_2613968454"/>
      <w:bookmarkEnd w:id="49"/>
      <w:r>
        <w:rPr>
          <w:rStyle w:val="Style7"/>
          <w:rFonts w:ascii="Times New Roman" w:hAnsi="Times New Roman"/>
          <w:b w:val="false"/>
          <w:i w:val="false"/>
          <w:sz w:val="24"/>
          <w:szCs w:val="24"/>
          <w:shd w:fill="auto" w:val="clear"/>
        </w:rPr>
        <w:t>По результатам настоящей закупки заключается договор с предельной ценой, равной начальной (максимальной) цене договора.</w:t>
      </w:r>
    </w:p>
    <w:p>
      <w:pPr>
        <w:pStyle w:val="Style32"/>
        <w:rPr>
          <w:sz w:val="24"/>
          <w:szCs w:val="24"/>
        </w:rPr>
      </w:pPr>
      <w:bookmarkStart w:id="50" w:name="__RefHeading___Toc35949_2613968454"/>
      <w:bookmarkStart w:id="51" w:name="_Toc51339699"/>
      <w:bookmarkStart w:id="52" w:name="_Toc46743519"/>
      <w:bookmarkEnd w:id="50"/>
      <w:r>
        <w:rPr>
          <w:rStyle w:val="Style7"/>
          <w:rFonts w:ascii="Times New Roman" w:hAnsi="Times New Roman"/>
          <w:b w:val="false"/>
          <w:i w:val="false"/>
          <w:sz w:val="24"/>
          <w:szCs w:val="24"/>
          <w:shd w:fill="auto" w:val="clear"/>
        </w:rPr>
        <w:t>Цена на продукцию должна включать в себя все расходы Поставщика, связанные с исполнением договора, в том числе расходы по доставке, погрузочно-разгрузочные работы, страхование, уплату таможенных пошлин, сборов, других обязательных платежей и выражена в рублях Российской Федерации.</w:t>
      </w:r>
      <w:bookmarkEnd w:id="51"/>
      <w:bookmarkEnd w:id="52"/>
    </w:p>
    <w:p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32"/>
        <w:rPr>
          <w:rFonts w:ascii="Times New Roman" w:hAnsi="Times New Roman"/>
          <w:sz w:val="24"/>
          <w:szCs w:val="24"/>
        </w:rPr>
      </w:pPr>
      <w:r>
        <w:rPr/>
      </w:r>
      <w:bookmarkStart w:id="53" w:name="RANGE!A1%2525252525252525252525252525252"/>
      <w:bookmarkStart w:id="54" w:name="RANGE!A1%2525252525252525252525252525252"/>
      <w:bookmarkEnd w:id="54"/>
    </w:p>
    <w:sectPr>
      <w:headerReference w:type="default" r:id="rId7"/>
      <w:headerReference w:type="first" r:id="rId8"/>
      <w:type w:val="nextPage"/>
      <w:pgSz w:w="11906" w:h="16838"/>
      <w:pgMar w:left="851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9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19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27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3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17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7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17"/>
    <w:qFormat/>
    <w:pPr/>
    <w:rPr/>
  </w:style>
  <w:style w:type="paragraph" w:styleId="Style15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6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7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9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19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1e7cb7"/>
    <w:pPr>
      <w:shd w:val="clear" w:color="auto" w:fill="FFFFFF"/>
      <w:tabs>
        <w:tab w:val="clear" w:pos="708"/>
        <w:tab w:val="right" w:pos="10204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0" w:customStyle="1">
    <w:name w:val="Раздел регламента"/>
    <w:basedOn w:val="Normal"/>
    <w:qFormat/>
    <w:rsid w:val="00e228fa"/>
    <w:pPr/>
    <w:rPr/>
  </w:style>
  <w:style w:type="paragraph" w:styleId="Style21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11fe6"/>
    <w:pPr>
      <w:shd w:val="clear" w:color="auto" w:fill="FFFFFF"/>
      <w:tabs>
        <w:tab w:val="clear" w:pos="708"/>
        <w:tab w:val="right" w:pos="10204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2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7" w:customStyle="1">
    <w:name w:val="Подподпункт"/>
    <w:basedOn w:val="Style19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8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29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0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Western" w:customStyle="1">
    <w:name w:val="western"/>
    <w:basedOn w:val="Normal"/>
    <w:qFormat/>
    <w:rsid w:val="00404a99"/>
    <w:pPr>
      <w:spacing w:beforeAutospacing="1" w:after="119"/>
    </w:pPr>
    <w:rPr>
      <w:color w:val="000000"/>
    </w:rPr>
  </w:style>
  <w:style w:type="paragraph" w:styleId="Style31" w:customStyle="1">
    <w:name w:val="Содержимое врезки"/>
    <w:basedOn w:val="Normal"/>
    <w:qFormat/>
    <w:pPr/>
    <w:rPr/>
  </w:style>
  <w:style w:type="paragraph" w:styleId="Style3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4" w:customStyle="1">
    <w:name w:val="Заголовок таблицы"/>
    <w:basedOn w:val="Style3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7242-8BEB-49F1-A39A-4628D1AF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Application>AlterOffice/3.4.0.9$Linux_X86_64 LibreOffice_project/b8daf9e823b1a5463a2f48435ddc2e8696e7d4fc</Application>
  <AppVersion>15.0000</AppVersion>
  <DocSecurity>4</DocSecurity>
  <Pages>22</Pages>
  <Words>3252</Words>
  <Characters>20040</Characters>
  <CharactersWithSpaces>22922</CharactersWithSpaces>
  <Paragraphs>414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2026-02-18T03:10:00Z</dcterms:created>
  <dc:creator>Быстров Олег Геннадьевич</dc:creator>
  <dc:description/>
  <dc:language>ru-RU</dc:language>
  <cp:lastModifiedBy>gabyshevinin</cp:lastModifiedBy>
  <cp:lastPrinted>2025-03-31T05:43:00Z</cp:lastPrinted>
  <dcterms:modified xsi:type="dcterms:W3CDTF">2026-08-06T15:11:47Z</dcterms:modified>
  <cp:revision>18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