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center"/>
        <w:rPr>
          <w:bCs/>
          <w:lang w:eastAsia="en-US"/>
        </w:rPr>
      </w:pPr>
      <w:r>
        <w:rPr>
          <w:bCs/>
          <w:lang w:eastAsia="en-US"/>
        </w:rPr>
        <w:t>Техническое задание</w:t>
      </w:r>
    </w:p>
    <w:p>
      <w:pPr>
        <w:pStyle w:val="Normal"/>
        <w:spacing w:before="0" w:after="0"/>
        <w:ind w:firstLine="567"/>
        <w:jc w:val="center"/>
        <w:rPr>
          <w:bCs/>
          <w:lang w:eastAsia="en-US"/>
        </w:rPr>
      </w:pPr>
      <w:r>
        <w:rPr>
          <w:b/>
          <w:bCs/>
          <w:lang w:eastAsia="en-US"/>
        </w:rPr>
        <w:t>Обустройство дополнительными системами уличного освещения, путем размещения архитектурной и (или) художественной подсветки на фасадах зданий</w:t>
      </w:r>
    </w:p>
    <w:tbl>
      <w:tblPr>
        <w:tblW w:w="10349" w:type="dxa"/>
        <w:jc w:val="left"/>
        <w:tblInd w:w="-7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40"/>
        <w:gridCol w:w="2870"/>
        <w:gridCol w:w="2430"/>
        <w:gridCol w:w="13"/>
        <w:gridCol w:w="4396"/>
      </w:tblGrid>
      <w:tr>
        <w:trPr>
          <w:trHeight w:val="351" w:hRule="atLeast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ind w:firstLine="36"/>
              <w:rPr>
                <w:sz w:val="22"/>
                <w:szCs w:val="22"/>
              </w:rPr>
            </w:pPr>
            <w:r>
              <w:rPr>
                <w:rFonts w:eastAsia="Segoe UI Symbol"/>
              </w:rPr>
              <w:t>№</w:t>
            </w:r>
            <w:r>
              <w:rPr/>
              <w:t xml:space="preserve"> </w:t>
            </w:r>
            <w:r>
              <w:rPr/>
              <w:t>п/п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t>Перечень основных данных и требований</w:t>
            </w:r>
          </w:p>
        </w:tc>
        <w:tc>
          <w:tcPr>
            <w:tcW w:w="6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center"/>
              <w:rPr/>
            </w:pPr>
            <w:bookmarkStart w:id="0" w:name="_Hlk171588877"/>
            <w:r>
              <w:rPr/>
              <w:t>Содержание основных данных и требований</w:t>
            </w:r>
            <w:bookmarkEnd w:id="0"/>
          </w:p>
        </w:tc>
      </w:tr>
      <w:tr>
        <w:trPr>
          <w:trHeight w:val="1" w:hRule="atLeast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0"/>
              <w:ind w:firstLine="36" w:left="-36"/>
              <w:rPr/>
            </w:pPr>
            <w:r>
              <w:rPr/>
              <w:t>1.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t>Наименование предмета закупки</w:t>
            </w:r>
          </w:p>
        </w:tc>
        <w:tc>
          <w:tcPr>
            <w:tcW w:w="6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  <w:t>Обустройство дополнительными системами уличного освещения, путем размещения архитектурной и (или) художественной подсветки на фасадах зданий</w:t>
            </w:r>
          </w:p>
          <w:p>
            <w:pPr>
              <w:pStyle w:val="Normal"/>
              <w:spacing w:before="0" w:after="0"/>
              <w:rPr>
                <w:i/>
                <w:iCs/>
              </w:rPr>
            </w:pPr>
            <w:r>
              <w:rPr>
                <w:i/>
                <w:iCs/>
              </w:rPr>
              <w:t>В соответствии с решением Вологодской городской Думы от 02.04.2007 № 392 «О Правилах благоустройства городского округа города Вологды» работы по  обустройству дополнительными системами уличного освещения, путем размещения архитектурной и (или) художественной подсветки на фасадах зданий относятся к работам по благоустройству.</w:t>
            </w:r>
          </w:p>
        </w:tc>
      </w:tr>
      <w:tr>
        <w:trPr>
          <w:trHeight w:val="1" w:hRule="atLeast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suppressAutoHyphens w:val="false"/>
              <w:spacing w:lineRule="auto" w:line="240" w:before="0" w:after="0"/>
              <w:ind w:hangingChars="0" w:hanging="0" w:left="36"/>
              <w:contextualSpacing/>
              <w:jc w:val="left"/>
              <w:textAlignment w:val="auto"/>
              <w:outlineLvl w:val="9"/>
              <w:rPr/>
            </w:pPr>
            <w:r>
              <w:rPr/>
              <w:t>2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rPr/>
            </w:pPr>
            <w:r>
              <w:rPr/>
              <w:t>Место выполнения работ</w:t>
            </w:r>
          </w:p>
        </w:tc>
        <w:tc>
          <w:tcPr>
            <w:tcW w:w="6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rPr/>
            </w:pPr>
            <w:r>
              <w:rPr/>
              <w:t>Российская Федерация, обл. Вологодская, г.о. город Вологда, г Вологда, а именно:</w:t>
            </w:r>
          </w:p>
          <w:p>
            <w:pPr>
              <w:pStyle w:val="Normal"/>
              <w:spacing w:before="0" w:after="0"/>
              <w:rPr/>
            </w:pPr>
            <w:r>
              <w:rPr/>
              <w:t>- Советский пр., д. 4;</w:t>
            </w:r>
          </w:p>
          <w:p>
            <w:pPr>
              <w:pStyle w:val="Normal"/>
              <w:spacing w:before="0" w:after="0"/>
              <w:rPr/>
            </w:pPr>
            <w:r>
              <w:rPr/>
              <w:t xml:space="preserve">- Советский пр., д. 8; </w:t>
            </w:r>
          </w:p>
          <w:p>
            <w:pPr>
              <w:pStyle w:val="Normal"/>
              <w:spacing w:before="0" w:after="0"/>
              <w:rPr/>
            </w:pPr>
            <w:r>
              <w:rPr/>
              <w:t>- Советский пр., д. 10;</w:t>
            </w:r>
          </w:p>
          <w:p>
            <w:pPr>
              <w:pStyle w:val="Normal"/>
              <w:spacing w:before="0" w:after="0"/>
              <w:rPr/>
            </w:pPr>
            <w:r>
              <w:rPr/>
              <w:t>- Советский пр., д. 12</w:t>
            </w:r>
          </w:p>
        </w:tc>
      </w:tr>
      <w:tr>
        <w:trPr/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  <w:t>Срок выполнения работ</w:t>
            </w:r>
          </w:p>
        </w:tc>
        <w:tc>
          <w:tcPr>
            <w:tcW w:w="6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  <w:t xml:space="preserve">С даты заключения </w:t>
            </w:r>
            <w:r>
              <w:rPr/>
              <w:t xml:space="preserve">договора </w:t>
            </w:r>
            <w:r>
              <w:rPr/>
              <w:t xml:space="preserve">по 25 февраля 2027 года. </w:t>
            </w:r>
          </w:p>
          <w:p>
            <w:pPr>
              <w:pStyle w:val="Normal"/>
              <w:spacing w:before="0" w:after="0"/>
              <w:rPr/>
            </w:pPr>
            <w:r>
              <w:rPr/>
            </w:r>
          </w:p>
        </w:tc>
      </w:tr>
      <w:tr>
        <w:trPr/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  <w:t>Объем работ</w:t>
            </w:r>
          </w:p>
        </w:tc>
        <w:tc>
          <w:tcPr>
            <w:tcW w:w="6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  <w:t>1 (одна) условная единица, в соответствии со сметной документацией (локальные сметные расчеты).</w:t>
            </w:r>
          </w:p>
          <w:p>
            <w:pPr>
              <w:pStyle w:val="Normal"/>
              <w:spacing w:before="0" w:after="0"/>
              <w:rPr/>
            </w:pPr>
            <w:r>
              <w:rPr/>
              <w:t>Сметная документация (локальные сметные расчеты) является неотъемлемой частью извещения и содержится в файле с наименованием «Сметная документация», размещенном на официальном сайте единой информационной системы в информационно-телекоммуникационной сети «Интернет» в сфере закупок (www.zakupki.gov.ru)*.</w:t>
            </w:r>
          </w:p>
          <w:p>
            <w:pPr>
              <w:pStyle w:val="Normal"/>
              <w:spacing w:before="0" w:after="0"/>
              <w:rPr/>
            </w:pPr>
            <w:r>
              <w:rPr/>
              <w:t xml:space="preserve">*(В случае если локальные сметы содержат ссылки на товарные знаки, участнику закупки необходимо учитывать формулировку «или эквивалент» и рассматривать исключительно технические характеристики товара. </w:t>
            </w:r>
          </w:p>
          <w:p>
            <w:pPr>
              <w:pStyle w:val="Normal"/>
              <w:spacing w:before="0" w:after="0"/>
              <w:rPr/>
            </w:pPr>
            <w:r>
              <w:rPr/>
              <w:t>Указанные в сметной документации знаки обслуживания, фирменные наименования, патенты, полезные модели, промышленные образцы, наименование страны происхождения товара, заводы-изготовители, ссылки на технические условия производителей, наименования производителей товара, а также места приобретения материалов и оборудования являются рекомендованными).</w:t>
            </w:r>
          </w:p>
          <w:p>
            <w:pPr>
              <w:pStyle w:val="Normal"/>
              <w:spacing w:before="0" w:after="0"/>
              <w:rPr/>
            </w:pPr>
            <w:r>
              <w:rPr/>
              <w:t>При выполнении работ используются материалы (стоимость материалов входит в стоимость работ).</w:t>
            </w:r>
          </w:p>
        </w:tc>
      </w:tr>
      <w:tr>
        <w:trPr/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>
                <w:color w:val="000000"/>
              </w:rPr>
            </w:pPr>
            <w:r>
              <w:rPr/>
              <w:t>Виды работы</w:t>
            </w:r>
          </w:p>
        </w:tc>
        <w:tc>
          <w:tcPr>
            <w:tcW w:w="6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  <w:t>- Прокладка кабельных трас;</w:t>
            </w:r>
          </w:p>
          <w:p>
            <w:pPr>
              <w:pStyle w:val="Normal"/>
              <w:widowControl w:val="false"/>
              <w:spacing w:before="0" w:after="0"/>
              <w:rPr/>
            </w:pPr>
            <w:r>
              <w:rPr/>
              <w:t>- Монтаж светодиодных светильников;</w:t>
            </w:r>
          </w:p>
          <w:p>
            <w:pPr>
              <w:pStyle w:val="Normal"/>
              <w:widowControl w:val="false"/>
              <w:spacing w:before="0" w:after="0"/>
              <w:rPr/>
            </w:pPr>
            <w:r>
              <w:rPr/>
              <w:t>- Монтаж распределительных коробок;</w:t>
            </w:r>
          </w:p>
          <w:p>
            <w:pPr>
              <w:pStyle w:val="Normal"/>
              <w:widowControl w:val="false"/>
              <w:spacing w:before="0" w:after="0"/>
              <w:rPr/>
            </w:pPr>
            <w:r>
              <w:rPr/>
              <w:t>- Сборка и монтаж электрического щита;</w:t>
            </w:r>
          </w:p>
          <w:p>
            <w:pPr>
              <w:pStyle w:val="Normal"/>
              <w:widowControl w:val="false"/>
              <w:spacing w:before="0" w:after="0"/>
              <w:rPr/>
            </w:pPr>
            <w:r>
              <w:rPr/>
              <w:t>- Юстировка светильников.</w:t>
            </w:r>
          </w:p>
          <w:p>
            <w:pPr>
              <w:pStyle w:val="Normal"/>
              <w:widowControl w:val="false"/>
              <w:spacing w:before="0" w:after="0"/>
              <w:rPr>
                <w:color w:themeColor="text1" w:val="000000"/>
              </w:rPr>
            </w:pPr>
            <w:r>
              <w:rPr>
                <w:color w:themeColor="text1" w:val="000000"/>
              </w:rPr>
              <w:t>- Подключение к сетям электроснабжения.</w:t>
            </w:r>
          </w:p>
          <w:p>
            <w:pPr>
              <w:pStyle w:val="Normal"/>
              <w:widowControl w:val="false"/>
              <w:spacing w:before="0" w:after="0"/>
              <w:rPr>
                <w:color w:themeColor="text1" w:val="000000"/>
              </w:rPr>
            </w:pPr>
            <w:r>
              <w:rPr>
                <w:color w:themeColor="text1" w:val="000000"/>
              </w:rPr>
              <w:t>- Проведение пуско-наладочных работ.</w:t>
            </w:r>
          </w:p>
        </w:tc>
      </w:tr>
      <w:tr>
        <w:trPr/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  <w:t>Требования к проводимым работам</w:t>
            </w:r>
          </w:p>
        </w:tc>
        <w:tc>
          <w:tcPr>
            <w:tcW w:w="6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324" w:leader="none"/>
              </w:tabs>
              <w:spacing w:before="0" w:after="0"/>
              <w:rPr>
                <w:b/>
              </w:rPr>
            </w:pPr>
            <w:r>
              <w:rPr>
                <w:b/>
              </w:rPr>
              <w:t>Монтаж системы архитектурно-художественной подсветки фасадов:</w:t>
            </w:r>
          </w:p>
          <w:p>
            <w:pPr>
              <w:pStyle w:val="Normal"/>
              <w:tabs>
                <w:tab w:val="clear" w:pos="708"/>
                <w:tab w:val="left" w:pos="324" w:leader="none"/>
              </w:tabs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Монтажные работы выполнить согласно требованиям следующих нормативно правовых документов:</w:t>
            </w:r>
          </w:p>
          <w:p>
            <w:pPr>
              <w:pStyle w:val="Normal"/>
              <w:numPr>
                <w:ilvl w:val="1"/>
                <w:numId w:val="1"/>
              </w:numPr>
              <w:tabs>
                <w:tab w:val="clear" w:pos="708"/>
                <w:tab w:val="left" w:pos="324" w:leader="none"/>
              </w:tabs>
              <w:spacing w:before="0" w:after="0"/>
              <w:ind w:hanging="0" w:left="0"/>
              <w:rPr/>
            </w:pPr>
            <w:r>
              <w:rPr/>
              <w:t>ГОСТ Р 50571.5.54-2024 (МЭК 60364-5-54:2021). Национальный стандарт Российской Федерации. Электроустановки низковольтные. Часть 5-54. Выбор и монтаж электрического оборудования. Заземляющие устройства и защитные проводники;</w:t>
            </w:r>
          </w:p>
          <w:p>
            <w:pPr>
              <w:pStyle w:val="Normal"/>
              <w:numPr>
                <w:ilvl w:val="1"/>
                <w:numId w:val="1"/>
              </w:numPr>
              <w:tabs>
                <w:tab w:val="clear" w:pos="708"/>
                <w:tab w:val="left" w:pos="324" w:leader="none"/>
              </w:tabs>
              <w:spacing w:before="0" w:after="0"/>
              <w:ind w:hanging="0" w:left="0"/>
              <w:rPr/>
            </w:pPr>
            <w:r>
              <w:rPr/>
              <w:t>Правила устройства электроустановок (ПУЭ Издание7);</w:t>
            </w:r>
          </w:p>
          <w:p>
            <w:pPr>
              <w:pStyle w:val="Normal"/>
              <w:numPr>
                <w:ilvl w:val="1"/>
                <w:numId w:val="1"/>
              </w:numPr>
              <w:tabs>
                <w:tab w:val="clear" w:pos="708"/>
                <w:tab w:val="left" w:pos="324" w:leader="none"/>
              </w:tabs>
              <w:spacing w:before="0" w:after="0"/>
              <w:ind w:hanging="0" w:left="0"/>
              <w:rPr/>
            </w:pPr>
            <w:r>
              <w:rPr/>
              <w:t>СП 76.13330.2016 «Электротехнические устройства»;</w:t>
            </w:r>
          </w:p>
          <w:p>
            <w:pPr>
              <w:pStyle w:val="Normal"/>
              <w:numPr>
                <w:ilvl w:val="1"/>
                <w:numId w:val="1"/>
              </w:numPr>
              <w:tabs>
                <w:tab w:val="clear" w:pos="708"/>
                <w:tab w:val="left" w:pos="324" w:leader="none"/>
              </w:tabs>
              <w:spacing w:before="0" w:after="0"/>
              <w:ind w:hanging="0" w:left="0"/>
              <w:rPr/>
            </w:pPr>
            <w:r>
              <w:rPr/>
              <w:t>СП 48.13330.2019 «Организация строительства» (СНиП 12-01-2004);</w:t>
            </w:r>
          </w:p>
          <w:p>
            <w:pPr>
              <w:pStyle w:val="Normal"/>
              <w:numPr>
                <w:ilvl w:val="1"/>
                <w:numId w:val="1"/>
              </w:numPr>
              <w:tabs>
                <w:tab w:val="clear" w:pos="708"/>
                <w:tab w:val="left" w:pos="324" w:leader="none"/>
              </w:tabs>
              <w:spacing w:before="0" w:after="0"/>
              <w:ind w:hanging="0" w:left="0"/>
              <w:rPr/>
            </w:pPr>
            <w:r>
              <w:rPr/>
              <w:t>Приказ Министерства труда и социальной защиты Российской Федерации от 11.12.2020г. № 883н «Об утверждении Правил по охране труда при строительстве, реконструкции и ремонте»;</w:t>
            </w:r>
          </w:p>
          <w:p>
            <w:pPr>
              <w:pStyle w:val="Normal"/>
              <w:numPr>
                <w:ilvl w:val="1"/>
                <w:numId w:val="1"/>
              </w:numPr>
              <w:tabs>
                <w:tab w:val="clear" w:pos="708"/>
                <w:tab w:val="left" w:pos="324" w:leader="none"/>
              </w:tabs>
              <w:spacing w:before="0" w:after="0"/>
              <w:ind w:hanging="0" w:left="0"/>
              <w:rPr/>
            </w:pPr>
            <w:r>
              <w:rPr/>
              <w:t>Приказ Министерства труда и социальной защиты Российской Федерации от 16.11.2020г. № 782н «Об утверждении Правил по охране труда при работе на высоте»;</w:t>
            </w:r>
          </w:p>
          <w:p>
            <w:pPr>
              <w:pStyle w:val="Normal"/>
              <w:numPr>
                <w:ilvl w:val="1"/>
                <w:numId w:val="1"/>
              </w:numPr>
              <w:tabs>
                <w:tab w:val="clear" w:pos="708"/>
                <w:tab w:val="left" w:pos="324" w:leader="none"/>
              </w:tabs>
              <w:spacing w:before="0" w:after="0"/>
              <w:ind w:hanging="0" w:left="0"/>
              <w:rPr/>
            </w:pPr>
            <w:r>
              <w:rPr/>
              <w:t>Федеральный закон от 30.12.2009г. № 384-ФЗ «Технический регламент о безопасности зданий и сооружений»;</w:t>
            </w:r>
          </w:p>
          <w:p>
            <w:pPr>
              <w:pStyle w:val="Normal"/>
              <w:numPr>
                <w:ilvl w:val="1"/>
                <w:numId w:val="1"/>
              </w:numPr>
              <w:tabs>
                <w:tab w:val="clear" w:pos="708"/>
                <w:tab w:val="left" w:pos="324" w:leader="none"/>
              </w:tabs>
              <w:spacing w:before="0" w:after="0"/>
              <w:ind w:hanging="0" w:left="0"/>
              <w:rPr/>
            </w:pPr>
            <w:r>
              <w:rPr/>
              <w:t>Постановление Правительства Российской Федерации от 16.09.2020г. № 1479 «Об утверждении Правил противопожарного режима в Российской Федерации»;</w:t>
            </w:r>
          </w:p>
          <w:p>
            <w:pPr>
              <w:pStyle w:val="Normal"/>
              <w:numPr>
                <w:ilvl w:val="1"/>
                <w:numId w:val="1"/>
              </w:numPr>
              <w:tabs>
                <w:tab w:val="clear" w:pos="708"/>
                <w:tab w:val="left" w:pos="324" w:leader="none"/>
              </w:tabs>
              <w:spacing w:before="0" w:after="0"/>
              <w:ind w:hanging="0" w:left="0"/>
              <w:rPr/>
            </w:pPr>
            <w:r>
              <w:rPr/>
              <w:t>Приказ Министерства труда и социальной защиты Российской Федерации от 15.12.2020г. № 903н «Об утверждении Правил по охране труда при эксплуатации электроустановок»;</w:t>
            </w:r>
          </w:p>
          <w:p>
            <w:pPr>
              <w:pStyle w:val="Normal"/>
              <w:numPr>
                <w:ilvl w:val="1"/>
                <w:numId w:val="1"/>
              </w:numPr>
              <w:tabs>
                <w:tab w:val="clear" w:pos="708"/>
                <w:tab w:val="left" w:pos="324" w:leader="none"/>
              </w:tabs>
              <w:spacing w:before="0" w:after="0"/>
              <w:ind w:hanging="0" w:left="0"/>
              <w:rPr/>
            </w:pPr>
            <w:r>
              <w:rPr/>
              <w:t>РД 10-40-93 «Типовая инструкция для инженерно-технических работников по надзору за безопасной эксплуатацией грузоподъемных механизмов».</w:t>
            </w:r>
          </w:p>
          <w:p>
            <w:pPr>
              <w:pStyle w:val="Normal"/>
              <w:numPr>
                <w:ilvl w:val="1"/>
                <w:numId w:val="1"/>
              </w:numPr>
              <w:tabs>
                <w:tab w:val="clear" w:pos="708"/>
                <w:tab w:val="left" w:pos="324" w:leader="none"/>
              </w:tabs>
              <w:spacing w:before="0" w:after="0"/>
              <w:ind w:hanging="0" w:left="0"/>
              <w:rPr/>
            </w:pPr>
            <w:r>
              <w:rPr/>
              <w:t>СП 82.13330.2016 «Благоустройство территорий»;</w:t>
            </w:r>
          </w:p>
          <w:p>
            <w:pPr>
              <w:pStyle w:val="ListParagraph"/>
              <w:numPr>
                <w:ilvl w:val="1"/>
                <w:numId w:val="1"/>
              </w:numPr>
              <w:tabs>
                <w:tab w:val="clear" w:pos="708"/>
                <w:tab w:val="left" w:pos="324" w:leader="none"/>
              </w:tabs>
              <w:suppressAutoHyphens w:val="false"/>
              <w:spacing w:lineRule="auto" w:line="240" w:before="0" w:after="0"/>
              <w:ind w:hangingChars="0" w:hanging="0" w:left="0"/>
              <w:contextualSpacing/>
              <w:textAlignment w:val="auto"/>
              <w:outlineLvl w:val="9"/>
              <w:rPr/>
            </w:pPr>
            <w:r>
              <w:rPr/>
              <w:t xml:space="preserve"> </w:t>
            </w:r>
            <w:r>
              <w:rPr/>
              <w:t>"СНиП 12-03-2001. "Безопасность труда в строительстве. Часть 1. Общие требования" (приняты и введены в действие Постановлением Госстроя РФ от 23.07.2001 N 80);</w:t>
            </w:r>
          </w:p>
          <w:p>
            <w:pPr>
              <w:pStyle w:val="Normal"/>
              <w:tabs>
                <w:tab w:val="clear" w:pos="708"/>
                <w:tab w:val="left" w:pos="324" w:leader="none"/>
              </w:tabs>
              <w:spacing w:before="0" w:after="0"/>
              <w:rPr/>
            </w:pPr>
            <w:r>
              <w:rPr/>
              <w:t>16. СНиП 12-04-2002 "Безопасность труда в строительстве", ч.2.</w:t>
            </w:r>
          </w:p>
          <w:p>
            <w:pPr>
              <w:pStyle w:val="Normal"/>
              <w:tabs>
                <w:tab w:val="clear" w:pos="708"/>
                <w:tab w:val="left" w:pos="324" w:leader="none"/>
              </w:tabs>
              <w:spacing w:before="0" w:after="0"/>
              <w:rPr/>
            </w:pPr>
            <w:r>
              <w:rPr/>
              <w:t>17. "СП 82.13330.2016. Свод правил. Благоустройство территорий.;</w:t>
            </w:r>
          </w:p>
          <w:p>
            <w:pPr>
              <w:pStyle w:val="Normal"/>
              <w:tabs>
                <w:tab w:val="clear" w:pos="708"/>
                <w:tab w:val="left" w:pos="324" w:leader="none"/>
              </w:tabs>
              <w:spacing w:before="0" w:after="0"/>
              <w:rPr/>
            </w:pPr>
            <w:r>
              <w:rPr/>
              <w:t>18."ГОСТ 12.1.019-2017. Межгосударственный стандарт. Система стандартов безопасности труда. Электробезопасность. Общие требования и номенклатура видов защиты" (введен в действие Приказом Росстандарта от 07.11.2018 N 941-ст);</w:t>
            </w:r>
          </w:p>
          <w:p>
            <w:pPr>
              <w:pStyle w:val="Normal"/>
              <w:tabs>
                <w:tab w:val="clear" w:pos="708"/>
                <w:tab w:val="left" w:pos="324" w:leader="none"/>
              </w:tabs>
              <w:spacing w:before="0" w:after="0"/>
              <w:rPr/>
            </w:pPr>
            <w:r>
              <w:rPr/>
              <w:t>19. Федеральный закон от 23.11.2009 N 261-ФЗ "Об энергосбережении и о повышении энергетической эффективности, и о внесении изменений в отдельные законодательные акты Российской Федерации";</w:t>
            </w:r>
          </w:p>
          <w:p>
            <w:pPr>
              <w:pStyle w:val="Normal"/>
              <w:tabs>
                <w:tab w:val="clear" w:pos="708"/>
                <w:tab w:val="left" w:pos="324" w:leader="none"/>
              </w:tabs>
              <w:spacing w:before="0" w:after="0"/>
              <w:rPr/>
            </w:pPr>
            <w:r>
              <w:rPr/>
              <w:t>20. "ГОСТ 12.1.030-81. Система стандартов безопасности труда. Электробезопасность. Защитное заземление. Зануление" (утв. Постановлением Госстандарта СССР от 15.05.1981 N 2404) (ред. от 01.03.1987);</w:t>
            </w:r>
          </w:p>
          <w:p>
            <w:pPr>
              <w:pStyle w:val="Normal"/>
              <w:tabs>
                <w:tab w:val="clear" w:pos="708"/>
                <w:tab w:val="left" w:pos="324" w:leader="none"/>
              </w:tabs>
              <w:spacing w:before="0" w:after="0"/>
              <w:rPr/>
            </w:pPr>
            <w:r>
              <w:rPr/>
              <w:t>21. "ГОСТ 12.1.004-91. Межгосударственный стандарт. Система стандартов безопасности труда. Пожарная безопасность. Общие требования" (утв. Постановлением Госстандарта СССР от 14.06.1991 N 875) (ред. от 01.10.1993);</w:t>
            </w:r>
          </w:p>
          <w:p>
            <w:pPr>
              <w:pStyle w:val="Normal"/>
              <w:tabs>
                <w:tab w:val="clear" w:pos="708"/>
                <w:tab w:val="left" w:pos="324" w:leader="none"/>
              </w:tabs>
              <w:spacing w:before="0" w:after="0"/>
              <w:rPr/>
            </w:pPr>
            <w:r>
              <w:rPr/>
              <w:t>22. ГОСТ Р 12.3.053-2020. Национальный стандарт Российской Федерации. Система стандартов безопасности труда. Строительство. Ограждения предохранительные временные. Общие технические условия";</w:t>
            </w:r>
          </w:p>
          <w:p>
            <w:pPr>
              <w:pStyle w:val="Normal"/>
              <w:tabs>
                <w:tab w:val="clear" w:pos="708"/>
                <w:tab w:val="left" w:pos="324" w:leader="none"/>
              </w:tabs>
              <w:spacing w:before="0" w:after="0"/>
              <w:rPr/>
            </w:pPr>
            <w:r>
              <w:rPr/>
              <w:t>23. ГОСТ 12.1.046-2014. Межгосударственный стандарт. Система стандартов безопасности труда. Строительство. Нормы освещения строительных площадок" (введен в действие Приказом Росстандарта от 18.11.2014 N 1644-ст).</w:t>
            </w:r>
          </w:p>
          <w:p>
            <w:pPr>
              <w:pStyle w:val="Normal"/>
              <w:tabs>
                <w:tab w:val="clear" w:pos="708"/>
                <w:tab w:val="left" w:pos="324" w:leader="none"/>
              </w:tabs>
              <w:spacing w:before="0" w:after="0"/>
              <w:rPr/>
            </w:pPr>
            <w:r>
              <w:rPr/>
              <w:t>В случае выхода актуализированной версии документов, применяется актуальная редакция.</w:t>
            </w:r>
          </w:p>
          <w:p>
            <w:pPr>
              <w:pStyle w:val="Normal"/>
              <w:spacing w:before="0" w:after="0"/>
              <w:rPr/>
            </w:pPr>
            <w:r>
              <w:rPr/>
              <w:t>Выполнить работы согласно эскизам и границам освещения объектов, указанных в Приложении № 1 к Описанию объекта закупки (Техническому заданию).</w:t>
            </w:r>
          </w:p>
          <w:p>
            <w:pPr>
              <w:pStyle w:val="Normal"/>
              <w:spacing w:before="0" w:after="0"/>
              <w:rPr/>
            </w:pPr>
            <w:r>
              <w:rPr/>
              <w:t xml:space="preserve">После выполнения работ Подрядчик передает Заказчику подписанную исполнительную документацию (в 3-х экз. на бумажном носителе, 1 экз. в электронном виде): </w:t>
            </w:r>
          </w:p>
          <w:p>
            <w:pPr>
              <w:pStyle w:val="Normal"/>
              <w:spacing w:before="0" w:after="0"/>
              <w:rPr/>
            </w:pPr>
            <w:r>
              <w:rPr/>
              <w:t>- акт освидетельствования скрытых работ (на каждый участок, где проводились скрытые работы);</w:t>
            </w:r>
          </w:p>
          <w:p>
            <w:pPr>
              <w:pStyle w:val="Normal"/>
              <w:spacing w:before="0" w:after="0"/>
              <w:rPr/>
            </w:pPr>
            <w:r>
              <w:rPr/>
              <w:t>- полный комплект исполнительной документации;</w:t>
            </w:r>
          </w:p>
          <w:p>
            <w:pPr>
              <w:pStyle w:val="Normal"/>
              <w:spacing w:before="0" w:after="0"/>
              <w:rPr/>
            </w:pPr>
            <w:r>
              <w:rPr/>
              <w:t>- журналы производства работ;</w:t>
            </w:r>
          </w:p>
          <w:p>
            <w:pPr>
              <w:pStyle w:val="Normal"/>
              <w:spacing w:before="0" w:after="0"/>
              <w:rPr/>
            </w:pPr>
            <w:r>
              <w:rPr/>
              <w:t>- паспорта, гарантийные талоны на оборудование;</w:t>
            </w:r>
          </w:p>
          <w:p>
            <w:pPr>
              <w:pStyle w:val="Normal"/>
              <w:spacing w:before="0" w:after="0"/>
              <w:rPr/>
            </w:pPr>
            <w:r>
              <w:rPr/>
              <w:t>- акт об окончании монтажных работ;</w:t>
            </w:r>
          </w:p>
          <w:p>
            <w:pPr>
              <w:pStyle w:val="Normal"/>
              <w:spacing w:before="0" w:after="0"/>
              <w:rPr/>
            </w:pPr>
            <w:r>
              <w:rPr/>
              <w:t>- акт об окончании пусконаладочных работ;</w:t>
            </w:r>
          </w:p>
          <w:p>
            <w:pPr>
              <w:pStyle w:val="Normal"/>
              <w:spacing w:before="0" w:after="0"/>
              <w:rPr>
                <w:color w:val="FF0000"/>
              </w:rPr>
            </w:pPr>
            <w:r>
              <w:rPr/>
              <w:t>- КС-2, КС-3.</w:t>
            </w:r>
          </w:p>
        </w:tc>
      </w:tr>
      <w:tr>
        <w:trPr/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7.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  <w:t>Используемое при выполнении работ оборудование - светильники для подсветки фасада здания</w:t>
            </w:r>
          </w:p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6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  <w:t>- Светодиодное освещение.</w:t>
            </w:r>
          </w:p>
          <w:p>
            <w:pPr>
              <w:pStyle w:val="Normal"/>
              <w:widowControl w:val="false"/>
              <w:spacing w:before="0" w:after="0"/>
              <w:rPr/>
            </w:pPr>
            <w:r>
              <w:rPr/>
              <w:t>- Система архитектурной подсветки фасада должна иметь свой щит (ЩАХО).</w:t>
            </w:r>
          </w:p>
          <w:p>
            <w:pPr>
              <w:pStyle w:val="Normal"/>
              <w:widowControl w:val="false"/>
              <w:spacing w:before="0" w:after="0"/>
              <w:rPr/>
            </w:pPr>
            <w:r>
              <w:rPr/>
              <w:t>- В ЩАХО должны быть установлены автоматические выключатели на каждую группу и с рассчитанной токовой нагрузкой.</w:t>
            </w:r>
          </w:p>
          <w:p>
            <w:pPr>
              <w:pStyle w:val="Normal"/>
              <w:widowControl w:val="false"/>
              <w:spacing w:before="0" w:after="0"/>
              <w:rPr/>
            </w:pPr>
            <w:r>
              <w:rPr/>
              <w:t>- Магистральная проводка с возможностью подключения светильников в одну группу.</w:t>
            </w:r>
          </w:p>
          <w:p>
            <w:pPr>
              <w:pStyle w:val="Normal"/>
              <w:widowControl w:val="false"/>
              <w:spacing w:before="0" w:after="0"/>
              <w:rPr/>
            </w:pPr>
            <w:r>
              <w:rPr/>
              <w:t>- В ЩАХО должно быть установлено реле времени или астрономический таймер, обеспечивающий работу подсветки фасада в автоматическом режиме.</w:t>
            </w:r>
          </w:p>
          <w:p>
            <w:pPr>
              <w:pStyle w:val="Normal"/>
              <w:widowControl w:val="false"/>
              <w:spacing w:before="0" w:after="0"/>
              <w:rPr/>
            </w:pPr>
            <w:r>
              <w:rPr/>
              <w:t>- В ЩАХО должно быть установлено принудительное ручное отключение подсветки фасада здания.</w:t>
            </w:r>
          </w:p>
          <w:p>
            <w:pPr>
              <w:pStyle w:val="Normal"/>
              <w:widowControl w:val="false"/>
              <w:spacing w:before="0" w:after="0"/>
              <w:rPr/>
            </w:pPr>
            <w:r>
              <w:rPr/>
              <w:t>- Должна быть выполнена комплексная регулировка, настройка всей системы светильников, для обеспечения архитектурной подсветки фасада, согласно эскизу.</w:t>
            </w:r>
          </w:p>
          <w:p>
            <w:pPr>
              <w:pStyle w:val="Normal"/>
              <w:widowControl w:val="false"/>
              <w:spacing w:before="0" w:after="0"/>
              <w:rPr/>
            </w:pPr>
            <w:r>
              <w:rPr/>
              <w:t>- Оборудование должно быть обеспечено комплектом документации на русском языке, включающим инструкции по эксплуатации, другую документацию, поставляемую производителем, в том числе гарантийные обязательства и информацию о наличии сервисных центров, адресах и способах связи с ними.</w:t>
            </w:r>
          </w:p>
          <w:p>
            <w:pPr>
              <w:pStyle w:val="Normal"/>
              <w:widowControl w:val="false"/>
              <w:spacing w:before="0" w:after="0"/>
              <w:rPr/>
            </w:pPr>
            <w:r>
              <w:rPr/>
              <w:t>- Оборудование не должно находиться в залоге, под арестом или под иным обременением.</w:t>
            </w:r>
          </w:p>
          <w:p>
            <w:pPr>
              <w:pStyle w:val="Normal"/>
              <w:widowControl w:val="false"/>
              <w:spacing w:before="0" w:after="0"/>
              <w:rPr/>
            </w:pPr>
            <w:r>
              <w:rPr/>
              <w:t>- Оборудование должно отвечать требованиям настоящего Описания объекта закупки, а также требованиям к качеству, техническим характеристикам оборудования, его безопасности, функциональным характеристикам (потребительским свойствам) оборудования.</w:t>
            </w:r>
          </w:p>
          <w:p>
            <w:pPr>
              <w:pStyle w:val="Normal"/>
              <w:widowControl w:val="false"/>
              <w:spacing w:before="0" w:after="0"/>
              <w:rPr/>
            </w:pPr>
            <w:r>
              <w:rPr/>
              <w:t>- Оборудование не должно иметь дефекты, связанные с конструкцией, материалами или работой по их изготовлению.</w:t>
            </w:r>
          </w:p>
          <w:p>
            <w:pPr>
              <w:pStyle w:val="Normal"/>
              <w:widowControl w:val="false"/>
              <w:spacing w:before="0" w:after="0"/>
              <w:rPr/>
            </w:pPr>
            <w:r>
              <w:rPr/>
              <w:t>Маркировка должна содержать сведения, позволяющие идентифицировать оборудование. Гарантийные талоны, копии сертификата(ов) соответствия и качества, если данное оборудование подлежит обязательному декларированию или сертификации в соответствии с законодательством Российской Федерации передаются вместе с оборудованием.</w:t>
            </w:r>
          </w:p>
          <w:p>
            <w:pPr>
              <w:pStyle w:val="Normal"/>
              <w:widowControl w:val="false"/>
              <w:spacing w:before="0" w:after="0"/>
              <w:rPr/>
            </w:pPr>
            <w:r>
              <w:rPr/>
              <w:t>- Оборудование должно включать все необходимые для установки и эксплуатации компоненты.</w:t>
            </w:r>
          </w:p>
        </w:tc>
      </w:tr>
      <w:tr>
        <w:trPr/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8.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  <w:t>Требования к используемым материалам</w:t>
            </w:r>
          </w:p>
        </w:tc>
        <w:tc>
          <w:tcPr>
            <w:tcW w:w="6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  <w:t>Все материалы, инструменты и оборудование, используемые при выполнении работ, должны соответствовать нормативным требованиям, предъявляемым к такой продукции законодательством Российской Федерации, иметь все необходимые паспорта, гарантийные талоны, сертификаты соответствия, удостоверяющие их качество, санитарно-эпидемиологическое заключение, сертификаты пожарной безопасности (при необходимости). Все применяемые материалы должны соответствовать требованиям, установленным в техническом задании.</w:t>
            </w:r>
          </w:p>
        </w:tc>
      </w:tr>
      <w:tr>
        <w:trPr/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0"/>
              <w:ind w:firstLine="36" w:left="-36"/>
              <w:rPr/>
            </w:pPr>
            <w:r>
              <w:rPr/>
              <w:t>9.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  <w:t>Требование к привлекаемому персоналу</w:t>
            </w:r>
          </w:p>
        </w:tc>
        <w:tc>
          <w:tcPr>
            <w:tcW w:w="6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  <w:t>Персонал, выполняющий работы, должен:</w:t>
            </w:r>
          </w:p>
          <w:p>
            <w:pPr>
              <w:pStyle w:val="Normal"/>
              <w:spacing w:before="0" w:after="0"/>
              <w:rPr>
                <w:color w:val="22272F"/>
              </w:rPr>
            </w:pPr>
            <w:r>
              <w:rPr/>
              <w:t xml:space="preserve">- </w:t>
            </w:r>
            <w:bookmarkStart w:id="1" w:name="_GoBack"/>
            <w:bookmarkEnd w:id="1"/>
            <w:r>
              <w:rPr/>
              <w:t>иметь удостоверение по электробезопасности до 1000 В и группой допуска по безопасности работ на высоте;</w:t>
            </w:r>
          </w:p>
          <w:p>
            <w:pPr>
              <w:pStyle w:val="Normal"/>
              <w:spacing w:before="0" w:after="0"/>
              <w:rPr/>
            </w:pPr>
            <w:r>
              <w:rPr/>
              <w:t>- иметь соответствующие навыки по выполнению требуемого перечня работ (</w:t>
            </w:r>
            <w:r>
              <w:rPr>
                <w:color w:val="000000"/>
              </w:rPr>
              <w:t>по погрузке-разгрузке материалов, выполнение монтажных работ по установке конструкций)</w:t>
            </w:r>
          </w:p>
          <w:p>
            <w:pPr>
              <w:pStyle w:val="Normal"/>
              <w:spacing w:before="0" w:after="0"/>
              <w:rPr/>
            </w:pPr>
            <w:r>
              <w:rPr/>
              <w:t>- иметь соответствующую спецодежду, быть обеспечен всеми СИЗ, необходимыми для выполнения работ;</w:t>
            </w:r>
          </w:p>
          <w:p>
            <w:pPr>
              <w:pStyle w:val="Normal"/>
              <w:spacing w:before="0" w:after="0"/>
              <w:rPr/>
            </w:pPr>
            <w:r>
              <w:rPr/>
              <w:t xml:space="preserve">- пройти: вводный инструктаж; инструктаж по пожарной безопасности; первичный инструктаж на рабочем месте; инструктаж по электробезопасности на рабочем месте. </w:t>
            </w:r>
          </w:p>
        </w:tc>
      </w:tr>
      <w:tr>
        <w:trPr/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0"/>
              <w:ind w:firstLine="36" w:left="-36"/>
              <w:rPr/>
            </w:pPr>
            <w:r>
              <w:rPr/>
              <w:t>10.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  <w:t>Требования к безопасности проводимых работ</w:t>
            </w:r>
          </w:p>
        </w:tc>
        <w:tc>
          <w:tcPr>
            <w:tcW w:w="6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  <w:t>Подрядчик должен обеспечить соблюдение требований по безопасному выполнению работ, требований охраны труда, электробезопасности, правил пожарной безопасности, допустимого уровня шума при выполнении работ, поддержание и соблюдение на месте выполнения работ и прилегающей территории санитарно-гигиенических норм и правил, действующих на территории РФ. Вся полнота ответственности при выполнении работ на территории объекта за соблюдением норм и правил по технике безопасности и пожарной безопасности возлагается на Подрядчика.</w:t>
            </w:r>
          </w:p>
          <w:p>
            <w:pPr>
              <w:pStyle w:val="Normal"/>
              <w:spacing w:before="0" w:after="0"/>
              <w:rPr/>
            </w:pPr>
            <w:r>
              <w:rPr/>
              <w:t xml:space="preserve">При выполнении работ соблюдать на территории объекта требования действующего законодательства по охране труда и окружающей среды, промышленной безопасности и правил противопожарного режима. </w:t>
            </w:r>
          </w:p>
          <w:p>
            <w:pPr>
              <w:pStyle w:val="Normal"/>
              <w:spacing w:before="0" w:after="0"/>
              <w:rPr/>
            </w:pPr>
            <w:r>
              <w:rPr/>
              <w:t>Подрядчик обязан соблюдать требования контрольно-пропускного режима, установленного на территории объекта Заказчика.</w:t>
            </w:r>
          </w:p>
          <w:p>
            <w:pPr>
              <w:pStyle w:val="Normal"/>
              <w:spacing w:before="0" w:after="0"/>
              <w:rPr/>
            </w:pPr>
            <w:r>
              <w:rPr/>
              <w:t>До начала выполнения работ Подрядчик обязан предоставить Заказчику список персонала, задействованного на территории объекта.</w:t>
            </w:r>
          </w:p>
          <w:p>
            <w:pPr>
              <w:pStyle w:val="Normal"/>
              <w:spacing w:before="0" w:after="0"/>
              <w:rPr/>
            </w:pPr>
            <w:r>
              <w:rPr/>
              <w:t>До начала выполнения работ Подрядчик обязан предоставить Заказчику список автотранспорта (марка, модель и государственный номер автотранспорта), задействованного в выполнении работ, осуществляющего доставку материалов Подрядчика на объект.</w:t>
            </w:r>
          </w:p>
          <w:p>
            <w:pPr>
              <w:pStyle w:val="Normal"/>
              <w:spacing w:before="0" w:after="0"/>
              <w:rPr/>
            </w:pPr>
            <w:r>
              <w:rPr/>
              <w:t>Подрядчик перед началом производства работ обязан назначить приказом назначить ответственное лицо за соблюдение требований охраны труда, электробезопасности, правил пожарной безопасности, санитарно-гигиенических норм и правил, действующих на территории РФ.</w:t>
            </w:r>
          </w:p>
          <w:p>
            <w:pPr>
              <w:pStyle w:val="Normal"/>
              <w:spacing w:before="0" w:after="0"/>
              <w:rPr/>
            </w:pPr>
            <w:r>
              <w:rPr/>
              <w:t>Мероприятия по защите от проникновения людей в опасную зону при проведении монтажных работ осуществляет Подрядчик.</w:t>
            </w:r>
          </w:p>
        </w:tc>
      </w:tr>
      <w:tr>
        <w:trPr/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0"/>
              <w:ind w:firstLine="36" w:left="-36"/>
              <w:rPr/>
            </w:pPr>
            <w:r>
              <w:rPr/>
              <w:t>11.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color w:val="000000"/>
              </w:rPr>
              <w:t>Требования к качеству работ</w:t>
            </w:r>
          </w:p>
        </w:tc>
        <w:tc>
          <w:tcPr>
            <w:tcW w:w="6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  <w:t>Подрядчик обязан использовать исправные механизмы, оборудование и инструмент.</w:t>
            </w:r>
          </w:p>
          <w:p>
            <w:pPr>
              <w:pStyle w:val="Normal"/>
              <w:spacing w:before="0" w:after="0"/>
              <w:rPr/>
            </w:pPr>
            <w:r>
              <w:rPr/>
              <w:t>В случае возникновения необходимости выполнения дополнительных видов и объемов работ, не предусмотренных в данном Описании объекта закупки, но которые являются необходимым требованием для получения результата выполняемых работ, Подрядчик обязан предварительно согласовать виды и объёмы таких работ с Заказчиком.</w:t>
            </w:r>
          </w:p>
          <w:p>
            <w:pPr>
              <w:pStyle w:val="Normal"/>
              <w:tabs>
                <w:tab w:val="clear" w:pos="708"/>
                <w:tab w:val="left" w:pos="0" w:leader="none"/>
                <w:tab w:val="left" w:pos="602" w:leader="none"/>
              </w:tabs>
              <w:spacing w:before="0" w:after="0"/>
              <w:rPr/>
            </w:pPr>
            <w:r>
              <w:rPr/>
              <w:t>Использовать световое оборудование, соответствующее следующим требованиям:</w:t>
            </w:r>
          </w:p>
          <w:p>
            <w:pPr>
              <w:pStyle w:val="Normal"/>
              <w:tabs>
                <w:tab w:val="clear" w:pos="708"/>
                <w:tab w:val="left" w:pos="0" w:leader="none"/>
                <w:tab w:val="left" w:pos="602" w:leader="none"/>
              </w:tabs>
              <w:spacing w:before="0" w:after="0"/>
              <w:rPr/>
            </w:pPr>
            <w:r>
              <w:rPr/>
              <w:t>- коэффициент пульсации не более 3%</w:t>
            </w:r>
          </w:p>
          <w:p>
            <w:pPr>
              <w:pStyle w:val="Normal"/>
              <w:tabs>
                <w:tab w:val="clear" w:pos="708"/>
                <w:tab w:val="left" w:pos="0" w:leader="none"/>
                <w:tab w:val="left" w:pos="602" w:leader="none"/>
              </w:tabs>
              <w:spacing w:before="0" w:after="0"/>
              <w:rPr/>
            </w:pPr>
            <w:r>
              <w:rPr/>
              <w:t>- коэффициент мощности не менее 80%</w:t>
            </w:r>
          </w:p>
          <w:p>
            <w:pPr>
              <w:pStyle w:val="Normal"/>
              <w:tabs>
                <w:tab w:val="clear" w:pos="708"/>
                <w:tab w:val="left" w:pos="0" w:leader="none"/>
                <w:tab w:val="left" w:pos="602" w:leader="none"/>
              </w:tabs>
              <w:spacing w:before="0" w:after="0"/>
              <w:rPr/>
            </w:pPr>
            <w:r>
              <w:rPr/>
              <w:t>- степень защиты светильников (IP) не ниже 65</w:t>
            </w:r>
          </w:p>
          <w:p>
            <w:pPr>
              <w:pStyle w:val="Normal"/>
              <w:tabs>
                <w:tab w:val="clear" w:pos="708"/>
                <w:tab w:val="left" w:pos="0" w:leader="none"/>
                <w:tab w:val="left" w:pos="602" w:leader="none"/>
              </w:tabs>
              <w:spacing w:before="0" w:after="0"/>
              <w:rPr/>
            </w:pPr>
            <w:r>
              <w:rPr/>
              <w:t xml:space="preserve">- материал корпуса – алюминий </w:t>
            </w:r>
          </w:p>
          <w:p>
            <w:pPr>
              <w:pStyle w:val="Normal"/>
              <w:tabs>
                <w:tab w:val="clear" w:pos="708"/>
                <w:tab w:val="left" w:pos="0" w:leader="none"/>
                <w:tab w:val="left" w:pos="602" w:leader="none"/>
              </w:tabs>
              <w:spacing w:before="0" w:after="0"/>
              <w:rPr/>
            </w:pPr>
            <w:r>
              <w:rPr/>
              <w:t xml:space="preserve">- диапазон рабочих температур от - 40 до + 50 °С </w:t>
            </w:r>
          </w:p>
          <w:p>
            <w:pPr>
              <w:pStyle w:val="Normal"/>
              <w:tabs>
                <w:tab w:val="clear" w:pos="708"/>
                <w:tab w:val="left" w:pos="0" w:leader="none"/>
                <w:tab w:val="left" w:pos="602" w:leader="none"/>
              </w:tabs>
              <w:spacing w:before="0" w:after="0"/>
              <w:rPr/>
            </w:pPr>
            <w:r>
              <w:rPr/>
              <w:t>- климатическое исполнение УХЛ1;</w:t>
            </w:r>
          </w:p>
          <w:p>
            <w:pPr>
              <w:pStyle w:val="Normal"/>
              <w:tabs>
                <w:tab w:val="clear" w:pos="708"/>
                <w:tab w:val="left" w:pos="0" w:leader="none"/>
                <w:tab w:val="left" w:pos="602" w:leader="none"/>
              </w:tabs>
              <w:spacing w:before="0" w:after="0"/>
              <w:rPr/>
            </w:pPr>
            <w:r>
              <w:rPr/>
              <w:t>- окрас корпуса светильников в цвет фасада по RAL</w:t>
            </w:r>
          </w:p>
          <w:p>
            <w:pPr>
              <w:pStyle w:val="Normal"/>
              <w:tabs>
                <w:tab w:val="clear" w:pos="708"/>
                <w:tab w:val="left" w:pos="0" w:leader="none"/>
                <w:tab w:val="left" w:pos="602" w:leader="none"/>
              </w:tabs>
              <w:spacing w:before="0" w:after="0"/>
              <w:rPr/>
            </w:pPr>
            <w:r>
              <w:rPr/>
              <w:t>- магистральная проводка с возможностью подключения светильников в одну группу</w:t>
            </w:r>
          </w:p>
          <w:p>
            <w:pPr>
              <w:pStyle w:val="Normal"/>
              <w:tabs>
                <w:tab w:val="clear" w:pos="708"/>
                <w:tab w:val="left" w:pos="0" w:leader="none"/>
                <w:tab w:val="left" w:pos="602" w:leader="none"/>
              </w:tabs>
              <w:spacing w:before="0" w:after="0"/>
              <w:rPr/>
            </w:pPr>
            <w:r>
              <w:rPr/>
              <w:t>- наличие у светильников герметичных быстросъемных коннекторов для подключения к сети.</w:t>
            </w:r>
          </w:p>
          <w:p>
            <w:pPr>
              <w:pStyle w:val="Normal"/>
              <w:tabs>
                <w:tab w:val="clear" w:pos="708"/>
                <w:tab w:val="left" w:pos="0" w:leader="none"/>
                <w:tab w:val="left" w:pos="602" w:leader="none"/>
              </w:tabs>
              <w:spacing w:before="0" w:after="0"/>
              <w:rPr/>
            </w:pPr>
            <w:r>
              <w:rPr/>
              <w:t xml:space="preserve">Договор на техническое присоединение к электрическим сетям заключается Заказчиком с энергетической компанией. Технические условия для присоединения к электрическим сетям предоставляется Подрядчику в течение 3 (трех) дней с даты заключения </w:t>
            </w:r>
            <w:r>
              <w:rPr/>
              <w:t>договора</w:t>
            </w:r>
            <w:r>
              <w:rPr/>
              <w:t>.</w:t>
            </w:r>
          </w:p>
          <w:p>
            <w:pPr>
              <w:pStyle w:val="Normal"/>
              <w:tabs>
                <w:tab w:val="clear" w:pos="708"/>
                <w:tab w:val="left" w:pos="0" w:leader="none"/>
                <w:tab w:val="left" w:pos="602" w:leader="none"/>
              </w:tabs>
              <w:spacing w:before="0" w:after="0"/>
              <w:rPr/>
            </w:pPr>
            <w:r>
              <w:rPr/>
              <w:t>Подрядчик обязан выполнить подключение архитектурной подсветки в соответствии с Техническими условиями, выданными энергетической компанией.</w:t>
            </w:r>
          </w:p>
        </w:tc>
      </w:tr>
      <w:tr>
        <w:trPr>
          <w:trHeight w:val="1" w:hRule="atLeast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  <w:t>12.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  <w:t>Требования к гарантии на выполненные работы</w:t>
            </w:r>
          </w:p>
        </w:tc>
        <w:tc>
          <w:tcPr>
            <w:tcW w:w="6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  <w:t xml:space="preserve">Подрядчик гарантирует качество выполнения всех работ в соответствии с </w:t>
            </w:r>
            <w:r>
              <w:rPr/>
              <w:t>Договором</w:t>
            </w:r>
            <w:r>
              <w:rPr/>
              <w:t xml:space="preserve"> и Приложениями к нему, действующими нормами и техническими условиями и своевременное устранение недостатков и дефектов в выполненных работах, выявленных при приемке работ и в период гарантийной эксплуатации объекта.</w:t>
            </w:r>
          </w:p>
          <w:p>
            <w:pPr>
              <w:pStyle w:val="Normal"/>
              <w:spacing w:before="0" w:after="0"/>
              <w:rPr/>
            </w:pPr>
            <w:r>
              <w:rPr/>
              <w:t>Используемое оборудование при работе передается со всеми принадлежностями и необходимой документацией на данное оборудование (в том числе исполнительной, сборочной, эксплуатационной и пр.). Вся эксплуатационная документация, предоставляемая заводом-изготовителем, представляется на русском языке или с заверенным переводом оригинала. Вся документация, разработанная Подрядчиком, представляется на русском языке.</w:t>
            </w:r>
          </w:p>
          <w:p>
            <w:pPr>
              <w:pStyle w:val="Normal"/>
              <w:spacing w:before="0" w:after="0"/>
              <w:rPr/>
            </w:pPr>
            <w:r>
              <w:rPr/>
              <w:t xml:space="preserve"> </w:t>
            </w:r>
            <w:r>
              <w:rPr>
                <w:b/>
              </w:rPr>
              <w:t>Гарантийный срок на выполненные работы устанавливается с даты подписания Заказчиком документа о приемке и составляет 5 (пять) лет.</w:t>
            </w:r>
          </w:p>
          <w:p>
            <w:pPr>
              <w:pStyle w:val="Normal"/>
              <w:spacing w:before="0" w:after="0"/>
              <w:rPr/>
            </w:pPr>
            <w:r>
              <w:rPr/>
              <w:t xml:space="preserve">Гарантийный срок на используемые материалы устанавливается в соответствии со сроком, установленным производителем материалов. </w:t>
            </w:r>
          </w:p>
          <w:p>
            <w:pPr>
              <w:pStyle w:val="Normal"/>
              <w:spacing w:before="0" w:after="0"/>
              <w:rPr/>
            </w:pPr>
            <w:r>
              <w:rPr/>
              <w:t>В соответствии со статьёй 723 Гражданского Кодекса Российской Федерации Подрядчик, предоставивший материал для выполнения работы, отвечает за его качество по правилам об ответственности продавца за товары ненадлежащего качества.</w:t>
            </w:r>
          </w:p>
          <w:p>
            <w:pPr>
              <w:pStyle w:val="Normal"/>
              <w:spacing w:before="0" w:after="0"/>
              <w:rPr/>
            </w:pPr>
            <w:r>
              <w:rPr/>
              <w:t xml:space="preserve">В течение гарантийного периода Подрядчик несёт ответственность за качество выполненных по </w:t>
            </w:r>
            <w:r>
              <w:rPr/>
              <w:t>договору</w:t>
            </w:r>
            <w:r>
              <w:rPr/>
              <w:t xml:space="preserve"> работ.</w:t>
            </w:r>
            <w:r>
              <w:rPr>
                <w:b/>
              </w:rPr>
              <w:t xml:space="preserve"> </w:t>
            </w:r>
            <w:r>
              <w:rPr/>
              <w:t xml:space="preserve">Недостатки (дефекты), возникшие по вине Подрядчика и обнаруженные в гарантийный период, Подрядчик устраняет своими силами и за свой счёт в согласованные сторонами сроки. Для составления акта, фиксирующего дефекты и согласования порядка и сроков их устранения, Подрядчик обязан направить своего представителя не позднее 3 (трех) календарных дней со дня получения письменного извещения Заказчика. Наличие недостатков (дефектов) и сроки их устранения фиксируются двухсторонним актом, подписанным представителями сторон. В случае неявки представителя Подрядчика для участия в составлении акта в указанный срок или отказа от подписания акта Подрядчиком, акт составляется с участием независимой стороны для освидетельствования степени и объёма дефекта. </w:t>
            </w:r>
          </w:p>
          <w:p>
            <w:pPr>
              <w:pStyle w:val="Normal"/>
              <w:spacing w:before="0" w:after="0"/>
              <w:rPr/>
            </w:pPr>
            <w:r>
              <w:rPr/>
              <w:t>В случае обнаружения в гарантийный срок недостатков, гарантийный срок продлевается на период устранения недостатков.</w:t>
            </w:r>
          </w:p>
        </w:tc>
      </w:tr>
      <w:tr>
        <w:trPr>
          <w:trHeight w:val="1" w:hRule="atLeast"/>
        </w:trPr>
        <w:tc>
          <w:tcPr>
            <w:tcW w:w="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  <w:t>13.</w:t>
            </w:r>
          </w:p>
        </w:tc>
        <w:tc>
          <w:tcPr>
            <w:tcW w:w="28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  <w:t>Характеристики, позволяющие определить соответствие используемого материала (оборудования) при выполнении работ, установленным заказчиком требованиям</w:t>
            </w:r>
          </w:p>
        </w:tc>
        <w:tc>
          <w:tcPr>
            <w:tcW w:w="6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Архитектурно-художественное освещение по адресу: г. Вологда, Советский проспект, д.4</w:t>
            </w:r>
          </w:p>
        </w:tc>
      </w:tr>
      <w:tr>
        <w:trPr>
          <w:trHeight w:val="1" w:hRule="atLeast"/>
        </w:trPr>
        <w:tc>
          <w:tcPr>
            <w:tcW w:w="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28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b/>
              </w:rPr>
            </w:pPr>
            <w:r>
              <w:rPr/>
              <w:t>(п. 17 ЛСР № 02-01-01)</w:t>
            </w:r>
          </w:p>
        </w:tc>
        <w:tc>
          <w:tcPr>
            <w:tcW w:w="4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  <w:t>Световой поток не менее 1800 лм;</w:t>
            </w:r>
          </w:p>
          <w:p>
            <w:pPr>
              <w:pStyle w:val="Normal"/>
              <w:spacing w:before="0" w:after="0"/>
              <w:rPr/>
            </w:pPr>
            <w:r>
              <w:rPr/>
              <w:t>Потребляемая мощность не менее 18 Вт;</w:t>
            </w:r>
          </w:p>
          <w:p>
            <w:pPr>
              <w:pStyle w:val="Normal"/>
              <w:spacing w:before="0" w:after="0"/>
              <w:rPr/>
            </w:pPr>
            <w:r>
              <w:rPr/>
              <w:t>Напряжение питания 24 В;</w:t>
            </w:r>
          </w:p>
          <w:p>
            <w:pPr>
              <w:pStyle w:val="Normal"/>
              <w:spacing w:before="0" w:after="0"/>
              <w:rPr/>
            </w:pPr>
            <w:r>
              <w:rPr/>
              <w:t>Габаритные размеры, мм (Длина х Ширина х Высота) - Не менее 999 х не менее 42 х не менее 44</w:t>
            </w:r>
          </w:p>
          <w:p>
            <w:pPr>
              <w:pStyle w:val="Normal"/>
              <w:spacing w:before="0" w:after="0"/>
              <w:rPr/>
            </w:pPr>
            <w:r>
              <w:rPr/>
              <w:t>Цветовая температура не менее 2700 и не более 3500 К;</w:t>
            </w:r>
          </w:p>
          <w:p>
            <w:pPr>
              <w:pStyle w:val="Normal"/>
              <w:spacing w:before="0" w:after="0"/>
              <w:rPr/>
            </w:pPr>
            <w:r>
              <w:rPr/>
              <w:t>Кривая сила света – Косинусная;</w:t>
            </w:r>
          </w:p>
          <w:p>
            <w:pPr>
              <w:pStyle w:val="Normal"/>
              <w:spacing w:before="0" w:after="0"/>
              <w:rPr/>
            </w:pPr>
            <w:r>
              <w:rPr/>
              <w:t>Угол раскрытия светового потока - 45</w:t>
            </w:r>
            <w:r>
              <w:rPr>
                <w:vertAlign w:val="superscript"/>
              </w:rPr>
              <w:t>0</w:t>
            </w:r>
          </w:p>
        </w:tc>
      </w:tr>
      <w:tr>
        <w:trPr>
          <w:trHeight w:val="1" w:hRule="atLeast"/>
        </w:trPr>
        <w:tc>
          <w:tcPr>
            <w:tcW w:w="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28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b/>
              </w:rPr>
            </w:pPr>
            <w:r>
              <w:rPr/>
              <w:t>(п. 18 ЛСР № 02-01-01)</w:t>
            </w:r>
          </w:p>
        </w:tc>
        <w:tc>
          <w:tcPr>
            <w:tcW w:w="4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  <w:t>Световой поток не менее 720 лм;</w:t>
            </w:r>
          </w:p>
          <w:p>
            <w:pPr>
              <w:pStyle w:val="Normal"/>
              <w:spacing w:before="0" w:after="0"/>
              <w:rPr/>
            </w:pPr>
            <w:r>
              <w:rPr/>
              <w:t>Потребляемая мощность не менее 6 Вт;</w:t>
            </w:r>
          </w:p>
          <w:p>
            <w:pPr>
              <w:pStyle w:val="Normal"/>
              <w:spacing w:before="0" w:after="0"/>
              <w:rPr/>
            </w:pPr>
            <w:r>
              <w:rPr/>
              <w:t>Напряжение питания 24 В;</w:t>
            </w:r>
          </w:p>
          <w:p>
            <w:pPr>
              <w:pStyle w:val="Normal"/>
              <w:spacing w:before="0" w:after="0"/>
              <w:rPr/>
            </w:pPr>
            <w:r>
              <w:rPr/>
              <w:t>Габаритные размеры, мм (Длина х Ширина х Высота) - Не менее 333 х не менее 42 х не менее 44</w:t>
            </w:r>
          </w:p>
          <w:p>
            <w:pPr>
              <w:pStyle w:val="Normal"/>
              <w:spacing w:before="0" w:after="0"/>
              <w:rPr/>
            </w:pPr>
            <w:r>
              <w:rPr/>
              <w:t>Цветовая температура не менее 2700 и не более 3500 К;</w:t>
            </w:r>
          </w:p>
          <w:p>
            <w:pPr>
              <w:pStyle w:val="Normal"/>
              <w:spacing w:before="0" w:after="0"/>
              <w:rPr/>
            </w:pPr>
            <w:r>
              <w:rPr/>
              <w:t>Кривая сила света – Косинусная;</w:t>
            </w:r>
          </w:p>
          <w:p>
            <w:pPr>
              <w:pStyle w:val="Normal"/>
              <w:spacing w:before="0" w:after="0"/>
              <w:rPr>
                <w:b/>
              </w:rPr>
            </w:pPr>
            <w:r>
              <w:rPr/>
              <w:t>Угол раскрытия светового потока - 45</w:t>
            </w:r>
            <w:r>
              <w:rPr>
                <w:vertAlign w:val="superscript"/>
              </w:rPr>
              <w:t>0</w:t>
            </w:r>
          </w:p>
        </w:tc>
      </w:tr>
      <w:tr>
        <w:trPr>
          <w:trHeight w:val="1" w:hRule="atLeast"/>
        </w:trPr>
        <w:tc>
          <w:tcPr>
            <w:tcW w:w="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28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b/>
              </w:rPr>
            </w:pPr>
            <w:r>
              <w:rPr/>
              <w:t>(п. 19 ЛСР № 02-01-01)</w:t>
            </w:r>
          </w:p>
        </w:tc>
        <w:tc>
          <w:tcPr>
            <w:tcW w:w="4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  <w:t>Световой поток не менее 1800 лм;</w:t>
            </w:r>
          </w:p>
          <w:p>
            <w:pPr>
              <w:pStyle w:val="Normal"/>
              <w:spacing w:before="0" w:after="0"/>
              <w:rPr/>
            </w:pPr>
            <w:r>
              <w:rPr/>
              <w:t>Потребляемая мощность не менее 18 Вт;</w:t>
            </w:r>
          </w:p>
          <w:p>
            <w:pPr>
              <w:pStyle w:val="Normal"/>
              <w:spacing w:before="0" w:after="0"/>
              <w:rPr/>
            </w:pPr>
            <w:r>
              <w:rPr/>
              <w:t>Напряжение питания 24 В;</w:t>
            </w:r>
          </w:p>
          <w:p>
            <w:pPr>
              <w:pStyle w:val="Normal"/>
              <w:spacing w:before="0" w:after="0"/>
              <w:rPr/>
            </w:pPr>
            <w:r>
              <w:rPr/>
              <w:t>Габаритные размеры, мм (Длина х Ширина х Высота) - Не менее 999 х не менее 42 х не менее 44</w:t>
            </w:r>
          </w:p>
          <w:p>
            <w:pPr>
              <w:pStyle w:val="Normal"/>
              <w:spacing w:before="0" w:after="0"/>
              <w:rPr/>
            </w:pPr>
            <w:r>
              <w:rPr/>
              <w:t>Цветовая температура не менее 3500 и не более 4500 К;</w:t>
            </w:r>
          </w:p>
          <w:p>
            <w:pPr>
              <w:pStyle w:val="Normal"/>
              <w:spacing w:before="0" w:after="0"/>
              <w:rPr/>
            </w:pPr>
            <w:r>
              <w:rPr/>
              <w:t>Кривая сила света – Косинусная;</w:t>
            </w:r>
          </w:p>
          <w:p>
            <w:pPr>
              <w:pStyle w:val="Normal"/>
              <w:spacing w:before="0" w:after="0"/>
              <w:rPr>
                <w:b/>
              </w:rPr>
            </w:pPr>
            <w:r>
              <w:rPr/>
              <w:t>Угол раскрытия светового потока - 45</w:t>
            </w:r>
            <w:r>
              <w:rPr>
                <w:vertAlign w:val="superscript"/>
              </w:rPr>
              <w:t>0</w:t>
            </w:r>
          </w:p>
        </w:tc>
      </w:tr>
      <w:tr>
        <w:trPr>
          <w:trHeight w:val="1" w:hRule="atLeast"/>
        </w:trPr>
        <w:tc>
          <w:tcPr>
            <w:tcW w:w="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28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b/>
              </w:rPr>
            </w:pPr>
            <w:r>
              <w:rPr/>
              <w:t>(п. 20 ЛСР № 02-01-01)</w:t>
            </w:r>
          </w:p>
        </w:tc>
        <w:tc>
          <w:tcPr>
            <w:tcW w:w="4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  <w:t>Световой поток не менее 1620 лм;</w:t>
            </w:r>
          </w:p>
          <w:p>
            <w:pPr>
              <w:pStyle w:val="Normal"/>
              <w:spacing w:before="0" w:after="0"/>
              <w:rPr/>
            </w:pPr>
            <w:r>
              <w:rPr/>
              <w:t>Потребляемая мощность не менее 18 Вт;</w:t>
            </w:r>
          </w:p>
          <w:p>
            <w:pPr>
              <w:pStyle w:val="Normal"/>
              <w:spacing w:before="0" w:after="0"/>
              <w:rPr/>
            </w:pPr>
            <w:r>
              <w:rPr/>
              <w:t>Напряжение питания 24 В;</w:t>
            </w:r>
          </w:p>
          <w:p>
            <w:pPr>
              <w:pStyle w:val="Normal"/>
              <w:spacing w:before="0" w:after="0"/>
              <w:rPr/>
            </w:pPr>
            <w:r>
              <w:rPr/>
              <w:t>Габаритные размеры, мм (Длина х Ширина х Высота) - Не менее 985 х не менее 30 х не менее 46</w:t>
            </w:r>
          </w:p>
          <w:p>
            <w:pPr>
              <w:pStyle w:val="Normal"/>
              <w:spacing w:before="0" w:after="0"/>
              <w:rPr/>
            </w:pPr>
            <w:r>
              <w:rPr/>
              <w:t>Цветовая температура не менее 3500 и не более 4500 К;</w:t>
            </w:r>
          </w:p>
          <w:p>
            <w:pPr>
              <w:pStyle w:val="Normal"/>
              <w:spacing w:before="0" w:after="0"/>
              <w:rPr>
                <w:b/>
              </w:rPr>
            </w:pPr>
            <w:r>
              <w:rPr/>
              <w:t>Опаловый рассеиватель;</w:t>
            </w:r>
          </w:p>
        </w:tc>
      </w:tr>
      <w:tr>
        <w:trPr>
          <w:trHeight w:val="1" w:hRule="atLeast"/>
        </w:trPr>
        <w:tc>
          <w:tcPr>
            <w:tcW w:w="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28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b/>
              </w:rPr>
            </w:pPr>
            <w:r>
              <w:rPr/>
              <w:t>(п. 21 ЛСР № 02-01-01)</w:t>
            </w:r>
          </w:p>
        </w:tc>
        <w:tc>
          <w:tcPr>
            <w:tcW w:w="4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  <w:t>Световой поток не менее 1500 лм;</w:t>
            </w:r>
          </w:p>
          <w:p>
            <w:pPr>
              <w:pStyle w:val="Normal"/>
              <w:spacing w:before="0" w:after="0"/>
              <w:rPr/>
            </w:pPr>
            <w:r>
              <w:rPr/>
              <w:t>Потребляемая мощность не менее 12 Вт;</w:t>
            </w:r>
          </w:p>
          <w:p>
            <w:pPr>
              <w:pStyle w:val="Normal"/>
              <w:spacing w:before="0" w:after="0"/>
              <w:rPr/>
            </w:pPr>
            <w:r>
              <w:rPr/>
              <w:t>Напряжение питания 24 В;</w:t>
            </w:r>
          </w:p>
          <w:p>
            <w:pPr>
              <w:pStyle w:val="Normal"/>
              <w:spacing w:before="0" w:after="0"/>
              <w:rPr/>
            </w:pPr>
            <w:r>
              <w:rPr/>
              <w:t>Габаритные размеры, мм (Длина х Ширина х Высота) - Не менее 666 х не менее 42 х не менее 44</w:t>
            </w:r>
          </w:p>
          <w:p>
            <w:pPr>
              <w:pStyle w:val="Normal"/>
              <w:spacing w:before="0" w:after="0"/>
              <w:rPr/>
            </w:pPr>
            <w:r>
              <w:rPr/>
              <w:t>Цветовая температура не менее 2700 и не более 3500 К;</w:t>
            </w:r>
          </w:p>
          <w:p>
            <w:pPr>
              <w:pStyle w:val="Normal"/>
              <w:spacing w:before="0" w:after="0"/>
              <w:rPr/>
            </w:pPr>
            <w:r>
              <w:rPr/>
              <w:t>Кривая сила света – Косинусная;</w:t>
            </w:r>
          </w:p>
          <w:p>
            <w:pPr>
              <w:pStyle w:val="Normal"/>
              <w:spacing w:before="0" w:after="0"/>
              <w:rPr>
                <w:b/>
              </w:rPr>
            </w:pPr>
            <w:r>
              <w:rPr/>
              <w:t>Угол раскрытия светового потока - 45</w:t>
            </w:r>
            <w:r>
              <w:rPr>
                <w:vertAlign w:val="superscript"/>
              </w:rPr>
              <w:t>0</w:t>
            </w:r>
          </w:p>
        </w:tc>
      </w:tr>
      <w:tr>
        <w:trPr>
          <w:trHeight w:val="1" w:hRule="atLeast"/>
        </w:trPr>
        <w:tc>
          <w:tcPr>
            <w:tcW w:w="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28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b/>
              </w:rPr>
            </w:pPr>
            <w:r>
              <w:rPr/>
              <w:t>(п. 22 ЛСР № 02-01-01)</w:t>
            </w:r>
          </w:p>
        </w:tc>
        <w:tc>
          <w:tcPr>
            <w:tcW w:w="4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  <w:t>Световой поток не менее 1200 лм;</w:t>
            </w:r>
          </w:p>
          <w:p>
            <w:pPr>
              <w:pStyle w:val="Normal"/>
              <w:spacing w:before="0" w:after="0"/>
              <w:rPr/>
            </w:pPr>
            <w:r>
              <w:rPr/>
              <w:t>Потребляемая мощность не менее 12 Вт;</w:t>
            </w:r>
          </w:p>
          <w:p>
            <w:pPr>
              <w:pStyle w:val="Normal"/>
              <w:spacing w:before="0" w:after="0"/>
              <w:rPr/>
            </w:pPr>
            <w:r>
              <w:rPr/>
              <w:t>Напряжение питания от 176 до 264 В;</w:t>
            </w:r>
          </w:p>
          <w:p>
            <w:pPr>
              <w:pStyle w:val="Normal"/>
              <w:spacing w:before="0" w:after="0"/>
              <w:rPr/>
            </w:pPr>
            <w:r>
              <w:rPr/>
              <w:t>Габаритные размеры, мм (Длина х Ширина х Высота) - Не менее 127 х не менее 150 х не менее 179</w:t>
            </w:r>
          </w:p>
          <w:p>
            <w:pPr>
              <w:pStyle w:val="Normal"/>
              <w:spacing w:before="0" w:after="0"/>
              <w:rPr/>
            </w:pPr>
            <w:r>
              <w:rPr/>
              <w:t>Цветовая температура не менее 2700 и не более 3500 К;</w:t>
            </w:r>
          </w:p>
          <w:p>
            <w:pPr>
              <w:pStyle w:val="Normal"/>
              <w:spacing w:before="0" w:after="0"/>
              <w:rPr/>
            </w:pPr>
            <w:r>
              <w:rPr/>
              <w:t>Кривая сила света – Концентрированная;</w:t>
            </w:r>
          </w:p>
          <w:p>
            <w:pPr>
              <w:pStyle w:val="Normal"/>
              <w:spacing w:before="0" w:after="0"/>
              <w:rPr>
                <w:b/>
              </w:rPr>
            </w:pPr>
            <w:r>
              <w:rPr/>
              <w:t>Угол раскрытия светового потока - 30</w:t>
            </w:r>
            <w:r>
              <w:rPr>
                <w:vertAlign w:val="superscript"/>
              </w:rPr>
              <w:t>0</w:t>
            </w:r>
          </w:p>
        </w:tc>
      </w:tr>
      <w:tr>
        <w:trPr>
          <w:trHeight w:val="1" w:hRule="atLeast"/>
        </w:trPr>
        <w:tc>
          <w:tcPr>
            <w:tcW w:w="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28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6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Архитектурно-художественное освещение по адресу: г. Вологда, Советский проспект, д.8</w:t>
            </w:r>
          </w:p>
        </w:tc>
      </w:tr>
      <w:tr>
        <w:trPr>
          <w:trHeight w:val="82" w:hRule="atLeast"/>
        </w:trPr>
        <w:tc>
          <w:tcPr>
            <w:tcW w:w="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28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2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  <w:t>(п. 17 ЛСР № 02-01-01)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  <w:t>Световой поток не менее 1800 лм;</w:t>
            </w:r>
          </w:p>
          <w:p>
            <w:pPr>
              <w:pStyle w:val="Normal"/>
              <w:spacing w:before="0" w:after="0"/>
              <w:rPr/>
            </w:pPr>
            <w:r>
              <w:rPr/>
              <w:t>Потребляемая мощность не менее 18 Вт;</w:t>
            </w:r>
          </w:p>
          <w:p>
            <w:pPr>
              <w:pStyle w:val="Normal"/>
              <w:spacing w:before="0" w:after="0"/>
              <w:rPr/>
            </w:pPr>
            <w:r>
              <w:rPr/>
              <w:t>Напряжение питания 24 В;</w:t>
            </w:r>
          </w:p>
          <w:p>
            <w:pPr>
              <w:pStyle w:val="Normal"/>
              <w:spacing w:before="0" w:after="0"/>
              <w:rPr/>
            </w:pPr>
            <w:r>
              <w:rPr/>
              <w:t>Габаритные размеры, мм (Длина х Ширина х Высота) - Не менее 999 х не менее 42 х не менее 44</w:t>
            </w:r>
          </w:p>
          <w:p>
            <w:pPr>
              <w:pStyle w:val="Normal"/>
              <w:spacing w:before="0" w:after="0"/>
              <w:rPr/>
            </w:pPr>
            <w:r>
              <w:rPr/>
              <w:t>Цветовая температура не менее 2700 и не более 3500 К;</w:t>
            </w:r>
          </w:p>
          <w:p>
            <w:pPr>
              <w:pStyle w:val="Normal"/>
              <w:spacing w:before="0" w:after="0"/>
              <w:rPr/>
            </w:pPr>
            <w:r>
              <w:rPr/>
              <w:t>Кривая сила света – Косинусная;</w:t>
            </w:r>
          </w:p>
          <w:p>
            <w:pPr>
              <w:pStyle w:val="Normal"/>
              <w:spacing w:before="0" w:after="0"/>
              <w:rPr/>
            </w:pPr>
            <w:r>
              <w:rPr/>
              <w:t>Угол раскрытия светового потока - 45</w:t>
            </w:r>
            <w:r>
              <w:rPr>
                <w:vertAlign w:val="superscript"/>
              </w:rPr>
              <w:t>0</w:t>
            </w:r>
          </w:p>
        </w:tc>
      </w:tr>
      <w:tr>
        <w:trPr>
          <w:trHeight w:val="82" w:hRule="atLeast"/>
        </w:trPr>
        <w:tc>
          <w:tcPr>
            <w:tcW w:w="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28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2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  <w:t>(п. 18 ЛСР № 02-01-01)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  <w:t>Световой поток не менее 1500 лм;</w:t>
            </w:r>
          </w:p>
          <w:p>
            <w:pPr>
              <w:pStyle w:val="Normal"/>
              <w:spacing w:before="0" w:after="0"/>
              <w:rPr/>
            </w:pPr>
            <w:r>
              <w:rPr/>
              <w:t>Потребляемая мощность не менее 12 Вт;</w:t>
            </w:r>
          </w:p>
          <w:p>
            <w:pPr>
              <w:pStyle w:val="Normal"/>
              <w:spacing w:before="0" w:after="0"/>
              <w:rPr/>
            </w:pPr>
            <w:r>
              <w:rPr/>
              <w:t>Напряжение питания 24 В;</w:t>
            </w:r>
          </w:p>
          <w:p>
            <w:pPr>
              <w:pStyle w:val="Normal"/>
              <w:spacing w:before="0" w:after="0"/>
              <w:rPr/>
            </w:pPr>
            <w:r>
              <w:rPr/>
              <w:t>Габаритные размеры, мм (Длина х Ширина х Высота) - Не менее 666 х не менее 42 х не менее 44</w:t>
            </w:r>
          </w:p>
          <w:p>
            <w:pPr>
              <w:pStyle w:val="Normal"/>
              <w:spacing w:before="0" w:after="0"/>
              <w:rPr/>
            </w:pPr>
            <w:r>
              <w:rPr/>
              <w:t>Цветовая температура не менее 2700 и не более 3500 К;</w:t>
            </w:r>
          </w:p>
          <w:p>
            <w:pPr>
              <w:pStyle w:val="Normal"/>
              <w:spacing w:before="0" w:after="0"/>
              <w:rPr/>
            </w:pPr>
            <w:r>
              <w:rPr/>
              <w:t>Кривая сила света – Косинусная;</w:t>
            </w:r>
          </w:p>
          <w:p>
            <w:pPr>
              <w:pStyle w:val="Normal"/>
              <w:spacing w:before="0" w:after="0"/>
              <w:rPr/>
            </w:pPr>
            <w:r>
              <w:rPr/>
              <w:t>Угол раскрытия светового потока - 45</w:t>
            </w:r>
            <w:r>
              <w:rPr>
                <w:vertAlign w:val="superscript"/>
              </w:rPr>
              <w:t>0</w:t>
            </w:r>
          </w:p>
        </w:tc>
      </w:tr>
      <w:tr>
        <w:trPr>
          <w:trHeight w:val="82" w:hRule="atLeast"/>
        </w:trPr>
        <w:tc>
          <w:tcPr>
            <w:tcW w:w="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28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2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  <w:t>(п. 19 ЛСР № 02-01-01)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  <w:t>Световой поток не менее 1620 лм;</w:t>
            </w:r>
          </w:p>
          <w:p>
            <w:pPr>
              <w:pStyle w:val="Normal"/>
              <w:spacing w:before="0" w:after="0"/>
              <w:rPr/>
            </w:pPr>
            <w:r>
              <w:rPr/>
              <w:t>Потребляемая мощность не менее 18 Вт;</w:t>
            </w:r>
          </w:p>
          <w:p>
            <w:pPr>
              <w:pStyle w:val="Normal"/>
              <w:spacing w:before="0" w:after="0"/>
              <w:rPr/>
            </w:pPr>
            <w:r>
              <w:rPr/>
              <w:t>Напряжение питания 24 В;</w:t>
            </w:r>
          </w:p>
          <w:p>
            <w:pPr>
              <w:pStyle w:val="Normal"/>
              <w:spacing w:before="0" w:after="0"/>
              <w:rPr/>
            </w:pPr>
            <w:r>
              <w:rPr/>
              <w:t>Габаритные размеры, мм (Длина х Ширина х Высота) - Не менее 985 х не менее 30 х не менее 46</w:t>
            </w:r>
          </w:p>
          <w:p>
            <w:pPr>
              <w:pStyle w:val="Normal"/>
              <w:spacing w:before="0" w:after="0"/>
              <w:rPr/>
            </w:pPr>
            <w:r>
              <w:rPr/>
              <w:t>Цветовая температура не менее 3500 и не более 4500 К;</w:t>
            </w:r>
          </w:p>
          <w:p>
            <w:pPr>
              <w:pStyle w:val="Normal"/>
              <w:spacing w:before="0" w:after="0"/>
              <w:rPr/>
            </w:pPr>
            <w:r>
              <w:rPr/>
              <w:t>Опаловый рассеиватель.</w:t>
            </w:r>
          </w:p>
        </w:tc>
      </w:tr>
      <w:tr>
        <w:trPr>
          <w:trHeight w:val="2484" w:hRule="atLeast"/>
        </w:trPr>
        <w:tc>
          <w:tcPr>
            <w:tcW w:w="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28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2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  <w:t>(п. 20 ЛСР № 02-01-01)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  <w:t>Световой поток не менее 1200 лм;</w:t>
            </w:r>
          </w:p>
          <w:p>
            <w:pPr>
              <w:pStyle w:val="Normal"/>
              <w:spacing w:before="0" w:after="0"/>
              <w:rPr/>
            </w:pPr>
            <w:r>
              <w:rPr/>
              <w:t>Потребляемая мощность не менее 12 Вт;</w:t>
            </w:r>
          </w:p>
          <w:p>
            <w:pPr>
              <w:pStyle w:val="Normal"/>
              <w:spacing w:before="0" w:after="0"/>
              <w:rPr/>
            </w:pPr>
            <w:r>
              <w:rPr/>
              <w:t>Напряжение питания от176 до 264 В;</w:t>
            </w:r>
          </w:p>
          <w:p>
            <w:pPr>
              <w:pStyle w:val="Normal"/>
              <w:spacing w:before="0" w:after="0"/>
              <w:rPr/>
            </w:pPr>
            <w:r>
              <w:rPr/>
              <w:t>Габаритные размеры, мм (Длина х Ширина х Высота) - Не менее 127 х не менее 150 х не менее 179</w:t>
            </w:r>
          </w:p>
          <w:p>
            <w:pPr>
              <w:pStyle w:val="Normal"/>
              <w:spacing w:before="0" w:after="0"/>
              <w:rPr/>
            </w:pPr>
            <w:r>
              <w:rPr/>
              <w:t>Цветовая температура не менее 2700 и не более 3500 К;</w:t>
            </w:r>
          </w:p>
          <w:p>
            <w:pPr>
              <w:pStyle w:val="Normal"/>
              <w:spacing w:before="0" w:after="0"/>
              <w:rPr/>
            </w:pPr>
            <w:r>
              <w:rPr/>
              <w:t>Кривая сила света – Концентрированная;</w:t>
            </w:r>
          </w:p>
          <w:p>
            <w:pPr>
              <w:pStyle w:val="Normal"/>
              <w:spacing w:before="0" w:after="0"/>
              <w:rPr/>
            </w:pPr>
            <w:r>
              <w:rPr/>
              <w:t>Угол раскрытия светового потока - 30</w:t>
            </w:r>
            <w:r>
              <w:rPr>
                <w:vertAlign w:val="superscript"/>
              </w:rPr>
              <w:t>0</w:t>
            </w:r>
          </w:p>
        </w:tc>
      </w:tr>
      <w:tr>
        <w:trPr>
          <w:trHeight w:val="82" w:hRule="atLeast"/>
        </w:trPr>
        <w:tc>
          <w:tcPr>
            <w:tcW w:w="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28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6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Архитектурно-художественное освещение по адресу: г. Вологда, Советский проспект, д.10</w:t>
            </w:r>
          </w:p>
        </w:tc>
      </w:tr>
      <w:tr>
        <w:trPr>
          <w:trHeight w:val="82" w:hRule="atLeast"/>
        </w:trPr>
        <w:tc>
          <w:tcPr>
            <w:tcW w:w="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28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2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  <w:t>(п. 2 ЛСР № 02-01-01)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  <w:t>Световой поток не менее 1500 лм;</w:t>
            </w:r>
          </w:p>
          <w:p>
            <w:pPr>
              <w:pStyle w:val="Normal"/>
              <w:spacing w:before="0" w:after="0"/>
              <w:rPr/>
            </w:pPr>
            <w:r>
              <w:rPr/>
              <w:t>Потребляемая мощность не менее 12 Вт;</w:t>
            </w:r>
          </w:p>
          <w:p>
            <w:pPr>
              <w:pStyle w:val="Normal"/>
              <w:spacing w:before="0" w:after="0"/>
              <w:rPr/>
            </w:pPr>
            <w:r>
              <w:rPr/>
              <w:t>Напряжение питания 24 В;</w:t>
            </w:r>
          </w:p>
          <w:p>
            <w:pPr>
              <w:pStyle w:val="Normal"/>
              <w:spacing w:before="0" w:after="0"/>
              <w:rPr/>
            </w:pPr>
            <w:r>
              <w:rPr/>
              <w:t>Габаритные размеры, мм (Длина х Ширина х Высота) - Не менее 666 х не менее 42 х не менее 44</w:t>
            </w:r>
          </w:p>
          <w:p>
            <w:pPr>
              <w:pStyle w:val="Normal"/>
              <w:spacing w:before="0" w:after="0"/>
              <w:rPr/>
            </w:pPr>
            <w:r>
              <w:rPr/>
              <w:t>Цветовая температура не менее 2700 и не более 3500 К;</w:t>
            </w:r>
          </w:p>
          <w:p>
            <w:pPr>
              <w:pStyle w:val="Normal"/>
              <w:spacing w:before="0" w:after="0"/>
              <w:rPr/>
            </w:pPr>
            <w:r>
              <w:rPr/>
              <w:t>Кривая сила света – Косинусная;</w:t>
            </w:r>
          </w:p>
          <w:p>
            <w:pPr>
              <w:pStyle w:val="Normal"/>
              <w:spacing w:before="0" w:after="0"/>
              <w:rPr/>
            </w:pPr>
            <w:r>
              <w:rPr/>
              <w:t>Угол раскрытия светового потока - 45</w:t>
            </w:r>
            <w:r>
              <w:rPr>
                <w:vertAlign w:val="superscript"/>
              </w:rPr>
              <w:t>0</w:t>
            </w:r>
          </w:p>
        </w:tc>
      </w:tr>
      <w:tr>
        <w:trPr>
          <w:trHeight w:val="82" w:hRule="atLeast"/>
        </w:trPr>
        <w:tc>
          <w:tcPr>
            <w:tcW w:w="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28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2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  <w:t>(п. 3 ЛСР № 02-01-01)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  <w:t>Световой поток не менее 1800 лм;</w:t>
            </w:r>
          </w:p>
          <w:p>
            <w:pPr>
              <w:pStyle w:val="Normal"/>
              <w:spacing w:before="0" w:after="0"/>
              <w:rPr/>
            </w:pPr>
            <w:r>
              <w:rPr/>
              <w:t>Потребляемая мощность не менее 18 Вт;</w:t>
            </w:r>
          </w:p>
          <w:p>
            <w:pPr>
              <w:pStyle w:val="Normal"/>
              <w:spacing w:before="0" w:after="0"/>
              <w:rPr/>
            </w:pPr>
            <w:r>
              <w:rPr/>
              <w:t>Напряжение питания 24 В;</w:t>
            </w:r>
          </w:p>
          <w:p>
            <w:pPr>
              <w:pStyle w:val="Normal"/>
              <w:spacing w:before="0" w:after="0"/>
              <w:rPr/>
            </w:pPr>
            <w:r>
              <w:rPr/>
              <w:t>Габаритные размеры, мм (Длина х Ширина х Высота) - Не менее 999 х не менее 42 х не менее 44</w:t>
            </w:r>
          </w:p>
          <w:p>
            <w:pPr>
              <w:pStyle w:val="Normal"/>
              <w:spacing w:before="0" w:after="0"/>
              <w:rPr/>
            </w:pPr>
            <w:r>
              <w:rPr/>
              <w:t>Цветовая температура не менее 2700 и не более 3500 К;</w:t>
            </w:r>
          </w:p>
          <w:p>
            <w:pPr>
              <w:pStyle w:val="Normal"/>
              <w:spacing w:before="0" w:after="0"/>
              <w:rPr/>
            </w:pPr>
            <w:r>
              <w:rPr/>
              <w:t>Кривая сила света – Косинусная;</w:t>
            </w:r>
          </w:p>
          <w:p>
            <w:pPr>
              <w:pStyle w:val="Normal"/>
              <w:spacing w:before="0" w:after="0"/>
              <w:rPr/>
            </w:pPr>
            <w:r>
              <w:rPr/>
              <w:t>Угол раскрытия светового потока - 45</w:t>
            </w:r>
            <w:r>
              <w:rPr>
                <w:vertAlign w:val="superscript"/>
              </w:rPr>
              <w:t>0</w:t>
            </w:r>
          </w:p>
        </w:tc>
      </w:tr>
      <w:tr>
        <w:trPr>
          <w:trHeight w:val="82" w:hRule="atLeast"/>
        </w:trPr>
        <w:tc>
          <w:tcPr>
            <w:tcW w:w="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28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2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  <w:t>(п. 4 ЛСР № 02-01-01)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  <w:t>Световой поток не менее 900 лм;</w:t>
            </w:r>
          </w:p>
          <w:p>
            <w:pPr>
              <w:pStyle w:val="Normal"/>
              <w:spacing w:before="0" w:after="0"/>
              <w:rPr/>
            </w:pPr>
            <w:r>
              <w:rPr/>
              <w:t>Потребляемая мощность не менее 9 Вт;</w:t>
            </w:r>
          </w:p>
          <w:p>
            <w:pPr>
              <w:pStyle w:val="Normal"/>
              <w:spacing w:before="0" w:after="0"/>
              <w:rPr/>
            </w:pPr>
            <w:r>
              <w:rPr/>
              <w:t>Напряжение питания от 176 до 264 В;</w:t>
            </w:r>
          </w:p>
          <w:p>
            <w:pPr>
              <w:pStyle w:val="Normal"/>
              <w:spacing w:before="0" w:after="0"/>
              <w:rPr/>
            </w:pPr>
            <w:r>
              <w:rPr/>
              <w:t>Габаритные размеры, мм (Длина х Ширина х Высота) - Не менее 106 х не менее 110 х не менее 135</w:t>
            </w:r>
          </w:p>
          <w:p>
            <w:pPr>
              <w:pStyle w:val="Normal"/>
              <w:spacing w:before="0" w:after="0"/>
              <w:rPr/>
            </w:pPr>
            <w:r>
              <w:rPr/>
              <w:t>Цветовая температура не менее 2700 и не более 3500 К;</w:t>
            </w:r>
          </w:p>
          <w:p>
            <w:pPr>
              <w:pStyle w:val="Normal"/>
              <w:spacing w:before="0" w:after="0"/>
              <w:rPr/>
            </w:pPr>
            <w:r>
              <w:rPr/>
              <w:t>Кривая сила света – Концентрированная;</w:t>
            </w:r>
          </w:p>
          <w:p>
            <w:pPr>
              <w:pStyle w:val="Normal"/>
              <w:spacing w:before="0" w:after="0"/>
              <w:rPr/>
            </w:pPr>
            <w:r>
              <w:rPr/>
              <w:t>Угол раскрытия светового потока - 30</w:t>
            </w:r>
            <w:r>
              <w:rPr>
                <w:vertAlign w:val="superscript"/>
              </w:rPr>
              <w:t>0</w:t>
            </w:r>
          </w:p>
        </w:tc>
      </w:tr>
      <w:tr>
        <w:trPr>
          <w:trHeight w:val="82" w:hRule="atLeast"/>
        </w:trPr>
        <w:tc>
          <w:tcPr>
            <w:tcW w:w="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28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2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  <w:t>(п. 5 ЛСР № 02-01-01)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  <w:t>Световой поток не менее 720 лм;</w:t>
            </w:r>
          </w:p>
          <w:p>
            <w:pPr>
              <w:pStyle w:val="Normal"/>
              <w:spacing w:before="0" w:after="0"/>
              <w:rPr/>
            </w:pPr>
            <w:r>
              <w:rPr/>
              <w:t>Потребляемая мощность не менее 6 Вт;</w:t>
            </w:r>
          </w:p>
          <w:p>
            <w:pPr>
              <w:pStyle w:val="Normal"/>
              <w:spacing w:before="0" w:after="0"/>
              <w:rPr/>
            </w:pPr>
            <w:r>
              <w:rPr/>
              <w:t>Напряжение питания 24 В;</w:t>
            </w:r>
          </w:p>
          <w:p>
            <w:pPr>
              <w:pStyle w:val="Normal"/>
              <w:spacing w:before="0" w:after="0"/>
              <w:rPr/>
            </w:pPr>
            <w:r>
              <w:rPr/>
              <w:t>Габаритные размеры, мм (Длина х Ширина х Высота) - Не менее 333 х не менее 42 х не менее 44</w:t>
            </w:r>
          </w:p>
          <w:p>
            <w:pPr>
              <w:pStyle w:val="Normal"/>
              <w:spacing w:before="0" w:after="0"/>
              <w:rPr/>
            </w:pPr>
            <w:r>
              <w:rPr/>
              <w:t>Цветовая температура не менее 2700 и не более 3500 К;</w:t>
            </w:r>
          </w:p>
          <w:p>
            <w:pPr>
              <w:pStyle w:val="Normal"/>
              <w:spacing w:before="0" w:after="0"/>
              <w:rPr/>
            </w:pPr>
            <w:r>
              <w:rPr/>
              <w:t>Кривая сила света – Косинусная;</w:t>
            </w:r>
          </w:p>
          <w:p>
            <w:pPr>
              <w:pStyle w:val="Normal"/>
              <w:spacing w:before="0" w:after="0"/>
              <w:rPr/>
            </w:pPr>
            <w:r>
              <w:rPr/>
              <w:t>Угол раскрытия светового потока - 45</w:t>
            </w:r>
            <w:r>
              <w:rPr>
                <w:vertAlign w:val="superscript"/>
              </w:rPr>
              <w:t>0</w:t>
            </w:r>
          </w:p>
        </w:tc>
      </w:tr>
      <w:tr>
        <w:trPr>
          <w:trHeight w:val="82" w:hRule="atLeast"/>
        </w:trPr>
        <w:tc>
          <w:tcPr>
            <w:tcW w:w="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28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6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Архитектурно-художественное освещение по адресу: г. Вологда, Советский проспект, д.12</w:t>
            </w:r>
          </w:p>
        </w:tc>
      </w:tr>
      <w:tr>
        <w:trPr>
          <w:trHeight w:val="82" w:hRule="atLeast"/>
        </w:trPr>
        <w:tc>
          <w:tcPr>
            <w:tcW w:w="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28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2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  <w:t>(п. 2 ЛСР № 02-01-01)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  <w:t>Световой поток не менее 1500 лм;</w:t>
            </w:r>
          </w:p>
          <w:p>
            <w:pPr>
              <w:pStyle w:val="Normal"/>
              <w:spacing w:before="0" w:after="0"/>
              <w:rPr/>
            </w:pPr>
            <w:r>
              <w:rPr/>
              <w:t>Потребляемая мощность не менее 12 Вт;</w:t>
            </w:r>
          </w:p>
          <w:p>
            <w:pPr>
              <w:pStyle w:val="Normal"/>
              <w:spacing w:before="0" w:after="0"/>
              <w:rPr/>
            </w:pPr>
            <w:r>
              <w:rPr/>
              <w:t>Напряжение питания 24 В;</w:t>
            </w:r>
          </w:p>
          <w:p>
            <w:pPr>
              <w:pStyle w:val="Normal"/>
              <w:spacing w:before="0" w:after="0"/>
              <w:rPr/>
            </w:pPr>
            <w:r>
              <w:rPr/>
              <w:t>Габаритные размеры, мм (Длина х Ширина х Высота) - Не менее 666 х не менее 42 х не менее 44</w:t>
            </w:r>
          </w:p>
          <w:p>
            <w:pPr>
              <w:pStyle w:val="Normal"/>
              <w:spacing w:before="0" w:after="0"/>
              <w:rPr/>
            </w:pPr>
            <w:r>
              <w:rPr/>
              <w:t>Цветовая температура не менее 2700 и не более 3500 К;</w:t>
            </w:r>
          </w:p>
          <w:p>
            <w:pPr>
              <w:pStyle w:val="Normal"/>
              <w:spacing w:before="0" w:after="0"/>
              <w:rPr/>
            </w:pPr>
            <w:r>
              <w:rPr/>
              <w:t>Кривая сила света – Косинусная;</w:t>
            </w:r>
          </w:p>
          <w:p>
            <w:pPr>
              <w:pStyle w:val="Normal"/>
              <w:spacing w:before="0" w:after="0"/>
              <w:rPr/>
            </w:pPr>
            <w:r>
              <w:rPr/>
              <w:t>Угол раскрытия светового потока - 45</w:t>
            </w:r>
            <w:r>
              <w:rPr>
                <w:vertAlign w:val="superscript"/>
              </w:rPr>
              <w:t>0</w:t>
            </w:r>
          </w:p>
        </w:tc>
      </w:tr>
      <w:tr>
        <w:trPr>
          <w:trHeight w:val="82" w:hRule="atLeast"/>
        </w:trPr>
        <w:tc>
          <w:tcPr>
            <w:tcW w:w="6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28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2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  <w:t>(п. 3 ЛСР № 02-01-01)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  <w:t>Световой поток не менее 900 лм;</w:t>
            </w:r>
          </w:p>
          <w:p>
            <w:pPr>
              <w:pStyle w:val="Normal"/>
              <w:spacing w:before="0" w:after="0"/>
              <w:rPr/>
            </w:pPr>
            <w:r>
              <w:rPr/>
              <w:t>Потребляемая мощность не менее 9 Вт;</w:t>
            </w:r>
          </w:p>
          <w:p>
            <w:pPr>
              <w:pStyle w:val="Normal"/>
              <w:spacing w:before="0" w:after="0"/>
              <w:rPr/>
            </w:pPr>
            <w:r>
              <w:rPr/>
              <w:t>Напряжение питания от 176 до 264 В;</w:t>
            </w:r>
          </w:p>
          <w:p>
            <w:pPr>
              <w:pStyle w:val="Normal"/>
              <w:spacing w:before="0" w:after="0"/>
              <w:rPr/>
            </w:pPr>
            <w:r>
              <w:rPr/>
              <w:t>Габаритные размеры, мм (Длина х Ширина х Высота) - Не менее 106 х не менее 110 х не менее 135</w:t>
            </w:r>
          </w:p>
          <w:p>
            <w:pPr>
              <w:pStyle w:val="Normal"/>
              <w:spacing w:before="0" w:after="0"/>
              <w:rPr/>
            </w:pPr>
            <w:r>
              <w:rPr/>
              <w:t>Цветовая температура не менее 2700 и не более 3500 К;</w:t>
            </w:r>
          </w:p>
          <w:p>
            <w:pPr>
              <w:pStyle w:val="Normal"/>
              <w:spacing w:before="0" w:after="0"/>
              <w:rPr/>
            </w:pPr>
            <w:r>
              <w:rPr/>
              <w:t>Кривая сила света – Концентрированная;</w:t>
            </w:r>
          </w:p>
          <w:p>
            <w:pPr>
              <w:pStyle w:val="Normal"/>
              <w:spacing w:before="0" w:after="0"/>
              <w:rPr/>
            </w:pPr>
            <w:r>
              <w:rPr/>
              <w:t>Угол раскрытия светового потока - 30</w:t>
            </w:r>
            <w:r>
              <w:rPr>
                <w:vertAlign w:val="superscript"/>
              </w:rPr>
              <w:t>0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before="0" w:after="0"/>
        <w:jc w:val="right"/>
        <w:rPr/>
      </w:pPr>
      <w:r>
        <w:rPr/>
      </w:r>
    </w:p>
    <w:p>
      <w:pPr>
        <w:pStyle w:val="Normal"/>
        <w:spacing w:before="0" w:after="0"/>
        <w:jc w:val="right"/>
        <w:rPr/>
      </w:pPr>
      <w:r>
        <w:rPr/>
      </w:r>
    </w:p>
    <w:p>
      <w:pPr>
        <w:pStyle w:val="Normal"/>
        <w:spacing w:before="0" w:after="0"/>
        <w:jc w:val="right"/>
        <w:rPr/>
      </w:pPr>
      <w:r>
        <w:rPr/>
      </w:r>
    </w:p>
    <w:p>
      <w:pPr>
        <w:pStyle w:val="Normal"/>
        <w:spacing w:before="0" w:after="0"/>
        <w:jc w:val="right"/>
        <w:rPr/>
      </w:pPr>
      <w:r>
        <w:rPr/>
      </w:r>
    </w:p>
    <w:p>
      <w:pPr>
        <w:pStyle w:val="Normal"/>
        <w:spacing w:before="0" w:after="0"/>
        <w:jc w:val="right"/>
        <w:rPr/>
      </w:pPr>
      <w:r>
        <w:rPr/>
        <w:t xml:space="preserve">Приложение №1 </w:t>
      </w:r>
    </w:p>
    <w:p>
      <w:pPr>
        <w:pStyle w:val="Normal"/>
        <w:spacing w:before="0" w:after="0"/>
        <w:jc w:val="right"/>
        <w:rPr/>
      </w:pPr>
      <w:r>
        <w:rPr/>
        <w:t>к Техническому заданию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Эскизы и границы освещения объектов</w:t>
      </w:r>
    </w:p>
    <w:p>
      <w:pPr>
        <w:pStyle w:val="Normal"/>
        <w:jc w:val="center"/>
        <w:rPr/>
      </w:pPr>
      <w:r>
        <w:rPr/>
        <w:t>Советский пр., д.4</w:t>
      </w:r>
    </w:p>
    <w:p>
      <w:pPr>
        <w:pStyle w:val="Normal"/>
        <w:jc w:val="center"/>
        <w:rPr>
          <w:b/>
          <w:bCs/>
          <w:color w:val="000000"/>
          <w:sz w:val="20"/>
          <w:szCs w:val="20"/>
        </w:rPr>
      </w:pPr>
      <w:r>
        <w:rPr/>
        <w:drawing>
          <wp:inline distT="0" distB="0" distL="0" distR="0">
            <wp:extent cx="5598160" cy="320167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8160" cy="3201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</w:r>
    </w:p>
    <w:p>
      <w:pPr>
        <w:pStyle w:val="Normal"/>
        <w:jc w:val="center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</w:r>
    </w:p>
    <w:p>
      <w:pPr>
        <w:pStyle w:val="Normal"/>
        <w:jc w:val="center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</w:r>
    </w:p>
    <w:p>
      <w:pPr>
        <w:pStyle w:val="Normal"/>
        <w:jc w:val="center"/>
        <w:rPr>
          <w:b/>
          <w:bCs/>
          <w:color w:val="000000"/>
          <w:sz w:val="20"/>
          <w:szCs w:val="20"/>
        </w:rPr>
      </w:pPr>
      <w:r>
        <w:rPr/>
        <mc:AlternateContent>
          <mc:Choice Requires="wps">
            <w:drawing>
              <wp:anchor distT="0" distB="0" distL="114300" distR="114300" simplePos="0" relativeHeight="18" behindDoc="0" locked="0" layoutInCell="1" allowOverlap="1">
                <wp:simplePos x="0" y="0"/>
                <wp:positionH relativeFrom="column">
                  <wp:posOffset>3472815</wp:posOffset>
                </wp:positionH>
                <wp:positionV relativeFrom="paragraph">
                  <wp:posOffset>674370</wp:posOffset>
                </wp:positionV>
                <wp:extent cx="1438275" cy="1590675"/>
                <wp:effectExtent l="19050" t="19050" r="19050" b="19050"/>
                <wp:wrapNone/>
                <wp:docPr id="2" name="Прямая соединительная линия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00" cy="1590840"/>
                        </a:xfrm>
                        <a:prstGeom prst="line">
                          <a:avLst/>
                        </a:prstGeom>
                        <a:ln w="38160">
                          <a:solidFill>
                            <a:srgbClr val="ff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3.45pt,53.1pt" to="386.65pt,178.3pt" stroked="t" o:allowincell="f" style="position:absolute">
                <v:stroke color="red" weight="3816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distT="0" distB="0" distL="114300" distR="114300" simplePos="0" relativeHeight="19" behindDoc="0" locked="0" layoutInCell="1" allowOverlap="1">
                <wp:simplePos x="0" y="0"/>
                <wp:positionH relativeFrom="column">
                  <wp:posOffset>4911090</wp:posOffset>
                </wp:positionH>
                <wp:positionV relativeFrom="paragraph">
                  <wp:posOffset>2264410</wp:posOffset>
                </wp:positionV>
                <wp:extent cx="0" cy="352425"/>
                <wp:effectExtent l="19050" t="19050" r="19050" b="19050"/>
                <wp:wrapNone/>
                <wp:docPr id="3" name="Прямая соединительная линия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0" cy="352440"/>
                        </a:xfrm>
                        <a:prstGeom prst="line">
                          <a:avLst/>
                        </a:prstGeom>
                        <a:ln w="38160">
                          <a:solidFill>
                            <a:srgbClr val="ff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86.7pt,178.3pt" to="386.7pt,206pt" stroked="t" o:allowincell="f" style="position:absolute;flip:y">
                <v:stroke color="red" weight="3816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distT="0" distB="0" distL="114300" distR="114300" simplePos="0" relativeHeight="20" behindDoc="0" locked="0" layoutInCell="1" allowOverlap="1">
                <wp:simplePos x="0" y="0"/>
                <wp:positionH relativeFrom="column">
                  <wp:posOffset>3472815</wp:posOffset>
                </wp:positionH>
                <wp:positionV relativeFrom="paragraph">
                  <wp:posOffset>2617470</wp:posOffset>
                </wp:positionV>
                <wp:extent cx="1438275" cy="1295400"/>
                <wp:effectExtent l="19050" t="19050" r="19050" b="19050"/>
                <wp:wrapNone/>
                <wp:docPr id="4" name="Прямая соединительная линия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438200" cy="1295280"/>
                        </a:xfrm>
                        <a:prstGeom prst="line">
                          <a:avLst/>
                        </a:prstGeom>
                        <a:ln w="38160">
                          <a:solidFill>
                            <a:srgbClr val="ff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3.45pt,206.1pt" to="386.65pt,308.05pt" stroked="t" o:allowincell="f" style="position:absolute;flip:y">
                <v:stroke color="red" weight="38160" joinstyle="round" endcap="flat"/>
                <v:fill o:detectmouseclick="t" on="false"/>
                <w10:wrap type="none"/>
              </v:line>
            </w:pict>
          </mc:Fallback>
        </mc:AlternateContent>
        <w:drawing>
          <wp:inline distT="0" distB="0" distL="0" distR="0">
            <wp:extent cx="4675505" cy="3855720"/>
            <wp:effectExtent l="0" t="0" r="0" b="0"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0" t="16253" r="0" b="145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5505" cy="3855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Эскизы и границы освещения объектов</w:t>
      </w:r>
    </w:p>
    <w:p>
      <w:pPr>
        <w:pStyle w:val="Normal"/>
        <w:jc w:val="center"/>
        <w:rPr/>
      </w:pPr>
      <w:r>
        <w:rPr/>
        <w:t>Советский пр., д.8</w:t>
      </w:r>
    </w:p>
    <w:p>
      <w:pPr>
        <w:pStyle w:val="Normal"/>
        <w:jc w:val="center"/>
        <w:rPr/>
      </w:pPr>
      <w:r>
        <w:rPr/>
        <w:t>.</w:t>
      </w:r>
      <w:r>
        <w:rPr/>
        <w:drawing>
          <wp:inline distT="0" distB="0" distL="0" distR="0">
            <wp:extent cx="3810000" cy="3492500"/>
            <wp:effectExtent l="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49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  <mc:AlternateContent>
          <mc:Choice Requires="wps">
            <w:drawing>
              <wp:anchor distT="0" distB="0" distL="114300" distR="114300" simplePos="0" relativeHeight="10" behindDoc="0" locked="0" layoutInCell="1" allowOverlap="1">
                <wp:simplePos x="0" y="0"/>
                <wp:positionH relativeFrom="column">
                  <wp:posOffset>2806065</wp:posOffset>
                </wp:positionH>
                <wp:positionV relativeFrom="paragraph">
                  <wp:posOffset>981710</wp:posOffset>
                </wp:positionV>
                <wp:extent cx="352425" cy="400050"/>
                <wp:effectExtent l="19050" t="19050" r="19050" b="19050"/>
                <wp:wrapNone/>
                <wp:docPr id="7" name="Прямая соединительная линия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40" cy="399960"/>
                        </a:xfrm>
                        <a:prstGeom prst="line">
                          <a:avLst/>
                        </a:prstGeom>
                        <a:ln w="38160">
                          <a:solidFill>
                            <a:srgbClr val="ff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20.95pt,77.3pt" to="248.65pt,108.75pt" stroked="t" o:allowincell="f" style="position:absolute">
                <v:stroke color="red" weight="3816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distT="0" distB="0" distL="114300" distR="114300" simplePos="0" relativeHeight="11" behindDoc="0" locked="0" layoutInCell="1" allowOverlap="1">
                <wp:simplePos x="0" y="0"/>
                <wp:positionH relativeFrom="column">
                  <wp:posOffset>2348865</wp:posOffset>
                </wp:positionH>
                <wp:positionV relativeFrom="paragraph">
                  <wp:posOffset>981710</wp:posOffset>
                </wp:positionV>
                <wp:extent cx="457200" cy="400050"/>
                <wp:effectExtent l="19050" t="19050" r="19050" b="19050"/>
                <wp:wrapNone/>
                <wp:docPr id="8" name="Прямая соединительная линия 1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57200" cy="399960"/>
                        </a:xfrm>
                        <a:prstGeom prst="line">
                          <a:avLst/>
                        </a:prstGeom>
                        <a:ln w="38160">
                          <a:solidFill>
                            <a:srgbClr val="ff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4.95pt,77.3pt" to="220.9pt,108.75pt" stroked="t" o:allowincell="f" style="position:absolute;flip:x">
                <v:stroke color="red" weight="3816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distT="0" distB="0" distL="114300" distR="114300" simplePos="0" relativeHeight="12" behindDoc="0" locked="0" layoutInCell="1" allowOverlap="1">
                <wp:simplePos x="0" y="0"/>
                <wp:positionH relativeFrom="column">
                  <wp:posOffset>2967990</wp:posOffset>
                </wp:positionH>
                <wp:positionV relativeFrom="paragraph">
                  <wp:posOffset>1381760</wp:posOffset>
                </wp:positionV>
                <wp:extent cx="189230" cy="152400"/>
                <wp:effectExtent l="19050" t="19050" r="19050" b="19050"/>
                <wp:wrapNone/>
                <wp:docPr id="9" name="Прямая соединительная линия 1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9360" cy="152280"/>
                        </a:xfrm>
                        <a:prstGeom prst="line">
                          <a:avLst/>
                        </a:prstGeom>
                        <a:ln w="38160">
                          <a:solidFill>
                            <a:srgbClr val="ff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33.7pt,108.8pt" to="248.55pt,120.75pt" stroked="t" o:allowincell="f" style="position:absolute;flip:x">
                <v:stroke color="red" weight="38160" joinstyle="round" endcap="flat"/>
                <v:fill o:detectmouseclick="t" on="false"/>
                <w10:wrap type="none"/>
              </v:line>
            </w:pict>
          </mc:Fallback>
        </mc:AlternateContent>
        <w:drawing>
          <wp:inline distT="0" distB="0" distL="0" distR="0">
            <wp:extent cx="3429000" cy="3591560"/>
            <wp:effectExtent l="0" t="0" r="0" b="0"/>
            <wp:docPr id="10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3591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Эскизы и границы освещения объектов</w:t>
      </w:r>
    </w:p>
    <w:p>
      <w:pPr>
        <w:pStyle w:val="Normal"/>
        <w:jc w:val="center"/>
        <w:rPr/>
      </w:pPr>
      <w:r>
        <w:rPr/>
        <w:t>Советский пр., д.10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  <w:drawing>
          <wp:inline distT="0" distB="0" distL="0" distR="0">
            <wp:extent cx="3054985" cy="3771900"/>
            <wp:effectExtent l="0" t="0" r="0" b="0"/>
            <wp:docPr id="1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985" cy="377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  <mc:AlternateContent>
          <mc:Choice Requires="wps">
            <w:drawing>
              <wp:anchor distT="0" distB="0" distL="114300" distR="114300" simplePos="0" relativeHeight="13" behindDoc="0" locked="0" layoutInCell="1" allowOverlap="1">
                <wp:simplePos x="0" y="0"/>
                <wp:positionH relativeFrom="column">
                  <wp:posOffset>3187065</wp:posOffset>
                </wp:positionH>
                <wp:positionV relativeFrom="paragraph">
                  <wp:posOffset>1583055</wp:posOffset>
                </wp:positionV>
                <wp:extent cx="323850" cy="342900"/>
                <wp:effectExtent l="19050" t="19050" r="19050" b="19050"/>
                <wp:wrapNone/>
                <wp:docPr id="12" name="Прямая соединительная линия 1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000" cy="343080"/>
                        </a:xfrm>
                        <a:prstGeom prst="line">
                          <a:avLst/>
                        </a:prstGeom>
                        <a:ln w="38160">
                          <a:solidFill>
                            <a:srgbClr val="ff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50.95pt,124.65pt" to="276.4pt,151.6pt" stroked="t" o:allowincell="f" style="position:absolute">
                <v:stroke color="red" weight="3816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distT="0" distB="0" distL="114300" distR="114300" simplePos="0" relativeHeight="14" behindDoc="0" locked="0" layoutInCell="1" allowOverlap="1">
                <wp:simplePos x="0" y="0"/>
                <wp:positionH relativeFrom="column">
                  <wp:posOffset>2901315</wp:posOffset>
                </wp:positionH>
                <wp:positionV relativeFrom="paragraph">
                  <wp:posOffset>1583055</wp:posOffset>
                </wp:positionV>
                <wp:extent cx="285750" cy="276225"/>
                <wp:effectExtent l="19050" t="19050" r="19050" b="19050"/>
                <wp:wrapNone/>
                <wp:docPr id="13" name="Прямая соединительная линия 1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85840" cy="276120"/>
                        </a:xfrm>
                        <a:prstGeom prst="line">
                          <a:avLst/>
                        </a:prstGeom>
                        <a:ln w="38160">
                          <a:solidFill>
                            <a:srgbClr val="ff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28.45pt,124.65pt" to="250.9pt,146.35pt" stroked="t" o:allowincell="f" style="position:absolute;flip:x">
                <v:stroke color="red" weight="38160" joinstyle="round" endcap="flat"/>
                <v:fill o:detectmouseclick="t" on="false"/>
                <w10:wrap type="none"/>
              </v:line>
            </w:pict>
          </mc:Fallback>
        </mc:AlternateContent>
        <w:drawing>
          <wp:inline distT="0" distB="0" distL="0" distR="0">
            <wp:extent cx="3874135" cy="4057650"/>
            <wp:effectExtent l="0" t="0" r="0" b="0"/>
            <wp:docPr id="14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4135" cy="405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</w:r>
    </w:p>
    <w:p>
      <w:pPr>
        <w:pStyle w:val="Normal"/>
        <w:jc w:val="center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</w:r>
    </w:p>
    <w:p>
      <w:pPr>
        <w:pStyle w:val="Normal"/>
        <w:jc w:val="center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</w:r>
    </w:p>
    <w:p>
      <w:pPr>
        <w:pStyle w:val="Normal"/>
        <w:jc w:val="center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</w:r>
    </w:p>
    <w:p>
      <w:pPr>
        <w:pStyle w:val="Normal"/>
        <w:jc w:val="center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Эскизы и границы освещения объектов</w:t>
      </w:r>
    </w:p>
    <w:p>
      <w:pPr>
        <w:pStyle w:val="Normal"/>
        <w:jc w:val="center"/>
        <w:rPr/>
      </w:pPr>
      <w:r>
        <w:rPr/>
        <w:t>Советский пр., д.12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  <w:drawing>
          <wp:inline distT="0" distB="0" distL="0" distR="0">
            <wp:extent cx="2714625" cy="2581275"/>
            <wp:effectExtent l="0" t="0" r="0" b="0"/>
            <wp:docPr id="15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581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  <mc:AlternateContent>
          <mc:Choice Requires="wps">
            <w:drawing>
              <wp:anchor distT="0" distB="0" distL="114300" distR="114300" simplePos="0" relativeHeight="15" behindDoc="0" locked="0" layoutInCell="1" allowOverlap="1">
                <wp:simplePos x="0" y="0"/>
                <wp:positionH relativeFrom="column">
                  <wp:posOffset>3072765</wp:posOffset>
                </wp:positionH>
                <wp:positionV relativeFrom="paragraph">
                  <wp:posOffset>1583055</wp:posOffset>
                </wp:positionV>
                <wp:extent cx="285750" cy="276225"/>
                <wp:effectExtent l="19050" t="19050" r="19050" b="19050"/>
                <wp:wrapNone/>
                <wp:docPr id="16" name="Прямая соединительная линия 2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85840" cy="276120"/>
                        </a:xfrm>
                        <a:prstGeom prst="line">
                          <a:avLst/>
                        </a:prstGeom>
                        <a:ln w="38160">
                          <a:solidFill>
                            <a:srgbClr val="ff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41.95pt,124.65pt" to="264.4pt,146.35pt" stroked="t" o:allowincell="f" style="position:absolute;flip:x">
                <v:stroke color="red" weight="3816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distT="0" distB="0" distL="114300" distR="114300" simplePos="0" relativeHeight="16" behindDoc="0" locked="0" layoutInCell="1" allowOverlap="1">
                <wp:simplePos x="0" y="0"/>
                <wp:positionH relativeFrom="column">
                  <wp:posOffset>3415030</wp:posOffset>
                </wp:positionH>
                <wp:positionV relativeFrom="paragraph">
                  <wp:posOffset>1945005</wp:posOffset>
                </wp:positionV>
                <wp:extent cx="200025" cy="171450"/>
                <wp:effectExtent l="19050" t="19050" r="19050" b="19050"/>
                <wp:wrapNone/>
                <wp:docPr id="17" name="Прямая соединительная линия 2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0160" cy="171360"/>
                        </a:xfrm>
                        <a:prstGeom prst="line">
                          <a:avLst/>
                        </a:prstGeom>
                        <a:ln w="38160">
                          <a:solidFill>
                            <a:srgbClr val="ff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68.9pt,153.15pt" to="284.6pt,166.6pt" stroked="t" o:allowincell="f" style="position:absolute;flip:x">
                <v:stroke color="red" weight="3816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distT="0" distB="0" distL="114300" distR="114300" simplePos="0" relativeHeight="17" behindDoc="0" locked="0" layoutInCell="1" allowOverlap="1">
                <wp:simplePos x="0" y="0"/>
                <wp:positionH relativeFrom="column">
                  <wp:posOffset>3358515</wp:posOffset>
                </wp:positionH>
                <wp:positionV relativeFrom="paragraph">
                  <wp:posOffset>1583055</wp:posOffset>
                </wp:positionV>
                <wp:extent cx="304800" cy="361950"/>
                <wp:effectExtent l="19050" t="19050" r="19050" b="19050"/>
                <wp:wrapNone/>
                <wp:docPr id="18" name="Прямая соединительная линия 2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920" cy="361800"/>
                        </a:xfrm>
                        <a:prstGeom prst="line">
                          <a:avLst/>
                        </a:prstGeom>
                        <a:ln w="38160">
                          <a:solidFill>
                            <a:srgbClr val="ff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64.45pt,124.65pt" to="288.4pt,153.1pt" stroked="t" o:allowincell="f" style="position:absolute">
                <v:stroke color="red" weight="38160" joinstyle="round" endcap="flat"/>
                <v:fill o:detectmouseclick="t" on="false"/>
                <w10:wrap type="none"/>
              </v:line>
            </w:pict>
          </mc:Fallback>
        </mc:AlternateContent>
        <w:drawing>
          <wp:inline distT="0" distB="0" distL="0" distR="0">
            <wp:extent cx="3255645" cy="340995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5645" cy="3409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>
      <w:type w:val="nextPage"/>
      <w:pgSz w:w="11906" w:h="16838"/>
      <w:pgMar w:left="1701" w:right="850" w:gutter="0" w:header="0" w:top="709" w:footer="0" w:bottom="56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swiss"/>
    <w:pitch w:val="variable"/>
  </w:font>
  <w:font w:name="Times New Roman">
    <w:charset w:val="01"/>
    <w:family w:val="roman"/>
    <w:pitch w:val="variable"/>
  </w:font>
  <w:font w:name="Calibri Light">
    <w:charset w:val="01"/>
    <w:family w:val="swiss"/>
    <w:pitch w:val="variable"/>
  </w:font>
  <w:font w:name="RobotoMono-Regular">
    <w:charset w:val="01"/>
    <w:family w:val="roman"/>
    <w:pitch w:val="variable"/>
  </w:font>
  <w:font w:name="Tahoma">
    <w:charset w:val="01"/>
    <w:family w:val="swiss"/>
    <w:pitch w:val="variable"/>
  </w:font>
  <w:font w:name="Liberation Sans">
    <w:altName w:val="Arial"/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637" w:hanging="360"/>
      </w:pPr>
      <w:rPr/>
    </w:lvl>
    <w:lvl w:ilvl="1">
      <w:start w:val="1"/>
      <w:numFmt w:val="decimal"/>
      <w:lvlText w:val="%2."/>
      <w:lvlJc w:val="left"/>
      <w:pPr>
        <w:tabs>
          <w:tab w:val="num" w:pos="0"/>
        </w:tabs>
        <w:ind w:left="2233" w:hanging="390"/>
      </w:pPr>
      <w:rPr>
        <w:rFonts w:ascii="Times New Roman" w:hAnsi="Times New Roman" w:eastAsia="Times New Roman" w:cs="Times New Roman"/>
        <w:strike w:val="false"/>
        <w:dstrike w:val="fals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997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997" w:hanging="72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357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357" w:hanging="108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717" w:hanging="144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717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717" w:hanging="144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b59fc"/>
    <w:pPr>
      <w:widowControl/>
      <w:bidi w:val="0"/>
      <w:spacing w:before="120" w:after="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10426f"/>
    <w:pPr>
      <w:keepNext w:val="true"/>
      <w:keepLines/>
      <w:spacing w:before="200" w:after="0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ntstyle01" w:customStyle="1">
    <w:name w:val="fontstyle01"/>
    <w:qFormat/>
    <w:rsid w:val="00b75c03"/>
    <w:rPr>
      <w:rFonts w:ascii="RobotoMono-Regular" w:hAnsi="RobotoMono-Regular"/>
      <w:b w:val="false"/>
      <w:bCs w:val="false"/>
      <w:i w:val="false"/>
      <w:iCs w:val="false"/>
      <w:color w:val="000000"/>
      <w:sz w:val="16"/>
      <w:szCs w:val="16"/>
    </w:rPr>
  </w:style>
  <w:style w:type="character" w:styleId="2" w:customStyle="1">
    <w:name w:val="Заголовок 2 Знак"/>
    <w:uiPriority w:val="9"/>
    <w:semiHidden/>
    <w:qFormat/>
    <w:rsid w:val="0010426f"/>
    <w:rPr>
      <w:rFonts w:ascii="Calibri Light" w:hAnsi="Calibri Light" w:eastAsia="Times New Roman" w:cs="Times New Roman"/>
      <w:b/>
      <w:bCs/>
      <w:color w:val="5B9BD5"/>
      <w:sz w:val="26"/>
      <w:szCs w:val="26"/>
      <w:lang w:eastAsia="ru-RU"/>
    </w:rPr>
  </w:style>
  <w:style w:type="character" w:styleId="Style13" w:customStyle="1">
    <w:name w:val="Текст выноски Знак"/>
    <w:link w:val="BalloonText"/>
    <w:uiPriority w:val="99"/>
    <w:semiHidden/>
    <w:qFormat/>
    <w:rsid w:val="0028531b"/>
    <w:rPr>
      <w:rFonts w:ascii="Tahoma" w:hAnsi="Tahoma" w:eastAsia="Times New Roman" w:cs="Tahoma"/>
      <w:sz w:val="16"/>
      <w:szCs w:val="16"/>
      <w:lang w:eastAsia="ru-RU"/>
    </w:rPr>
  </w:style>
  <w:style w:type="character" w:styleId="Style14" w:customStyle="1">
    <w:name w:val="Абзац списка Знак"/>
    <w:link w:val="ListParagraph"/>
    <w:uiPriority w:val="34"/>
    <w:qFormat/>
    <w:rsid w:val="00c562b8"/>
    <w:rPr>
      <w:rFonts w:ascii="Times New Roman" w:hAnsi="Times New Roman" w:eastAsia="Times New Roman"/>
      <w:sz w:val="24"/>
      <w:szCs w:val="24"/>
      <w:vertAlign w:val="subscript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Noto Sans"/>
    </w:rPr>
  </w:style>
  <w:style w:type="paragraph" w:styleId="ListParagraph">
    <w:name w:val="List Paragraph"/>
    <w:basedOn w:val="Normal"/>
    <w:link w:val="Style14"/>
    <w:uiPriority w:val="34"/>
    <w:qFormat/>
    <w:rsid w:val="00b75c03"/>
    <w:pPr>
      <w:suppressAutoHyphens w:val="true"/>
      <w:spacing w:lineRule="atLeast" w:line="1" w:before="0" w:after="60"/>
      <w:ind w:hangingChars="1" w:leftChars="-1"/>
      <w:contextualSpacing/>
      <w:textAlignment w:val="top"/>
      <w:outlineLvl w:val="0"/>
    </w:pPr>
    <w:rPr>
      <w:position w:val="-1"/>
    </w:rPr>
  </w:style>
  <w:style w:type="paragraph" w:styleId="NormalWeb">
    <w:name w:val="Normal (Web)"/>
    <w:basedOn w:val="Normal"/>
    <w:uiPriority w:val="99"/>
    <w:semiHidden/>
    <w:unhideWhenUsed/>
    <w:qFormat/>
    <w:rsid w:val="00f76974"/>
    <w:pPr>
      <w:spacing w:beforeAutospacing="1" w:afterAutospacing="1"/>
      <w:jc w:val="left"/>
    </w:pPr>
    <w:rPr/>
  </w:style>
  <w:style w:type="paragraph" w:styleId="Standard" w:customStyle="1">
    <w:name w:val="Standard"/>
    <w:qFormat/>
    <w:rsid w:val="00ec461c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Andale Sans UI" w:cs="Tahoma"/>
      <w:color w:val="auto"/>
      <w:kern w:val="2"/>
      <w:sz w:val="24"/>
      <w:szCs w:val="24"/>
      <w:lang w:eastAsia="zh-CN" w:val="ru-RU" w:bidi="ar-SA"/>
    </w:rPr>
  </w:style>
  <w:style w:type="paragraph" w:styleId="BalloonText">
    <w:name w:val="Balloon Text"/>
    <w:basedOn w:val="Normal"/>
    <w:link w:val="Style13"/>
    <w:uiPriority w:val="99"/>
    <w:semiHidden/>
    <w:unhideWhenUsed/>
    <w:qFormat/>
    <w:rsid w:val="0028531b"/>
    <w:pPr>
      <w:spacing w:before="0" w:after="0"/>
    </w:pPr>
    <w:rPr>
      <w:rFonts w:ascii="Tahoma" w:hAnsi="Tahoma" w:cs="Tahoma"/>
      <w:sz w:val="16"/>
      <w:szCs w:val="16"/>
    </w:rPr>
  </w:style>
  <w:style w:type="numbering" w:styleId="Style17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39"/>
    <w:rsid w:val="004451a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image" Target="media/image4.png"/><Relationship Id="rId8" Type="http://schemas.openxmlformats.org/officeDocument/2006/relationships/image" Target="media/image6.png"/><Relationship Id="rId9" Type="http://schemas.openxmlformats.org/officeDocument/2006/relationships/image" Target="media/image4.png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<Relationship Id="rId14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46458D-6459-4AFF-8157-0B9927555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Application>LibreOffice/25.8.7.3$Linux_X86_64 LibreOffice_project/30742500f2d3eb4366ac312fa33d3dcabdb3eba5</Application>
  <AppVersion>15.0000</AppVersion>
  <Pages>13</Pages>
  <Words>2770</Words>
  <Characters>17577</Characters>
  <CharactersWithSpaces>20093</CharactersWithSpaces>
  <Paragraphs>278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2026-07-22T08:27:00Z</dcterms:created>
  <dc:creator>Вересова Юлия Васильевна</dc:creator>
  <dc:description/>
  <dc:language>ru-RU</dc:language>
  <cp:lastModifiedBy/>
  <cp:lastPrinted>2026-08-03T07:22:00Z</cp:lastPrinted>
  <dcterms:modified xsi:type="dcterms:W3CDTF">2026-08-06T12:35:32Z</dcterms:modified>
  <cp:revision>31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