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00" w:after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000000"/>
          <w:sz w:val="21"/>
          <w:u w:val="none"/>
          <w:em w:val="none"/>
        </w:rPr>
        <w:t>В</w:t>
      </w:r>
      <w:r>
        <w:rPr>
          <w:rFonts w:ascii="Times New Roman" w:hAnsi="Times New Roman"/>
          <w:b/>
          <w:i w:val="false"/>
          <w:strike w:val="false"/>
          <w:dstrike w:val="false"/>
          <w:outline w:val="false"/>
          <w:shadow w:val="false"/>
          <w:color w:val="000000"/>
          <w:sz w:val="21"/>
          <w:u w:val="none"/>
          <w:em w:val="none"/>
        </w:rPr>
        <w:t>ыполнение работ по устройству единого пункта управления (ЕПУ), а также по дооснащению инженерно-техническими системами обеспечения транспортной безопасности мостового сооружения на автомобильной дороге «Ханты-Мансийск — пгт. Талинка»</w:t>
      </w:r>
    </w:p>
    <w:p>
      <w:pPr>
        <w:pStyle w:val="Normal"/>
        <w:spacing w:before="600" w:after="10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600" w:after="100"/>
        <w:rPr>
          <w:b/>
          <w:sz w:val="30"/>
          <w:szCs w:val="30"/>
        </w:rPr>
      </w:pPr>
      <w:r>
        <w:rPr>
          <w:b/>
          <w:sz w:val="30"/>
          <w:szCs w:val="30"/>
        </w:rPr>
        <w:t>1. Общие сведения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 xml:space="preserve">Место выполнения работ: автомобильная дорога «Ханты-Мансийск — пгт. Талинка» регионального значения, Ханты-Мансийский автономный округ – Югра, в границах полосы отвода автомобильной дороги, на участке согласно условиям Задания. 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 xml:space="preserve">Сроки выполнения работ: работы выполняются с даты заключения договора по 07.12.2026. </w:t>
      </w:r>
      <w:r>
        <w:br w:type="page"/>
      </w:r>
    </w:p>
    <w:p>
      <w:pPr>
        <w:pStyle w:val="Heading1"/>
        <w:spacing w:before="0" w:after="180"/>
        <w:rPr/>
      </w:pPr>
      <w:r>
        <w:rPr/>
        <w:t>2. Предмет закупки и объём работ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Объектом закупки являются выполнение работ по устройству единого пункта управления (ЕПУ), а также по дооснащению инженерно-техническими системами обеспечения транспортной безопасности мостового сооружения на автомобильной дороге «Ханты-Мансийск — пгт. Талинка»:</w:t>
      </w:r>
    </w:p>
    <w:tbl>
      <w:tblPr>
        <w:tblW w:w="8800" w:type="dxa"/>
        <w:jc w:val="start"/>
        <w:tblInd w:w="107" w:type="dxa"/>
        <w:tblLayout w:type="fixed"/>
        <w:tblCellMar>
          <w:top w:w="60" w:type="dxa"/>
          <w:start w:w="100" w:type="dxa"/>
          <w:bottom w:w="60" w:type="dxa"/>
          <w:end w:w="100" w:type="dxa"/>
        </w:tblCellMar>
        <w:tblLook w:val="04a0" w:noHBand="0" w:noVBand="1" w:firstColumn="1" w:lastRow="0" w:lastColumn="0" w:firstRow="1"/>
      </w:tblPr>
      <w:tblGrid>
        <w:gridCol w:w="797"/>
        <w:gridCol w:w="4351"/>
        <w:gridCol w:w="1400"/>
        <w:gridCol w:w="998"/>
        <w:gridCol w:w="1254"/>
      </w:tblGrid>
      <w:tr>
        <w:trPr>
          <w:tblHeader w:val="true"/>
        </w:trPr>
        <w:tc>
          <w:tcPr>
            <w:tcW w:w="7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FFFFFF" w:fill="D9D9D9" w:val="clear"/>
            <w:vAlign w:val="center"/>
          </w:tcPr>
          <w:p>
            <w:pPr>
              <w:pStyle w:val="Normal"/>
              <w:spacing w:before="20" w:after="2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ОТИ</w:t>
            </w:r>
          </w:p>
        </w:tc>
        <w:tc>
          <w:tcPr>
            <w:tcW w:w="43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FFFFFF" w:fill="D9D9D9" w:val="clear"/>
            <w:vAlign w:val="center"/>
          </w:tcPr>
          <w:p>
            <w:pPr>
              <w:pStyle w:val="Normal"/>
              <w:spacing w:before="20" w:after="20"/>
              <w:rPr/>
            </w:pPr>
            <w:r>
              <w:rPr>
                <w:b/>
                <w:bCs/>
                <w:sz w:val="22"/>
                <w:szCs w:val="22"/>
              </w:rPr>
              <w:t>Наименование сооружения</w:t>
            </w:r>
          </w:p>
        </w:tc>
        <w:tc>
          <w:tcPr>
            <w:tcW w:w="14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FFFFFF" w:fill="D9D9D9" w:val="clear"/>
            <w:vAlign w:val="center"/>
          </w:tcPr>
          <w:p>
            <w:pPr>
              <w:pStyle w:val="Normal"/>
              <w:spacing w:before="20" w:after="2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Положение, км</w:t>
            </w:r>
          </w:p>
        </w:tc>
        <w:tc>
          <w:tcPr>
            <w:tcW w:w="9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FFFFFF" w:fill="D9D9D9" w:val="clear"/>
            <w:vAlign w:val="center"/>
          </w:tcPr>
          <w:p>
            <w:pPr>
              <w:pStyle w:val="Normal"/>
              <w:spacing w:before="20" w:after="2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Длина, м</w:t>
            </w:r>
          </w:p>
        </w:tc>
        <w:tc>
          <w:tcPr>
            <w:tcW w:w="12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FFFFFF" w:fill="D9D9D9" w:val="clear"/>
            <w:vAlign w:val="center"/>
          </w:tcPr>
          <w:p>
            <w:pPr>
              <w:pStyle w:val="Normal"/>
              <w:spacing w:before="20" w:after="2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Категория ОТИ</w:t>
            </w:r>
          </w:p>
        </w:tc>
      </w:tr>
      <w:tr>
        <w:trPr/>
        <w:tc>
          <w:tcPr>
            <w:tcW w:w="7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5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20" w:after="20"/>
              <w:rPr/>
            </w:pPr>
            <w:r>
              <w:rPr>
                <w:sz w:val="22"/>
                <w:szCs w:val="22"/>
              </w:rPr>
              <w:t>Мост через пр.Щучья на км 22+159 а/д г.Ханты-Мансийск - пгт.Талинка</w:t>
            </w:r>
          </w:p>
        </w:tc>
        <w:tc>
          <w:tcPr>
            <w:tcW w:w="140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/>
            </w:pPr>
            <w:r>
              <w:rPr>
                <w:sz w:val="22"/>
                <w:szCs w:val="22"/>
              </w:rPr>
              <w:t>22+159</w:t>
            </w:r>
          </w:p>
        </w:tc>
        <w:tc>
          <w:tcPr>
            <w:tcW w:w="9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0"/>
              </w:rPr>
              <w:t>345,73</w:t>
            </w:r>
          </w:p>
        </w:tc>
        <w:tc>
          <w:tcPr>
            <w:tcW w:w="125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before="20" w:after="20"/>
              <w:jc w:val="center"/>
              <w:rPr/>
            </w:pPr>
            <w:r>
              <w:rPr>
                <w:sz w:val="22"/>
                <w:szCs w:val="22"/>
              </w:rPr>
              <w:t>III</w:t>
            </w:r>
          </w:p>
        </w:tc>
      </w:tr>
    </w:tbl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</w:p>
    <w:p>
      <w:pPr>
        <w:pStyle w:val="Normal"/>
        <w:spacing w:lineRule="auto" w:line="276" w:before="60" w:after="60"/>
        <w:ind w:firstLine="709"/>
        <w:jc w:val="both"/>
        <w:rPr/>
      </w:pPr>
      <w:r>
        <w:rPr/>
        <w:t>Категория ОТИ — III (третья) в соответствии с Постановлением Правительства РФ от 28.11.2025 № 1915 «Об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категории» и Приказа Минтранса РФ, ФСБ РФ и МВД РФ от 5 марта 2010 г. № 52/112/134 «Об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средств». Категорирование каждого объекта подтверждается актом обследования и категорирования ОТИ, утверждённым в установленном порядке.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  <w:r>
        <w:br w:type="page"/>
      </w:r>
    </w:p>
    <w:p>
      <w:pPr>
        <w:pStyle w:val="Heading1"/>
        <w:spacing w:before="0" w:after="180"/>
        <w:rPr/>
      </w:pPr>
      <w:r>
        <w:rPr/>
        <w:t>3. Нормативные правовые акты и стандарты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Работы выполняются в соответствии с требованиями действующего законодательства Российской Федерации, в частности следующих нормативно-правовых актов, технических регламентов и национальных стандартов:</w:t>
      </w:r>
    </w:p>
    <w:p>
      <w:pPr>
        <w:pStyle w:val="ListParagraph"/>
        <w:numPr>
          <w:ilvl w:val="0"/>
          <w:numId w:val="4"/>
        </w:numPr>
        <w:spacing w:before="40" w:after="40"/>
        <w:jc w:val="both"/>
        <w:rPr/>
      </w:pPr>
      <w:r>
        <w:rPr/>
        <w:t>Федеральный закон от 09.02.2007 № 16-ФЗ «О транспортной безопасности»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Федеральный закон от 26.03.2003 № 35-ФЗ «Об электроэнергетике»;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Федеральный закон от 22.07.2008 № 123-ФЗ «Технический регламент о требованиях пожарной безопасности»;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Федеральный закон от 27.07.2006 № 149-ФЗ «Об информации, информационных технологиях и о защите информации»;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Федеральный закон от 27.07.2006 № 152-ФЗ «О персональных данных»;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Федеральный закон от 27.12.2002 № 184-ФЗ «О техническом регулировании»;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Постановление Правительства РФ от 21.12.2020 № 2201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дорожного хозяйства»;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Постановление Правительства РФ от 26.09.2016 N 969 «Об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Постановление Правительства РФ от 14.11.2022 № 2051 «Об утверждении Правил обращения со сведениями о результатах проведенной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а также со сведениями, содержащимися в программах обеспечения транспортной безопасности эксплуатантов (транспортных средств), планах и паспортах обеспечения транспортной безопасности объектов транспортной инфраструктуры и (или) транспортных средств и являющимися информацией ограниченного доступа, и признании утратившими силу некоторых актов Правительства Российской Федерации»;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Приказ Минтранса РФ № 52, ФСБ РФ № 112, МВД РФ № 134 от 05.03.2010 «Об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Приказ Минтранса РФ от 16.02.2011 № 56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Приказ Минэнерго России от 12.08.2022 № 811 «Об утверждении Правил технической эксплуатации электроустановок потребителей электрической энергии»;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 xml:space="preserve"> </w:t>
      </w:r>
      <w:r>
        <w:rPr/>
        <w:t>«ГОСТ Р 59639-2021. Национальный стандарт Российской Федерации. 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«ГОСТ Р 51558-2014. Национальный стандарт Российской Федерации. Средства и системы охранные телевизионные. Классификация. Общие технические требования. Методы испытаний»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«ГОСТ Р 53325-2012. Национальный стандарт Российской Федерации. Техника пожарная. Технические средства пожарной автоматики. Общие технические требования и методы испытаний»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«ГОСТ 15150-69. Межгосударственный стандарт.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«ГОСТ 14254-2015 (IEC 60529:2013). Межгосударственный стандарт. Степени защиты, обеспечиваемые оболочками (Код IP)»;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«ГОСТ 12.1.030-81. Государственный стандарт Союза ССР. Система стандартов безопасности труда. Электробезопасность. Защитное заземление. Зануление»;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«ГОСТ 30331 Межгосударственный стандарт. Электроустановки низковольтные.», комплекс;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«ГОСТ 34819-2021. Межгосударственный стандарт. Приборы осветительные. Светотехнические требования и методы испытаний»;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«СП 31-110-2003. Свод правил по проектированию и строительству. Проектирование и монтаж электроустановок жилых и общественных зданий»;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«СП 34.13330.2021. Свод правил. Автомобильные дороги. СНиП 2.05.02-85*»;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«СП 35.13330.2011. Свод правил. Мосты и трубы. Актуализированная редакция СНиП 2.05.03-84*»;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«СП 36.13330.2012. Свод правил. Магистральные трубопроводы. Актуализированная редакция СНиП 2.05.06-85*»;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«СП 52.13330.2016. Свод правил. Естественное и искусственное освещение. Актуализированная редакция СНиП 23-05-95*»;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«СП 76.13330.2016. Свод правил. Электротехнические устройства. Актуализированная редакция СНиП 3.05.06-85»;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«СП 77.13330.2016. Свод правил. Системы автоматизации. Актуализированная редакция СНиП 3.05.07-85»;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ПУЭ (Правила устройства электроустановок, 7-е изд.)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«ГОСТ Р ИСО/МЭК 27001-2021. Национальный стандарт Российской Федерации. Информационная технология. Методы и средства обеспечения безопасности. Системы менеджмента информационной безопасности. Требования».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</w:p>
    <w:p>
      <w:pPr>
        <w:pStyle w:val="Normal"/>
        <w:spacing w:lineRule="auto" w:line="276" w:before="60" w:after="60"/>
        <w:ind w:firstLine="720"/>
        <w:jc w:val="both"/>
        <w:rPr>
          <w:highlight w:val="green"/>
        </w:rPr>
      </w:pPr>
      <w:r>
        <w:rPr/>
        <w:t>Субподрядчик самостоятельно отслеживает изменения действующего законодательства в течение срока выполнения работ и обеспечивает соответствие выполненных работ актуальным требованиям. В случае наличия в Техническом задании ссылок на документы, утратившие силу, такие документы не подлежат применению.</w:t>
      </w:r>
      <w:r>
        <w:br w:type="page"/>
      </w:r>
    </w:p>
    <w:p>
      <w:pPr>
        <w:pStyle w:val="Heading1"/>
        <w:spacing w:before="0" w:after="180"/>
        <w:rPr/>
      </w:pPr>
      <w:r>
        <w:rPr/>
        <w:t>4. Характеристики объектов транспортной инфраструктуры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Автомобильная дорога «Ханты-Мансийск — пгт. Талинка» — дорога регионального значения III категории. На участке расположены 9 мостовых переходов, являющиеся объектами транспортной инфраструктуры третьей категории.</w:t>
      </w:r>
    </w:p>
    <w:p>
      <w:pPr>
        <w:pStyle w:val="Heading2"/>
        <w:rPr/>
      </w:pPr>
      <w:r>
        <w:rPr/>
        <w:t>4.1. Общие характеристики участка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 xml:space="preserve">Протяжённость участка 41,0 км. Тип покрытия — асфальтобетон. Характер движения — двухполосный, среднесуточная интенсивность движения (ориентировочно) 5000-6000 транспортных единиц в сутки. </w:t>
      </w:r>
    </w:p>
    <w:p>
      <w:pPr>
        <w:pStyle w:val="Heading2"/>
        <w:rPr/>
      </w:pPr>
      <w:r>
        <w:rPr/>
        <w:t>4.2. Географические и инженерные условия</w:t>
      </w:r>
    </w:p>
    <w:p>
      <w:pPr>
        <w:pStyle w:val="Heading2"/>
        <w:ind w:firstLine="708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Участок трассы пролегает по таёжной местности, заболоченной в нижних отметках, с пересечением малых водотоков (протоки Щучья, Байбалаковская, Ручей Большая Речка, Малая Речка). Все пересечения водотоков — в створе существующих мостовых сооружений; внеполосовые пересечения не предусмотрены. 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140"/>
        <w:ind w:firstLine="708"/>
        <w:rPr/>
      </w:pPr>
      <w:r>
        <w:rPr/>
        <w:t>5. Требования к условиям и порядку исполнения работ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Все строительно-монтажные или монтажные, электромонтажные и телекоммуникационные и иные работы, размещение любых опор, фундаментов, блок-контейнера, мачт, кабельных трасс и заземляющих устройств, иного оборудования должны выполняться исключительно в границах полосы отвода автомобильной дороги «г. Ханты-Мансийск — пгт. Талинка», в связи с чем, в том числе запрещается: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прокладывать оптические и контрольные кабели через земельные участки, не относящиеся к полосе отвода;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организовывать временные строительные площадки и склады за пределами полосы отвода.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В случае, если решения требуют временного размещения строительной техники и материалов за пределами полосы отвода, такие размещения согласуются отдельно с землепользователями силами и за счёт подрядчика и не являются основанием для изменения цены договора.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Субподрядчик при выполнении работ обеспечивает: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организацию охраны труда, пожарной и экологической безопасности на строительной площадке;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ведение журнала производства работ, актирование скрытых работ с участием представителя заказчика (технический надзор), фотофиксацию скрытых работ;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страхование работ и ответственности в соответствии с требованиями действующего гражданского и иного законодательства.</w:t>
      </w:r>
    </w:p>
    <w:p>
      <w:pPr>
        <w:pStyle w:val="Heading2"/>
        <w:rPr>
          <w:highlight w:val="yellow"/>
        </w:rPr>
      </w:pPr>
      <w:r>
        <w:rPr>
          <w:highlight w:val="yellow"/>
        </w:rPr>
      </w:r>
      <w:r>
        <w:br w:type="page"/>
      </w:r>
    </w:p>
    <w:p>
      <w:pPr>
        <w:pStyle w:val="Heading1"/>
        <w:spacing w:before="0" w:after="180"/>
        <w:rPr/>
      </w:pPr>
      <w:r>
        <w:rPr/>
        <w:t>6. Требования к подсистемам ИТСОТБ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 xml:space="preserve">На ОТИ (III категория) должны быть созданы следующие подсистемы инженерно-технических средств обеспечения транспортной безопасности (ИТСОТБ), руководствуясь в том числе положениями Постановления Правительства РФ от 21.12.2020 № 2201: </w:t>
      </w:r>
    </w:p>
    <w:p>
      <w:pPr>
        <w:pStyle w:val="Heading2"/>
        <w:rPr/>
      </w:pPr>
      <w:r>
        <w:rPr/>
        <w:t>6.1. Система телевизионного наблюдения (СТН)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Назначение: круглосуточный видеоконтроль подходов к мостовому сооружению, проезжей части мостового полотна, оборудованных для осмотра, и прилегающих участков автомобильной дороги; сохранение архива видеоданных (не менее 15 суток; дублирование архива в ЕПУ). Дополнительная информация приведена в Приложениях №1.1-1.12 к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>6.2. Система контроля и управления доступом (СКУД/СКД)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Назначение: контроль доступа в блок-контейнер и к оборудованию, регистрация событий прохода, интеграция с ССОИ и СОС.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контроллер двухпроводной линии — не менее 1 единицы на ОТИ; длина двухпроводной линии на один контроллер — не менее 1200 м; напряжение питания — от 10,2 до 28,4 В постоянного тока;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система контроля и управления доступом должна предусматривать для каждой двери технологического помещения механизм срабатывания при открытии двери, питание по двухпроводной линии, защиту от ложных срабатываний;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система контроля и управления доступом должна иметь механизм контроля разрушения остекления;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блок бесперебойного питания с аккумуляторной батареей, обеспечивающий работу СКУД не менее 4 часов в отсутствие сетевого электропитания.</w:t>
      </w:r>
    </w:p>
    <w:p>
      <w:pPr>
        <w:pStyle w:val="Normal"/>
        <w:spacing w:before="40" w:after="40"/>
        <w:ind w:firstLine="708"/>
        <w:jc w:val="both"/>
        <w:rPr/>
      </w:pPr>
      <w:r>
        <w:rPr/>
        <w:t>Дополнительная информация приведена в Приложениях №1.1-1.12 к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 xml:space="preserve">6.3. Система охранной сигнализации (СОС) 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Назначение: обнаружение несанкционированного проникновения в технические помещения ОТИ, блок-контейнер и шкафы оборудования; выдача сигнала на пульт централизованного наблюдения ЕПУ.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Приёмно-контрольный прибор охранно-пожарный — не менее 2 тревожных линий; количество контрольных линий — не менее 8; способ реагирования устройства - адресный принцип работы либо пороговый;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источники бесперебойного питания с ёмкостью аккумуляторов, обеспечивающих работу не менее 24 часов (в составе подсистемы сигнализации).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Дополнительная информация приведена в Приложениях №1.1-1.12 к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>6.4. Система сбора и обработки информации (ССОИ)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ССОИ объединяет все подсистемы ИТСОТБ в единое информационное пространство и обеспечивает: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централизованный мониторинг состояния оборудования всех 9 ОТИ в режиме реального времени из ЕПУ;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приём, обработку и отображение тревожных событий от СТН, СКУД, СОС, СПС, систем аварийного электроснабжения;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 xml:space="preserve">ведение электронных журналов событий с указанием даты, времени, источника, типа и параметров события; 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формирование отчётов по событиям, действиям операторов и техническому состоянию оборудования;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интеграция с видеоаналитикой;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разграничение прав доступа пользователей (оператор, администратор);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защита ССОИ от несанкционированного доступа.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В качестве программной платформы ССОИ и видеоаналитики применяется программное обеспечение ССОИ, характеристики которого указаны в извещении, сформированном с использованием единой информационной системы.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Дополнительная информация приведена в Приложениях №1.1-1.12 к Техническому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>6.5. Система оповещения (СО) и экстренной остановки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Назначение: оповещение водителей и пешеходов о необходимости остановки транспортных средств, эвакуации с моста в случае угрозы совершения акта незаконного вмешательства; передача голосовых сообщений диспетчера ЕПУ. Система должна иметь возможность передачи заранее записанных сообщений и живого голоса диспетчера и обеспечивать интеграцию с ССОИ и СТН для запуска сценариев оповещения автоматически при тревожных событиях.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Дополнительная информация приведена в Приложениях №1.1-1.12 к Техническому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>6.6. Система передачи данных и информации (СПДИ)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СПДИ обеспечивает передачу данных всех подсистем ИТСОТБ от ОТИ к ЕПУ по выделенной волоконно-оптической линии связи (магистральная ВОЛС — см. раздел 9 настоящего ТЗ) с применением управляемых коммутаторов.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На каждом ОТИ — коммутатор управляемый промышленного исполнения, не менее 8 портов Ethernet для подключения магистральной ВОЛС.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В качестве системы мониторинга и управления сетевым оборудованием применяется программное обеспечение, обеспечивающее централизованный мониторинг состояния коммутаторов, сбор и отображение метрик, конфигурирование через SNMP v3 и протоколы NETCONF/SSH, построение карты сети.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Дополнительная информация приведена в Приложениях №1.1-1.12 к Техническому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>6.7. Аварийное электроснабжение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 xml:space="preserve">Все подсистемы ИТСОТБ каждого ОТИ обеспечиваются резервным электроснабжением от источников бесперебойного питания (ИБП) с ёмкостью аккумуляторов, обеспечивающей работу подсистем в случае отсутствия электропитания. Источники резервирования питания (источник бесперебойного питания) применяется на пунктах управления (и едином пункте управления соответственно) для обеспечения электропитания оборудования средств технической охраны в момент отсутствия внешнего электропитания. Для пунктов управления предусмотрено резервирование в пределах 3000 ватт и для единого пункта управления не менее 10000 ватт. Характеристики ИБП определены в Приложении № 3 к ТЗ «Технические характеристики оборудования». 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Дополнительная информация приведена в Приложениях №1.1-1.12 к Техническому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  <w:r>
        <w:br w:type="page"/>
      </w:r>
    </w:p>
    <w:p>
      <w:pPr>
        <w:pStyle w:val="Heading1"/>
        <w:spacing w:before="0" w:after="180"/>
        <w:rPr/>
      </w:pPr>
      <w:r>
        <w:rPr/>
        <w:t>7. Единый пункт управления (ЕПУ)</w:t>
      </w:r>
    </w:p>
    <w:p>
      <w:pPr>
        <w:pStyle w:val="Heading2"/>
        <w:rPr/>
      </w:pPr>
      <w:r>
        <w:rPr/>
        <w:t>7.1. Размещение и назначение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Единый пункт управления (ЕПУ) размещается в границах полосы отвода автомобильной дороги у ОТИ № 1 (Мост через пр. Щучья, км 22+159) — ближайшей к г. Ханты-Мансийску точке трассы, обеспечивающей минимальные сроки прибытия дежурных сил реагирования. ЕПУ представляет собой модульный блок-контейнер заводского изготовления с автономным тепло-, водо- и электроснабжением.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ЕПУ обеспечивает: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централизованный круглосуточный мониторинг состояния всех 9 ОТИ;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приём тревожных сигналов и их отработку диспетчером;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видеонаблюдение с камер всех ОТИ в реальном времени;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архивирование видеоданных и журналов событий;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взаимодействие с уполномоченными органами (МВД, ФСБ, МЧС, Ространснадзор) в установленном порядке;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администрирование и техническое обслуживание всей инфраструктуры ИТСОТБ.</w:t>
      </w:r>
    </w:p>
    <w:p>
      <w:pPr>
        <w:pStyle w:val="Heading2"/>
        <w:rPr/>
      </w:pPr>
      <w:r>
        <w:rPr/>
        <w:t>7.2. Конструкция блок-контейнера ЕПУ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Блок-контейнер ЕПУ — модульного исполнения, с утеплением. Размеры внутренних помещений: определяются по нормам установленным соответствующими документами в части гигиены труда.</w:t>
      </w:r>
    </w:p>
    <w:p>
      <w:pPr>
        <w:pStyle w:val="Heading2"/>
        <w:rPr/>
      </w:pPr>
      <w:r>
        <w:rPr/>
        <w:t>7.3. Оборудование и программное обеспечение серверной ЕПУ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Дополнительная информация приведена в Приложениях №1.1-1.12 к Техническому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>7.4. Функциональная схема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ЕПУ — иерархический центр мониторинга по принципу «9 ОТИ → магистральная ВОЛС → коммутаторы ядра ЕПУ → серверы ССОИ». Резервирование — на уровне коммутаторов, серверов, электропитания.</w:t>
      </w:r>
    </w:p>
    <w:p>
      <w:pPr>
        <w:pStyle w:val="Heading2"/>
        <w:rPr/>
      </w:pPr>
      <w:r>
        <w:rPr/>
        <w:t>7.5. Надёжность и автономность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 xml:space="preserve">Автономность ЕПУ при пропадании внешнего электропитания за счёт аккумуляторных блоков ИБП. </w:t>
      </w:r>
    </w:p>
    <w:p>
      <w:pPr>
        <w:pStyle w:val="Heading2"/>
        <w:rPr/>
      </w:pPr>
      <w:r>
        <w:rPr/>
        <w:t>7.6. Ключевые показатели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Круглосуточный режим работы — 24/7/365;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Глубина видеоархива — не менее 15 суток;</w:t>
      </w:r>
    </w:p>
    <w:p>
      <w:pPr>
        <w:pStyle w:val="Normal"/>
        <w:spacing w:before="40" w:after="40"/>
        <w:jc w:val="both"/>
        <w:rPr/>
      </w:pPr>
      <w:r>
        <w:rPr/>
        <w:t>Доступность ЕПУ — не ниже 99,5 % (простой — не более 44 часов в год)</w:t>
      </w:r>
      <w:r>
        <w:br w:type="page"/>
      </w:r>
    </w:p>
    <w:p>
      <w:pPr>
        <w:pStyle w:val="Heading1"/>
        <w:spacing w:before="0" w:after="180"/>
        <w:rPr/>
      </w:pPr>
      <w:r>
        <w:rPr/>
        <w:t xml:space="preserve">8. Линия электроснабжения, волоконно-оптическая линия связи, </w:t>
      </w:r>
      <w:r>
        <w:rPr>
          <w:bCs w:val="false"/>
        </w:rPr>
        <w:t>освещение и кабельная инфраструктура ОТИ</w:t>
      </w:r>
    </w:p>
    <w:p>
      <w:pPr>
        <w:pStyle w:val="Heading2"/>
        <w:rPr/>
      </w:pPr>
      <w:r>
        <w:rPr/>
        <w:t>8.1. Линия электроснабжения (не выполняется в рамках настоящего технического задания)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Обеспечение электроснабжения 9 ОТИ и ЕПУ осуществляется в габаритах и с показателями качества, установленными проектными условиями на технологическое присоединение, выданными сетевой организацией в соответствии с Постановлением Правительства РФ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 Допускается электроснабжение отдельных ОТИ обособленно.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Источник питания (точка присоединения к внешним сетям) определяется техническими условиями на технологическое присоединение.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Дополнительная информация приведена в Приложениях №1.1-1.12 к Техническому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 xml:space="preserve">8.2. Волоконно-оптическая линия связи (ВОЛС) (не выполняется в рамках настоящего технического задания) </w:t>
      </w:r>
    </w:p>
    <w:p>
      <w:pPr>
        <w:pStyle w:val="Normal"/>
        <w:jc w:val="both"/>
        <w:rPr/>
      </w:pPr>
      <w:r>
        <w:rPr/>
        <w:tab/>
        <w:t xml:space="preserve">Магистральная ВОЛС соединяет ЕПУ с каждым из 9 ОТИ по топологии «дерево» либо «кольцо» (с обеспечением резервного оптического пути). 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Переходы через подмостовое пространство выполняются по существующим пешеходным элементам мостовых сооружений (ходовым балкам / служебным проходам); самостоятельные внеплоскостные переходы через водотоки не создаются.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Подробная информация о типе и конструкции кабеля, о трассе прокладки, об измерении и приёмке ВОЛС приведена в Приложениях №1.1-1.12 к Техническому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инфраструктуры».</w:t>
      </w:r>
    </w:p>
    <w:p>
      <w:pPr>
        <w:pStyle w:val="Heading2"/>
        <w:rPr/>
      </w:pPr>
      <w:r>
        <w:rPr/>
        <w:t>8.3. Освещение и кабельная инфраструктура ОТИ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На каждом ОТИ устанавливается комплекс наружного освещения.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Подробная информация об оборудовании, требованиях к нему, о порядке и способах установки приведена в Приложениях №1.1-1.12 к Техническому заданию 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инфраструктуры», в том числе в Томе 9 «Электроосвещение охранное».</w:t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76" w:before="0" w:after="180"/>
        <w:ind w:hanging="0" w:start="0"/>
        <w:outlineLvl w:val="0"/>
        <w:rPr>
          <w:b/>
          <w:bCs/>
          <w:sz w:val="26"/>
          <w:szCs w:val="26"/>
        </w:rPr>
      </w:pPr>
      <w:r>
        <w:rPr>
          <w:b/>
          <w:bCs/>
          <w:sz w:val="30"/>
          <w:szCs w:val="30"/>
        </w:rPr>
        <w:t xml:space="preserve">9. </w:t>
      </w:r>
      <w:r>
        <w:rPr>
          <w:b/>
          <w:bCs/>
          <w:sz w:val="26"/>
          <w:szCs w:val="26"/>
        </w:rPr>
        <w:t>Особенности производства работ в условиях ХМАО-Югры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Подрядчик при планировании работ учитывает:</w:t>
      </w:r>
    </w:p>
    <w:p>
      <w:pPr>
        <w:pStyle w:val="Normal"/>
        <w:numPr>
          <w:ilvl w:val="0"/>
          <w:numId w:val="2"/>
        </w:numPr>
        <w:spacing w:lineRule="auto" w:line="276" w:before="40" w:after="40"/>
        <w:jc w:val="both"/>
        <w:rPr/>
      </w:pPr>
      <w:r>
        <w:rPr/>
        <w:t>короткий летне-осенний сезон (июль–октябрь) для земляных работ, работ по установке опор и прокладке кабелей;</w:t>
      </w:r>
    </w:p>
    <w:p>
      <w:pPr>
        <w:pStyle w:val="Normal"/>
        <w:numPr>
          <w:ilvl w:val="0"/>
          <w:numId w:val="2"/>
        </w:numPr>
        <w:spacing w:lineRule="auto" w:line="276" w:before="40" w:after="40"/>
        <w:jc w:val="both"/>
        <w:rPr/>
      </w:pPr>
      <w:r>
        <w:rPr/>
        <w:t>ограниченные возможности транспорта и подвоза материалов в межсезонье (распутица);</w:t>
      </w:r>
    </w:p>
    <w:p>
      <w:pPr>
        <w:pStyle w:val="Normal"/>
        <w:numPr>
          <w:ilvl w:val="0"/>
          <w:numId w:val="2"/>
        </w:numPr>
        <w:spacing w:lineRule="auto" w:line="276" w:before="40" w:after="40"/>
        <w:jc w:val="both"/>
        <w:rPr/>
      </w:pPr>
      <w:r>
        <w:rPr/>
        <w:t>необходимость выполнения основной части ЭМР (электромонтажные работы) и ПНР (пусконаладочные работы) до устойчивых отрицательных температур (ноябрь);</w:t>
      </w:r>
    </w:p>
    <w:p>
      <w:pPr>
        <w:pStyle w:val="Normal"/>
        <w:numPr>
          <w:ilvl w:val="0"/>
          <w:numId w:val="2"/>
        </w:numPr>
        <w:spacing w:lineRule="auto" w:line="276" w:before="40" w:after="40"/>
        <w:jc w:val="both"/>
        <w:rPr/>
      </w:pPr>
      <w:r>
        <w:rPr/>
        <w:t>необходимость организации временного обеспечения мобильной связи, бытовок для персонала, медицинского обслуживания;</w:t>
      </w:r>
    </w:p>
    <w:p>
      <w:pPr>
        <w:pStyle w:val="Normal"/>
        <w:numPr>
          <w:ilvl w:val="0"/>
          <w:numId w:val="2"/>
        </w:numPr>
        <w:spacing w:lineRule="auto" w:line="276" w:before="40" w:after="40"/>
        <w:jc w:val="both"/>
        <w:rPr/>
      </w:pPr>
      <w:r>
        <w:rPr/>
        <w:t>согласование закрытий/сужений проезжей части автомобильной дороги с ГИБДД и балансодержателем дороги в соответствии с проектом организации дорожного движения.</w:t>
      </w:r>
      <w:r>
        <w:br w:type="page"/>
      </w:r>
    </w:p>
    <w:p>
      <w:pPr>
        <w:pStyle w:val="Heading1"/>
        <w:spacing w:before="0" w:after="180"/>
        <w:rPr/>
      </w:pPr>
      <w:r>
        <w:rPr/>
        <w:t>10. Сдача-приёмка и испытания</w:t>
      </w:r>
    </w:p>
    <w:p>
      <w:pPr>
        <w:pStyle w:val="Heading2"/>
        <w:rPr/>
      </w:pPr>
      <w:r>
        <w:rPr/>
        <w:t>10.1. Состав испытаний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При вводе объектов в эксплуатацию проводятся следующие виды испытаний: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пусконаладочные испытания оборудования каждой подсистемы ИТСОТБ (с оформлением актов);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комплексные испытания ИТСОТБ с имитацией нештатных ситуаций и контролем срабатывания подсистем (СТН, СКУД, СОС, СПС, СО, СПДИ) и их взаимодействия с ССОИ ЕПУ;</w:t>
      </w:r>
    </w:p>
    <w:p>
      <w:pPr>
        <w:pStyle w:val="ListParagraph"/>
        <w:spacing w:before="40" w:after="40"/>
        <w:jc w:val="both"/>
        <w:rPr/>
      </w:pPr>
      <w:r>
        <w:rPr/>
      </w:r>
    </w:p>
    <w:p>
      <w:pPr>
        <w:pStyle w:val="Heading2"/>
        <w:rPr/>
      </w:pPr>
      <w:r>
        <w:rPr/>
        <w:t>10.2. Ввод в эксплуатацию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Ввод объектов в эксплуатацию оформляется актами, подписанными комиссией с участием заказчика, подрядчика, представителей надзорных органов (по компетенции). К приёмке предъявляется исполнительная документация в составе, установленном нормативными документами, в том числе: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акты освидетельствования скрытых работ, акты промежуточной приёмки ответственных конструкций;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общий журнал работ;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паспорта, сертификаты и декларации соответствия на оборудование и материалы;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протоколы испытаний, ведомости смонтированного оборудования, кабельные журналы;</w:t>
      </w:r>
    </w:p>
    <w:p>
      <w:pPr>
        <w:pStyle w:val="ListParagraph"/>
        <w:numPr>
          <w:ilvl w:val="0"/>
          <w:numId w:val="2"/>
        </w:numPr>
        <w:spacing w:before="40" w:after="40"/>
        <w:jc w:val="both"/>
        <w:rPr/>
      </w:pPr>
      <w:r>
        <w:rPr/>
        <w:t>комплект эксплуатационной документации (руководство по эксплуатации, инструкции для операторов, регламенты ТО).</w:t>
      </w:r>
    </w:p>
    <w:p>
      <w:pPr>
        <w:pStyle w:val="Heading2"/>
        <w:rPr/>
      </w:pPr>
      <w:r>
        <w:rPr/>
        <w:t>10.3. Инструктаж персонала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  <w:t>Подрядчик проводит инструктаж эксплуатационного персонала заказчика: операторов ЕПУ, инженеров-техников, администраторов ПО ССОИ и иных лиц, определённых заказчиком. Программа инструктажа включает теоретическую и практическую часть с проверкой полученных специалистами знаний и с документальной фиксацией имеющихся результатов инструктажа.</w:t>
      </w:r>
      <w:r>
        <w:br w:type="page"/>
      </w:r>
    </w:p>
    <w:p>
      <w:pPr>
        <w:pStyle w:val="Heading1"/>
        <w:spacing w:before="0" w:after="180"/>
        <w:rPr/>
      </w:pPr>
      <w:r>
        <w:rPr/>
        <w:t>11. Заключительные положения</w:t>
      </w:r>
    </w:p>
    <w:p>
      <w:pPr>
        <w:pStyle w:val="Normal"/>
        <w:spacing w:lineRule="auto" w:line="276" w:before="60" w:after="60"/>
        <w:ind w:firstLine="709"/>
        <w:jc w:val="both"/>
        <w:rPr/>
      </w:pPr>
      <w:r>
        <w:rPr/>
        <w:t xml:space="preserve">Предложение эквивалентных товаров на этапе подачи заявки не допускается. Подрядчиком использованы (приложение № 2 к Техническому заданию) в </w:t>
      </w:r>
      <w:r>
        <w:rPr/>
        <w:t xml:space="preserve">ТЗ </w:t>
      </w:r>
      <w:r>
        <w:rPr/>
        <w:t>указания на товарный знак без сопровождения слов "или эквивалент" на основании исключения, предусмотернного пп. "в" п. 3 ч. 6.1. ст. 3 Федерального закона от 18.07.2011 N 223-ФЗ "О закупках товаров, работ, услуг отдельными видами юридических лиц".</w:t>
      </w:r>
    </w:p>
    <w:p>
      <w:pPr>
        <w:pStyle w:val="Normal"/>
        <w:spacing w:lineRule="auto" w:line="276"/>
        <w:ind w:firstLine="709"/>
        <w:jc w:val="both"/>
        <w:rPr/>
      </w:pPr>
      <w:r>
        <w:rPr/>
        <w:t>На участках пересечения и сближения трассы с коммуникациями особой важности и повышенной опасности (магистральные газопроводы, нефте- и продуктопроводы, магистральные линии связи и электропередачи и т. п.) работы производятся по согласованию с владельцами таких коммуникаций и в их охранных зонах — в соответствии с их техническими условиями и требованиями безопасности. Получение указанных согласований обеспечивается Исполнителем по поручению Заказчика (Подрядчика). До получения согласований исполнение договора в соответствующей части приостанавливается; срок выполнения работ продлевается на период получения согласований.</w:t>
      </w:r>
    </w:p>
    <w:p>
      <w:pPr>
        <w:pStyle w:val="Normal"/>
        <w:spacing w:lineRule="auto" w:line="276"/>
        <w:ind w:firstLine="709"/>
        <w:jc w:val="both"/>
        <w:rPr/>
      </w:pPr>
      <w:r>
        <w:rPr/>
        <w:t>Территориальное расположение оборудования ЕПУ подлежит пересмотру в составе обследования с выдачей заключения о применении централизованной и/или децентрализованной формы размешения оборудования ЕПУ</w:t>
      </w:r>
    </w:p>
    <w:p>
      <w:pPr>
        <w:pStyle w:val="Normal"/>
        <w:spacing w:lineRule="auto" w:line="360" w:before="60" w:after="60"/>
        <w:ind w:firstLine="709"/>
        <w:jc w:val="both"/>
        <w:rPr/>
      </w:pPr>
      <w:r>
        <w:rPr/>
      </w:r>
      <w:r>
        <w:br w:type="page"/>
      </w:r>
    </w:p>
    <w:p>
      <w:pPr>
        <w:pStyle w:val="Normal"/>
        <w:spacing w:before="0" w:after="0"/>
        <w:jc w:val="end"/>
        <w:rPr/>
      </w:pPr>
      <w:r>
        <w:rPr/>
        <w:t>Приложение №1.1. к Техническому заданию</w:t>
      </w:r>
    </w:p>
    <w:p>
      <w:pPr>
        <w:pStyle w:val="Normal"/>
        <w:jc w:val="center"/>
        <w:rPr/>
      </w:pPr>
      <w:r>
        <w:rPr/>
        <w:t xml:space="preserve">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 </w:t>
      </w:r>
    </w:p>
    <w:p>
      <w:pPr>
        <w:pStyle w:val="Normal"/>
        <w:jc w:val="center"/>
        <w:rPr/>
      </w:pPr>
      <w:r>
        <w:rPr/>
        <w:t>Том 1. Единый пункт управления (ЕПУ)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</w:p>
    <w:p>
      <w:pPr>
        <w:pStyle w:val="Normal"/>
        <w:spacing w:lineRule="auto" w:line="276" w:before="60" w:after="60"/>
        <w:ind w:firstLine="720"/>
        <w:jc w:val="center"/>
        <w:rPr/>
      </w:pPr>
      <w:r>
        <w:rPr/>
        <w:t>( приведен отдельным документам в формате «.docx»)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t>Приложение №1.2. к Техническому заданию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t xml:space="preserve">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 </w:t>
      </w:r>
    </w:p>
    <w:p>
      <w:pPr>
        <w:pStyle w:val="Normal"/>
        <w:jc w:val="center"/>
        <w:rPr/>
      </w:pPr>
      <w:r>
        <w:rPr/>
        <w:t>Том 1.2. Проект организации работ.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</w:p>
    <w:p>
      <w:pPr>
        <w:pStyle w:val="Normal"/>
        <w:spacing w:lineRule="auto" w:line="276" w:before="60" w:after="60"/>
        <w:ind w:firstLine="720"/>
        <w:jc w:val="center"/>
        <w:rPr/>
      </w:pPr>
      <w:r>
        <w:rPr/>
        <w:t>( приведен отдельным документам в формате «.docx»)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t>Приложение №1.3. к Техническому заданию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center"/>
        <w:rPr/>
      </w:pPr>
      <w:r>
        <w:rPr/>
        <w:t xml:space="preserve">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 </w:t>
      </w:r>
    </w:p>
    <w:p>
      <w:pPr>
        <w:pStyle w:val="Normal"/>
        <w:jc w:val="center"/>
        <w:rPr/>
      </w:pPr>
      <w:r>
        <w:rPr/>
        <w:t>Том 3. Укрупнённый перечень видов работ.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</w:p>
    <w:p>
      <w:pPr>
        <w:pStyle w:val="Normal"/>
        <w:spacing w:lineRule="auto" w:line="276" w:before="60" w:after="60"/>
        <w:ind w:firstLine="720"/>
        <w:jc w:val="center"/>
        <w:rPr/>
      </w:pPr>
      <w:r>
        <w:rPr/>
        <w:t>( приведен отдельным документам в формате «.docx») — версия для Объекта 1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t>Приложение №1.4. к Техническому заданию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t xml:space="preserve">«Проектно-технические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инфраструктуры» </w:t>
      </w:r>
    </w:p>
    <w:p>
      <w:pPr>
        <w:pStyle w:val="Normal"/>
        <w:jc w:val="center"/>
        <w:rPr/>
      </w:pPr>
      <w:r>
        <w:rPr/>
        <w:t>Том 11. Требования к ИД, регламентам и программе инструктажа.</w:t>
      </w:r>
    </w:p>
    <w:p>
      <w:pPr>
        <w:pStyle w:val="Normal"/>
        <w:spacing w:lineRule="auto" w:line="276" w:before="60" w:after="60"/>
        <w:ind w:firstLine="720"/>
        <w:jc w:val="both"/>
        <w:rPr/>
      </w:pPr>
      <w:r>
        <w:rPr/>
      </w:r>
    </w:p>
    <w:p>
      <w:pPr>
        <w:pStyle w:val="Normal"/>
        <w:spacing w:lineRule="auto" w:line="276" w:before="60" w:after="60"/>
        <w:ind w:firstLine="720"/>
        <w:jc w:val="center"/>
        <w:rPr/>
      </w:pPr>
      <w:r>
        <w:rPr/>
        <w:t>( приведен отдельным документам в формате «.docx»)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t>Приложение №2 к Техническому заданию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850"/>
        <w:jc w:val="center"/>
        <w:rPr/>
      </w:pPr>
      <w:r>
        <w:rPr/>
        <w:t>Технические характеристики оборудования</w:t>
      </w:r>
    </w:p>
    <w:p>
      <w:pPr>
        <w:pStyle w:val="Normal"/>
        <w:ind w:firstLine="850"/>
        <w:jc w:val="center"/>
        <w:rPr/>
      </w:pPr>
      <w:r>
        <w:rPr/>
      </w:r>
    </w:p>
    <w:p>
      <w:pPr>
        <w:pStyle w:val="Normal"/>
        <w:ind w:firstLine="850"/>
        <w:jc w:val="center"/>
        <w:rPr/>
      </w:pPr>
      <w:r>
        <w:rPr/>
        <w:t>(прилагается в структурированной форме)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76" w:before="60" w:after="60"/>
        <w:ind w:firstLine="720"/>
        <w:jc w:val="center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sz w:val="18"/>
        <w:szCs w:val="18"/>
      </w:rPr>
    </w:pPr>
    <w:r>
      <w:rPr>
        <w:i/>
        <w:iCs/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sz w:val="18"/>
        <w:szCs w:val="18"/>
      </w:rPr>
    </w:pPr>
    <w:r>
      <w:rPr>
        <w:i/>
        <w:iCs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—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—"/>
      <w:lvlJc w:val="start"/>
      <w:pPr>
        <w:tabs>
          <w:tab w:val="num" w:pos="0"/>
        </w:tabs>
        <w:ind w:star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semiHidden="1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widowControl/>
      <w:suppressAutoHyphens w:val="true"/>
      <w:bidi w:val="0"/>
      <w:spacing w:lineRule="auto" w:line="276" w:before="360" w:after="18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30"/>
      <w:szCs w:val="30"/>
      <w:lang w:val="ru-RU" w:eastAsia="ru-RU" w:bidi="ar-SA"/>
    </w:rPr>
  </w:style>
  <w:style w:type="paragraph" w:styleId="Heading2">
    <w:name w:val="heading 2"/>
    <w:next w:val="Normal"/>
    <w:link w:val="21"/>
    <w:qFormat/>
    <w:pPr>
      <w:widowControl/>
      <w:suppressAutoHyphens w:val="true"/>
      <w:bidi w:val="0"/>
      <w:spacing w:lineRule="auto" w:line="276" w:before="280" w:after="14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Heading3">
    <w:name w:val="heading 3"/>
    <w:next w:val="Normal"/>
    <w:link w:val="3"/>
    <w:qFormat/>
    <w:pPr>
      <w:widowControl/>
      <w:suppressAutoHyphens w:val="true"/>
      <w:bidi w:val="0"/>
      <w:spacing w:lineRule="auto" w:line="276" w:before="200" w:after="12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Heading4">
    <w:name w:val="heading 4"/>
    <w:next w:val="Normal"/>
    <w:link w:val="4"/>
    <w:qFormat/>
    <w:pPr>
      <w:widowControl/>
      <w:suppressAutoHyphens w:val="true"/>
      <w:bidi w:val="0"/>
      <w:spacing w:lineRule="auto" w:line="276" w:before="0" w:after="0"/>
      <w:jc w:val="star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ru-RU" w:eastAsia="ru-RU" w:bidi="ar-SA"/>
    </w:rPr>
  </w:style>
  <w:style w:type="paragraph" w:styleId="Heading5">
    <w:name w:val="heading 5"/>
    <w:next w:val="Normal"/>
    <w:link w:val="5"/>
    <w:qFormat/>
    <w:pPr>
      <w:widowControl/>
      <w:suppressAutoHyphens w:val="true"/>
      <w:bidi w:val="0"/>
      <w:spacing w:lineRule="auto" w:line="276" w:before="0" w:after="0"/>
      <w:jc w:val="start"/>
      <w:outlineLvl w:val="4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ru-RU" w:eastAsia="ru-RU" w:bidi="ar-SA"/>
    </w:rPr>
  </w:style>
  <w:style w:type="paragraph" w:styleId="Heading6">
    <w:name w:val="heading 6"/>
    <w:next w:val="Normal"/>
    <w:link w:val="6"/>
    <w:qFormat/>
    <w:pPr>
      <w:widowControl/>
      <w:suppressAutoHyphens w:val="true"/>
      <w:bidi w:val="0"/>
      <w:spacing w:lineRule="auto" w:line="276" w:before="0" w:after="0"/>
      <w:jc w:val="start"/>
      <w:outlineLvl w:val="5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1">
    <w:name w:val="Символ сноски (user)"/>
    <w:uiPriority w:val="99"/>
    <w:semiHidden/>
    <w:unhideWhenUsed/>
    <w:qFormat/>
    <w:rPr>
      <w:vertAlign w:val="superscript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tyle7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Pr>
      <w:i/>
    </w:rPr>
  </w:style>
  <w:style w:type="character" w:styleId="Style8" w:customStyle="1">
    <w:name w:val="Выделенная цитата Знак"/>
    <w:link w:val="IntenseQuote"/>
    <w:uiPriority w:val="30"/>
    <w:qFormat/>
    <w:rPr>
      <w:i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character" w:styleId="Style11" w:customStyle="1">
    <w:name w:val="Название объекта Знак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character" w:styleId="21" w:customStyle="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Times New Roman" w:cs="Times New Roman"/>
      <w:i/>
      <w:iCs/>
      <w:color w:val="2E74B5"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color w:val="2E74B5"/>
      <w:sz w:val="24"/>
      <w:szCs w:val="24"/>
      <w:lang w:eastAsia="ru-RU"/>
    </w:rPr>
  </w:style>
  <w:style w:type="character" w:styleId="6" w:customStyle="1">
    <w:name w:val="Заголовок 6 Знак"/>
    <w:basedOn w:val="DefaultParagraphFont"/>
    <w:qFormat/>
    <w:rPr>
      <w:rFonts w:ascii="Times New Roman" w:hAnsi="Times New Roman" w:eastAsia="Times New Roman" w:cs="Times New Roman"/>
      <w:color w:val="1F4D78"/>
      <w:sz w:val="24"/>
      <w:szCs w:val="24"/>
      <w:lang w:eastAsia="ru-RU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Текст сноски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Заголовок Знак"/>
    <w:basedOn w:val="DefaultParagraphFont"/>
    <w:qFormat/>
    <w:rPr>
      <w:rFonts w:ascii="Times New Roman" w:hAnsi="Times New Roman" w:eastAsia="Times New Roman" w:cs="Times New Roman"/>
      <w:sz w:val="56"/>
      <w:szCs w:val="5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Style11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EndnoteText">
    <w:name w:val="endnote text"/>
    <w:link w:val="Style12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user4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link w:val="Style13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ubtitle">
    <w:name w:val="Subtitle"/>
    <w:basedOn w:val="Normal"/>
    <w:next w:val="Normal"/>
    <w:link w:val="Style7"/>
    <w:uiPriority w:val="11"/>
    <w:qFormat/>
    <w:pPr>
      <w:spacing w:before="200" w:after="200"/>
    </w:pPr>
    <w:rPr/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Title">
    <w:name w:val="Title"/>
    <w:link w:val="Style14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11" w:customStyle="1">
    <w:name w:val="Заголовок оглавления1"/>
    <w:uiPriority w:val="39"/>
    <w:unhideWhenUsed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Quote">
    <w:name w:val="Quote"/>
    <w:basedOn w:val="Normal"/>
    <w:next w:val="Normal"/>
    <w:link w:val="2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ListParagraph">
    <w:name w:val="List Paragraph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A6A6A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/>
      </w:rPr>
      <w:tblPr/>
    </w:tblStylePr>
    <w:tblStylePr w:type="firstCol">
      <w:rPr>
        <w:b/>
        <w:color w:val="7f7f7f" w:themeColor="text1" w:themeTint="80"/>
      </w:rPr>
      <w:tblPr/>
    </w:tblStylePr>
    <w:tblStylePr w:type="lastCol">
      <w:rPr>
        <w:b/>
        <w:color w:val="7f7f7f" w:themeColor="text1" w:themeTint="80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color="7F7F7F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color="7F7F7F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color="7F7F7F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color="7F7F7F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color="7F7F7F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color="7F7F7F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1">
    <w:name w:val="Таблица простая 31"/>
    <w:basedOn w:val="a1"/>
    <w:uiPriority w:val="99"/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1">
    <w:name w:val="Таблица простая 51"/>
    <w:basedOn w:val="a1"/>
    <w:uiPriority w:val="99"/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-211">
    <w:name w:val="Таблица-сетка 21"/>
    <w:basedOn w:val="a1"/>
    <w:uiPriority w:val="99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A6A6A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8A2D8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4B184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FD865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/>
      </w:rPr>
      <w:tblPr/>
    </w:tblStylePr>
    <w:tblStylePr w:type="firstCol">
      <w:rPr>
        <w:b/>
        <w:color w:val="7f7f7f" w:themeColor="text1" w:themeTint="80"/>
      </w:rPr>
      <w:tblPr/>
    </w:tblStylePr>
    <w:tblStylePr w:type="lastCol">
      <w:rPr>
        <w:b/>
        <w:color w:val="7f7f7f" w:themeColor="text1" w:themeTint="80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acccea" w:themeColor="accent1" w:themeTint="80"/>
      </w:rPr>
      <w:tblPr/>
    </w:tblStylePr>
    <w:tblStylePr w:type="firstCol">
      <w:rPr>
        <w:b/>
        <w:color w:val="acccea" w:themeColor="accent1" w:themeTint="80"/>
      </w:rPr>
      <w:tblPr/>
    </w:tblStylePr>
    <w:tblStylePr w:type="lastCol">
      <w:rPr>
        <w:b/>
        <w:color w:val="acccea" w:themeColor="accent1" w:themeTint="80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285" w:themeColor="accent2" w:themeTint="96"/>
      </w:rPr>
      <w:tblPr/>
    </w:tblStylePr>
    <w:tblStylePr w:type="firstCol">
      <w:rPr>
        <w:b/>
        <w:color w:val="f4b285" w:themeColor="accent2" w:themeTint="96"/>
      </w:rPr>
      <w:tblPr/>
    </w:tblStylePr>
    <w:tblStylePr w:type="lastCol">
      <w:rPr>
        <w:b/>
        <w:color w:val="f4b285" w:themeColor="accent2" w:themeTint="96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285" w:themeColor="accent2" w:themeTint="96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285" w:themeColor="accent2" w:themeTint="96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/>
      </w:rPr>
      <w:tblPr/>
    </w:tblStylePr>
    <w:tblStylePr w:type="firstCol">
      <w:rPr>
        <w:b/>
        <w:color w:val="a5a5a5" w:themeColor="accent3"/>
      </w:rPr>
      <w:tblPr/>
    </w:tblStylePr>
    <w:tblStylePr w:type="lastCol">
      <w:rPr>
        <w:b/>
        <w:color w:val="a5a5a5" w:themeColor="accent3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966" w:themeColor="accent4" w:themeTint="99"/>
      </w:rPr>
      <w:tblPr/>
    </w:tblStylePr>
    <w:tblStylePr w:type="firstCol">
      <w:rPr>
        <w:b/>
        <w:color w:val="ffd966" w:themeColor="accent4" w:themeTint="99"/>
      </w:rPr>
      <w:tblPr/>
    </w:tblStylePr>
    <w:tblStylePr w:type="lastCol">
      <w:rPr>
        <w:b/>
        <w:color w:val="ffd966" w:themeColor="accent4" w:themeTint="99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966" w:themeColor="accent4" w:themeTint="99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44174" w:themeColor="accent5" w:themeShade="94"/>
      </w:rPr>
      <w:tblPr/>
    </w:tblStylePr>
    <w:tblStylePr w:type="firstCol">
      <w:rPr>
        <w:b/>
        <w:color w:val="244174" w:themeColor="accent5" w:themeShade="94"/>
      </w:rPr>
      <w:tblPr/>
    </w:tblStylePr>
    <w:tblStylePr w:type="lastCol">
      <w:rPr>
        <w:b/>
        <w:color w:val="244174" w:themeColor="accent5" w:themeShade="94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44174" w:themeColor="accent5" w:themeShade="94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4174" w:themeColor="accent5" w:themeShade="94"/>
      </w:rPr>
      <w:tblPr/>
    </w:tblStylePr>
    <w:tblStylePr w:type="firstCol">
      <w:rPr>
        <w:b/>
        <w:color w:val="244174" w:themeColor="accent5" w:themeShade="94"/>
      </w:rPr>
      <w:tblPr/>
    </w:tblStylePr>
    <w:tblStylePr w:type="lastCol">
      <w:rPr>
        <w:b/>
        <w:color w:val="244174" w:themeColor="accent5" w:themeShade="94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4174" w:themeColor="accent5" w:themeShade="94"/>
        <w:sz w:val="22"/>
      </w:rPr>
      <w:tblPr/>
    </w:tblStylePr>
  </w:style>
  <w:style w:type="table" w:customStyle="1" w:styleId="-711">
    <w:name w:val="Таблица-сетка 7 цветная1"/>
    <w:basedOn w:val="a1"/>
    <w:uiPriority w:val="99"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color="7F7F7F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color="7F7F7F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color="7F7F7F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color="ACCCEA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/>
        <w:sz w:val="22"/>
      </w:rPr>
      <w:tblPr/>
      <w:tcPr>
        <w:tcBorders>
          <w:top w:val="single" w:color="ACCCEA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/>
        <w:sz w:val="22"/>
      </w:rPr>
      <w:tblPr/>
      <w:tcPr>
        <w:tcBorders>
          <w:top w:val="nil"/>
          <w:left w:val="single" w:color="ACCCEA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color="F4B184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f4b285" w:themeColor="accent2" w:themeTint="96"/>
        <w:sz w:val="22"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285" w:themeColor="accent2" w:themeTint="96"/>
        <w:sz w:val="22"/>
      </w:rPr>
      <w:tblPr/>
      <w:tcPr>
        <w:tcBorders>
          <w:top w:val="nil"/>
          <w:left w:val="single" w:color="F4B184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285" w:themeColor="accent2" w:themeTint="96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285" w:themeColor="accent2" w:themeTint="96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  <w:sz w:val="22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a5a5a5" w:themeColor="accent3"/>
        <w:sz w:val="22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/>
        <w:sz w:val="22"/>
      </w:rPr>
      <w:tblPr/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color="FFD865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ffd966" w:themeColor="accent4" w:themeTint="99"/>
        <w:sz w:val="22"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966" w:themeColor="accent4" w:themeTint="99"/>
        <w:sz w:val="22"/>
      </w:rPr>
      <w:tblPr/>
      <w:tcPr>
        <w:tcBorders>
          <w:top w:val="nil"/>
          <w:left w:val="single" w:color="FFD865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966" w:themeColor="accent4" w:themeTint="99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color="95AFDD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244174" w:themeColor="accent5" w:themeShade="94"/>
        <w:sz w:val="22"/>
      </w:rPr>
      <w:tblPr/>
      <w:tcPr>
        <w:tcBorders>
          <w:top w:val="single" w:color="95AFDD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244174" w:themeColor="accent5" w:themeShade="94"/>
        <w:sz w:val="22"/>
      </w:rPr>
      <w:tblPr/>
      <w:tcPr>
        <w:tcBorders>
          <w:top w:val="nil"/>
          <w:left w:val="single" w:color="95AFDD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44174" w:themeColor="accent5" w:themeShade="94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406429" w:themeColor="accent6" w:themeShade="94"/>
        <w:sz w:val="22"/>
      </w:rPr>
      <w:tblPr/>
      <w:tcPr>
        <w:tcBorders>
          <w:top w:val="single" w:color="ADD394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06429" w:themeColor="accent6" w:themeShade="94"/>
        <w:sz w:val="22"/>
      </w:rPr>
      <w:tblPr/>
      <w:tcPr>
        <w:tcBorders>
          <w:top w:val="nil"/>
          <w:left w:val="single" w:color="ADD394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06429" w:themeColor="accent6" w:themeShade="94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06429" w:themeColor="accent6" w:themeShade="94"/>
        <w:sz w:val="22"/>
      </w:rPr>
      <w:tblPr/>
    </w:tblStylePr>
  </w:style>
  <w:style w:type="table" w:customStyle="1" w:styleId="-112">
    <w:name w:val="Список-таблица 1 светлая1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il"/>
          <w:bottom w:val="single" w:color="A2C6E7" w:themeColor="accen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il"/>
          <w:bottom w:val="single" w:color="A2C6E7" w:themeColor="accen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il"/>
          <w:bottom w:val="single" w:color="95AFDD" w:themeColor="accent5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il"/>
          <w:bottom w:val="single" w:color="95AFDD" w:themeColor="accent5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-412">
    <w:name w:val="Список-таблица 41"/>
    <w:basedOn w:val="a1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c" w:themeColor="accent1" w:themeShade="94"/>
      </w:rPr>
      <w:tblPr/>
    </w:tblStylePr>
    <w:tblStylePr w:type="lastCol">
      <w:rPr>
        <w:b/>
        <w:color w:val="245a8c" w:themeColor="accent1" w:themeShade="94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c" w:themeColor="accent1" w:themeShade="94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c" w:themeColor="accent1" w:themeShade="94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285" w:themeColor="accent2" w:themeTint="96"/>
      </w:rPr>
      <w:tblPr/>
    </w:tblStylePr>
    <w:tblStylePr w:type="lastCol">
      <w:rPr>
        <w:b/>
        <w:color w:val="f4b285" w:themeColor="accent2" w:themeTint="96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285" w:themeColor="accent2" w:themeTint="96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285" w:themeColor="accent2" w:themeTint="96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9"/>
      </w:rPr>
      <w:tblPr/>
    </w:tblStylePr>
    <w:tblStylePr w:type="lastCol">
      <w:rPr>
        <w:b/>
        <w:color w:val="c9c9c9" w:themeColor="accent3" w:themeTint="99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9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966" w:themeColor="accent4" w:themeTint="99"/>
      </w:rPr>
      <w:tblPr/>
    </w:tblStylePr>
    <w:tblStylePr w:type="lastCol">
      <w:rPr>
        <w:b/>
        <w:color w:val="ffd966" w:themeColor="accent4" w:themeTint="99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966" w:themeColor="accent4" w:themeTint="99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8eaadb" w:themeColor="accent5" w:themeTint="99"/>
      </w:rPr>
      <w:tblPr/>
    </w:tblStylePr>
    <w:tblStylePr w:type="lastCol">
      <w:rPr>
        <w:b/>
        <w:color w:val="8eaadb" w:themeColor="accent5" w:themeTint="99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eaadb" w:themeColor="accent5" w:themeTint="99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eaadb" w:themeColor="accent5" w:themeTint="99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8d08d" w:themeColor="accent6" w:themeTint="99"/>
      </w:rPr>
      <w:tblPr/>
    </w:tblStylePr>
    <w:tblStylePr w:type="lastCol">
      <w:rPr>
        <w:b/>
        <w:color w:val="a8d08d" w:themeColor="accent6" w:themeTint="99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8d08d" w:themeColor="accent6" w:themeTint="99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8d08d" w:themeColor="accent6" w:themeTint="99"/>
        <w:sz w:val="22"/>
      </w:rPr>
      <w:tblPr/>
    </w:tblStylePr>
  </w:style>
  <w:style w:type="table" w:customStyle="1" w:styleId="-712">
    <w:name w:val="Список-таблица 7 цветная1"/>
    <w:basedOn w:val="a1"/>
    <w:uiPriority w:val="99"/>
    <w:tblPr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color="7F7F7F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color="7F7F7F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il"/>
          <w:left w:val="single" w:color="7F7F7F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color="5B9BD5" w:themeColor="accent1" w:sz="4" w:space="0"/>
      </w:tblBorders>
    </w:tblPr>
    <w:tblStylePr w:type="firstRow">
      <w:rPr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245a8c" w:themeColor="accent1" w:themeShade="94"/>
        <w:sz w:val="22"/>
      </w:rPr>
      <w:tblPr/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c" w:themeColor="accent1" w:themeShade="94"/>
        <w:sz w:val="22"/>
      </w:rPr>
      <w:tblPr/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c" w:themeColor="accent1" w:themeShade="94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c" w:themeColor="accent1" w:themeShade="94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color="F4B184" w:themeColor="accent2" w:themeTint="97" w:sz="4" w:space="0"/>
      </w:tblBorders>
    </w:tblPr>
    <w:tblStylePr w:type="firstRow">
      <w:rPr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color="F4B184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4b285" w:themeColor="accent2" w:themeTint="96"/>
        <w:sz w:val="22"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285" w:themeColor="accent2" w:themeTint="96"/>
        <w:sz w:val="22"/>
      </w:rPr>
      <w:tblPr/>
      <w:tcPr>
        <w:tcBorders>
          <w:top w:val="nil"/>
          <w:left w:val="single" w:color="F4B184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285" w:themeColor="accent2" w:themeTint="96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285" w:themeColor="accent2" w:themeTint="96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color="C9C9C9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9"/>
        <w:sz w:val="22"/>
      </w:rPr>
      <w:tblPr/>
      <w:tcPr>
        <w:tcBorders>
          <w:top w:val="single" w:color="C9C9C9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9"/>
        <w:sz w:val="22"/>
      </w:rPr>
      <w:tblPr/>
      <w:tcPr>
        <w:tcBorders>
          <w:top w:val="nil"/>
          <w:left w:val="single" w:color="C9C9C9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9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color="FFD865" w:themeColor="accent4" w:themeTint="9a" w:sz="4" w:space="0"/>
      </w:tblBorders>
    </w:tblPr>
    <w:tblStylePr w:type="firstRow">
      <w:rPr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color="FFD865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ffd966" w:themeColor="accent4" w:themeTint="99"/>
        <w:sz w:val="22"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966" w:themeColor="accent4" w:themeTint="99"/>
        <w:sz w:val="22"/>
      </w:rPr>
      <w:tblPr/>
      <w:tcPr>
        <w:tcBorders>
          <w:top w:val="nil"/>
          <w:left w:val="single" w:color="FFD865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966" w:themeColor="accent4" w:themeTint="99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color="8DA9DB" w:themeColor="accent5" w:themeTint="9a" w:sz="4" w:space="0"/>
      </w:tblBorders>
    </w:tblPr>
    <w:tblStylePr w:type="firstRow">
      <w:rPr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color="8DA9DB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8eaadb" w:themeColor="accent5" w:themeTint="99"/>
        <w:sz w:val="22"/>
      </w:rPr>
      <w:tblPr/>
      <w:tcPr>
        <w:tcBorders>
          <w:top w:val="single" w:color="8DA9DB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8eaadb" w:themeColor="accent5" w:themeTint="99"/>
        <w:sz w:val="22"/>
      </w:rPr>
      <w:tblPr/>
      <w:tcPr>
        <w:tcBorders>
          <w:top w:val="nil"/>
          <w:left w:val="single" w:color="8DA9DB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eaadb" w:themeColor="accent5" w:themeTint="99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eaadb" w:themeColor="accent5" w:themeTint="99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color="A9D08E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a8d08d" w:themeColor="accent6" w:themeTint="99"/>
        <w:sz w:val="22"/>
      </w:rPr>
      <w:tblPr/>
      <w:tcPr>
        <w:tcBorders>
          <w:top w:val="single" w:color="A9D08E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8d08d" w:themeColor="accent6" w:themeTint="99"/>
        <w:sz w:val="22"/>
      </w:rPr>
      <w:tblPr/>
      <w:tcPr>
        <w:tcBorders>
          <w:top w:val="nil"/>
          <w:left w:val="single" w:color="A9D08E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8d08d" w:themeColor="accent6" w:themeTint="99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8d08d" w:themeColor="accent6" w:themeTint="99"/>
        <w:sz w:val="22"/>
      </w:rPr>
      <w:tblPr/>
    </w:tblStylePr>
  </w:style>
  <w:style w:type="table" w:customStyle="1" w:styleId="Lined-Accent">
    <w:name w:val="Lined - Accent"/>
    <w:basedOn w:val="a1"/>
    <w:uiPriority w:val="99"/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tblPr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BDC6AA0E-B06B-4998-839E-306D654B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LibreOffice/25.8.7.3$Linux_X86_64 LibreOffice_project/30742500f2d3eb4366ac312fa33d3dcabdb3eba5</Application>
  <AppVersion>15.0000</AppVersion>
  <Pages>18</Pages>
  <Words>2891</Words>
  <Characters>22008</Characters>
  <CharactersWithSpaces>24694</CharactersWithSpaces>
  <Paragraphs>181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2026-06-02T19:33:00Z</dcterms:created>
  <dc:creator/>
  <dc:description/>
  <dc:language>ru-RU</dc:language>
  <cp:lastModifiedBy/>
  <dcterms:modified xsi:type="dcterms:W3CDTF">2026-07-31T10:38:56Z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0CA1ACD47DC2C88E9BE6EE69C14459DC_43</vt:lpwstr>
  </property>
  <property fmtid="{D5CDD505-2E9C-101B-9397-08002B2CF9AE}" pid="3" name="KSOProductBuildVer">
    <vt:lpwstr>1033-12.1.26015.26015</vt:lpwstr>
  </property>
</Properties>
</file>