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  <w:bookmarkStart w:id="0" w:name="_Toc75446582"/>
      <w:bookmarkStart w:id="1" w:name="_Toc75446582"/>
      <w:bookmarkEnd w:id="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ОКПД2 </w:t>
      </w:r>
      <w:r>
        <w:rPr>
          <w:rFonts w:eastAsia="Times New Roman" w:cs="Times New Roman"/>
          <w:b w:val="false"/>
          <w:bCs/>
          <w:color w:val="000000"/>
          <w:spacing w:val="-6"/>
          <w:szCs w:val="24"/>
          <w:lang w:val="ru-RU"/>
        </w:rPr>
        <w:t>08.12</w:t>
      </w:r>
      <w:r>
        <w:rPr>
          <w:rFonts w:eastAsia="Times New Roman" w:cs="Times New Roman"/>
          <w:bCs/>
          <w:color w:val="000000"/>
          <w:spacing w:val="-6"/>
          <w:szCs w:val="24"/>
        </w:rPr>
        <w:t xml:space="preserve"> Поставка инертных материалов для выполнения работ на </w:t>
      </w:r>
      <w:r>
        <w:rPr>
          <w:rFonts w:eastAsia="Times New Roman" w:cs="Times New Roman"/>
          <w:bCs/>
          <w:color w:val="000000"/>
          <w:spacing w:val="-6"/>
          <w:szCs w:val="24"/>
        </w:rPr>
        <w:t>Новосибирской ГЭС</w:t>
      </w:r>
    </w:p>
    <w:p>
      <w:pPr>
        <w:sectPr>
          <w:type w:val="nextPage"/>
          <w:pgSz w:w="11906" w:h="16838"/>
          <w:pgMar w:left="1276" w:right="707" w:gutter="0" w:header="0" w:top="42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Cs w:val="24"/>
        </w:rPr>
      </w:pPr>
      <w:r>
        <w:rPr>
          <w:szCs w:val="24"/>
        </w:rPr>
        <w:t>(Лот № )</w:t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Heading4"/>
        <w:jc w:val="both"/>
        <w:rPr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000000"/>
          <w:spacing w:val="-6"/>
          <w:szCs w:val="24"/>
        </w:rPr>
        <w:tab/>
      </w:r>
      <w:r>
        <w:rPr>
          <w:rFonts w:eastAsia="Times New Roman" w:cs="Times New Roman"/>
          <w:b w:val="false"/>
          <w:bCs/>
          <w:color w:val="000000"/>
          <w:spacing w:val="-6"/>
          <w:szCs w:val="24"/>
        </w:rPr>
        <w:t xml:space="preserve">ОКПД2 </w:t>
      </w:r>
      <w:r>
        <w:rPr>
          <w:rFonts w:eastAsia="Times New Roman" w:cs="Times New Roman"/>
          <w:b w:val="false"/>
          <w:bCs/>
          <w:color w:val="000000"/>
          <w:spacing w:val="-6"/>
          <w:szCs w:val="24"/>
          <w:lang w:val="ru-RU"/>
        </w:rPr>
        <w:t>08.12</w:t>
      </w:r>
      <w:r>
        <w:rPr>
          <w:rFonts w:eastAsia="Times New Roman" w:cs="Times New Roman"/>
          <w:b w:val="false"/>
          <w:bCs/>
          <w:color w:val="000000"/>
          <w:spacing w:val="-6"/>
          <w:szCs w:val="24"/>
        </w:rPr>
        <w:t xml:space="preserve"> Поставка инертных материалов для выполнения работ на </w:t>
      </w:r>
      <w:r>
        <w:rPr>
          <w:rFonts w:eastAsia="Times New Roman" w:cs="Times New Roman"/>
          <w:b w:val="false"/>
          <w:bCs/>
          <w:color w:val="000000"/>
          <w:spacing w:val="-6"/>
          <w:szCs w:val="24"/>
        </w:rPr>
        <w:t>Новосибирской ГЭС</w:t>
      </w:r>
      <w:r>
        <w:rPr>
          <w:b w:val="false"/>
          <w:bCs w:val="false"/>
          <w:szCs w:val="24"/>
        </w:rPr>
        <w:t xml:space="preserve"> </w:t>
      </w:r>
      <w:r>
        <w:rPr>
          <w:rFonts w:cs="Times New Roman"/>
          <w:b w:val="false"/>
          <w:bCs w:val="false"/>
          <w:szCs w:val="24"/>
        </w:rPr>
        <w:t>(далее – продукция)</w:t>
      </w:r>
      <w:bookmarkStart w:id="4" w:name="_Toc75446569"/>
      <w:r>
        <w:rPr>
          <w:b w:val="false"/>
          <w:bCs w:val="false"/>
        </w:rPr>
        <w:t>.</w:t>
      </w:r>
    </w:p>
    <w:p>
      <w:pPr>
        <w:pStyle w:val="Normal"/>
        <w:ind w:firstLine="419"/>
        <w:rPr/>
      </w:pPr>
      <w:r>
        <w:rPr/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BodyText21"/>
        <w:rPr>
          <w:bCs/>
          <w:szCs w:val="24"/>
          <w:shd w:fill="FFFF99" w:val="clear"/>
        </w:rPr>
      </w:pPr>
      <w:r>
        <w:rPr>
          <w:rStyle w:val="Style"/>
          <w:b w:val="false"/>
          <w:bCs/>
          <w:i w:val="false"/>
          <w:color w:val="000000"/>
          <w:szCs w:val="24"/>
          <w:shd w:fill="FFFFFF" w:val="clear"/>
        </w:rPr>
        <w:t>Исполнение доходного договора:</w:t>
      </w:r>
    </w:p>
    <w:p>
      <w:pPr>
        <w:pStyle w:val="BodyText21"/>
        <w:rPr/>
      </w:pPr>
      <w:r>
        <w:rPr>
          <w:rStyle w:val="Style"/>
          <w:rFonts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en-US"/>
        </w:rPr>
        <w:t xml:space="preserve">- № </w:t>
      </w:r>
      <w:r>
        <w:rPr>
          <w:rStyle w:val="Style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ru-RU"/>
        </w:rPr>
        <w:t xml:space="preserve">2-РЕМ-2025 от 12.02.2025г. </w:t>
      </w:r>
      <w:r>
        <w:rPr>
          <w:rStyle w:val="Style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en-US" w:eastAsia="ru-RU"/>
        </w:rPr>
        <w:t>«</w:t>
      </w:r>
      <w:r>
        <w:rPr>
          <w:rStyle w:val="Style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ru-RU"/>
        </w:rPr>
        <w:t>Текущий ремонт зданий и сооружений Новосибирской ГЭС</w:t>
      </w:r>
      <w:r>
        <w:rPr>
          <w:rStyle w:val="Style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en-US" w:eastAsia="ru-RU"/>
        </w:rPr>
        <w:t>»</w:t>
      </w:r>
      <w:r>
        <w:rPr>
          <w:rStyle w:val="Style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en-US" w:eastAsia="ru-RU"/>
        </w:rPr>
        <w:t xml:space="preserve">, </w:t>
      </w:r>
      <w:r>
        <w:rPr>
          <w:rStyle w:val="Style"/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en-US" w:eastAsia="ru-RU"/>
        </w:rPr>
        <w:t xml:space="preserve">заключенный между АО «Гидроремонт-ВКК» и </w:t>
      </w:r>
      <w:r>
        <w:rPr>
          <w:rStyle w:val="Style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en-US" w:eastAsia="ru-RU"/>
        </w:rPr>
        <w:t>ПАО «РусГидро».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hanging="0"/>
        <w:rPr>
          <w:caps/>
          <w:lang w:val="ru-RU"/>
        </w:rPr>
      </w:pPr>
      <w:bookmarkStart w:id="6" w:name="_Toc51339693"/>
      <w:bookmarkStart w:id="7" w:name="_Toc75446573"/>
      <w:r>
        <w:rPr/>
        <w:t>Требования к продукции</w:t>
      </w:r>
      <w:bookmarkEnd w:id="6"/>
      <w:bookmarkEnd w:id="7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1"/>
        </w:numPr>
        <w:ind w:left="0" w:hanging="0"/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1"/>
        </w:numPr>
        <w:ind w:left="0" w:hanging="0"/>
        <w:rPr/>
      </w:pPr>
      <w:bookmarkStart w:id="9" w:name="_Toc75446575"/>
      <w:r>
        <w:rPr/>
        <w:t>Перечень и объем закупаемой продукции</w:t>
      </w:r>
      <w:bookmarkEnd w:id="9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10" w:name="_Toc75446576"/>
      <w:bookmarkStart w:id="11" w:name="_Toc51339695"/>
      <w:bookmarkStart w:id="12" w:name="_Toc75446578"/>
      <w:r>
        <w:rPr>
          <w:szCs w:val="24"/>
        </w:rPr>
        <w:t xml:space="preserve">Таблица 1.1 Перечень </w:t>
      </w:r>
      <w:bookmarkEnd w:id="11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tbl>
      <w:tblPr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0"/>
        <w:gridCol w:w="5960"/>
        <w:gridCol w:w="1363"/>
        <w:gridCol w:w="1361"/>
      </w:tblGrid>
      <w:tr>
        <w:trPr>
          <w:trHeight w:val="56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продукции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4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Смесь песчано-гравийная обогащенная с содержанием гравия 25-35 %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</w:tr>
    </w:tbl>
    <w:p>
      <w:pPr>
        <w:pStyle w:val="Heading3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1"/>
        </w:numPr>
        <w:ind w:left="0" w:hanging="0"/>
        <w:rPr/>
      </w:pPr>
      <w:bookmarkStart w:id="13" w:name="_Toc51339696"/>
      <w:r>
        <w:rPr/>
        <w:t xml:space="preserve">Требования </w:t>
      </w:r>
      <w:bookmarkEnd w:id="13"/>
      <w:r>
        <w:rPr/>
        <w:t xml:space="preserve">к срокам поставки продукции </w:t>
      </w:r>
      <w:bookmarkEnd w:id="1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szCs w:val="24"/>
          <w:lang w:eastAsia="x-none"/>
        </w:rPr>
      </w:pPr>
      <w:bookmarkStart w:id="14" w:name="_Toc75446579"/>
      <w:bookmarkStart w:id="15" w:name="_Toc50125127"/>
      <w:bookmarkStart w:id="16" w:name="_Toc51339697"/>
      <w:r>
        <w:rPr>
          <w:szCs w:val="24"/>
          <w:lang w:eastAsia="x-none"/>
        </w:rPr>
        <w:t xml:space="preserve">Таблица 1.2 </w:t>
      </w:r>
      <w:bookmarkStart w:id="17" w:name="_Hlk50465284"/>
      <w:r>
        <w:rPr>
          <w:szCs w:val="24"/>
          <w:lang w:eastAsia="x-none"/>
        </w:rPr>
        <w:t xml:space="preserve">Требования по срокам </w:t>
      </w:r>
      <w:bookmarkEnd w:id="15"/>
      <w:bookmarkEnd w:id="16"/>
      <w:bookmarkEnd w:id="17"/>
      <w:r>
        <w:rPr>
          <w:szCs w:val="24"/>
          <w:lang w:eastAsia="x-none"/>
        </w:rPr>
        <w:t>поставки продукции</w:t>
      </w:r>
      <w:bookmarkEnd w:id="14"/>
      <w:r>
        <w:rPr>
          <w:szCs w:val="24"/>
          <w:lang w:eastAsia="x-none"/>
        </w:rPr>
        <w:t xml:space="preserve"> </w:t>
      </w:r>
    </w:p>
    <w:p>
      <w:pPr>
        <w:pStyle w:val="Normal"/>
        <w:rPr>
          <w:szCs w:val="24"/>
          <w:lang w:eastAsia="x-none"/>
        </w:rPr>
      </w:pPr>
      <w:r>
        <w:rPr>
          <w:szCs w:val="24"/>
          <w:lang w:eastAsia="x-none"/>
        </w:rPr>
      </w:r>
    </w:p>
    <w:tbl>
      <w:tblPr>
        <w:tblW w:w="98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00"/>
        <w:gridCol w:w="4038"/>
        <w:gridCol w:w="2375"/>
        <w:gridCol w:w="2549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/>
                <w:color w:val="000000"/>
                <w:spacing w:val="-6"/>
                <w:szCs w:val="24"/>
              </w:rPr>
              <w:t xml:space="preserve">ОКПД2 </w:t>
            </w:r>
            <w:r>
              <w:rPr>
                <w:rFonts w:eastAsia="Times New Roman" w:cs="Times New Roman"/>
                <w:b w:val="false"/>
                <w:bCs/>
                <w:color w:val="000000"/>
                <w:spacing w:val="-6"/>
                <w:szCs w:val="24"/>
                <w:lang w:val="ru-RU"/>
              </w:rPr>
              <w:t>08.12</w:t>
            </w:r>
            <w:r>
              <w:rPr>
                <w:rFonts w:eastAsia="Times New Roman" w:cs="Times New Roman"/>
                <w:b w:val="false"/>
                <w:bCs/>
                <w:color w:val="000000"/>
                <w:spacing w:val="-6"/>
                <w:szCs w:val="24"/>
              </w:rPr>
              <w:t xml:space="preserve"> Поставка инертных материалов для выполнения работ на </w:t>
            </w:r>
            <w:r>
              <w:rPr>
                <w:rFonts w:eastAsia="Times New Roman" w:cs="Times New Roman"/>
                <w:b w:val="false"/>
                <w:bCs/>
                <w:color w:val="000000"/>
                <w:spacing w:val="-6"/>
                <w:szCs w:val="24"/>
              </w:rPr>
              <w:t>Новосибирской ГЭС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даты подписания договора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cs="Times New Roman"/>
                <w:iCs/>
                <w:color w:val="auto"/>
                <w:szCs w:val="24"/>
              </w:rPr>
              <w:t xml:space="preserve">До </w:t>
            </w:r>
            <w:r>
              <w:rPr>
                <w:rFonts w:cs="Times New Roman"/>
                <w:iCs/>
                <w:color w:val="auto"/>
                <w:szCs w:val="24"/>
                <w:lang w:val="en-US"/>
              </w:rPr>
              <w:t>31.12.2026</w:t>
            </w:r>
            <w:r>
              <w:rPr>
                <w:rFonts w:cs="Times New Roman"/>
                <w:iCs/>
                <w:color w:val="auto"/>
                <w:szCs w:val="24"/>
              </w:rPr>
              <w:t xml:space="preserve"> (по заявкам, </w:t>
            </w:r>
            <w:r>
              <w:rPr>
                <w:rFonts w:cs="Times New Roman"/>
                <w:color w:val="auto"/>
                <w:szCs w:val="24"/>
              </w:rPr>
              <w:t>заявки подаются за два дня до фактической даты поставки)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76" w:right="707" w:gutter="0" w:header="0" w:top="911" w:footer="788" w:bottom="1213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jc w:val="both"/>
        <w:rPr>
          <w:iCs/>
        </w:rPr>
      </w:pPr>
      <w:r>
        <w:rPr>
          <w:iCs/>
        </w:rPr>
        <w:t>* Конкретная дата установлена исходя из требований доходного договора указанного в пункте 1.2. ТТ</w:t>
      </w:r>
    </w:p>
    <w:p>
      <w:pPr>
        <w:pStyle w:val="Normal"/>
        <w:rPr>
          <w:szCs w:val="24"/>
          <w:lang w:eastAsia="x-none"/>
        </w:rPr>
      </w:pPr>
      <w:r>
        <w:rPr>
          <w:szCs w:val="24"/>
          <w:lang w:eastAsia="x-none"/>
        </w:rPr>
        <w:t>Таблица 3. Требования к продукции</w:t>
      </w:r>
    </w:p>
    <w:tbl>
      <w:tblPr>
        <w:tblW w:w="14850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37"/>
        <w:gridCol w:w="2731"/>
        <w:gridCol w:w="1531"/>
        <w:gridCol w:w="3239"/>
        <w:gridCol w:w="3175"/>
        <w:gridCol w:w="3337"/>
      </w:tblGrid>
      <w:tr>
        <w:trPr>
          <w:trHeight w:val="504" w:hRule="atLeast"/>
        </w:trPr>
        <w:tc>
          <w:tcPr>
            <w:tcW w:w="148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Наименование продукции (позиции № 1. Таблицы 1.1):  ОКПД2 </w:t>
            </w:r>
            <w:r>
              <w:rPr>
                <w:rFonts w:eastAsia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08.12</w:t>
            </w:r>
            <w:r>
              <w:rPr>
                <w:rFonts w:eastAsia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Поставка инертных материалов для выполнения работ на </w:t>
            </w:r>
            <w:r>
              <w:rPr>
                <w:rFonts w:eastAsia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Новосибирской ГЭС</w:t>
            </w:r>
          </w:p>
        </w:tc>
      </w:tr>
      <w:tr>
        <w:trPr>
          <w:trHeight w:val="918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62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Требование </w:t>
            </w:r>
          </w:p>
        </w:tc>
        <w:tc>
          <w:tcPr>
            <w:tcW w:w="3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Соответствие стандартам</w:t>
            </w:r>
          </w:p>
        </w:tc>
      </w:tr>
      <w:tr>
        <w:trPr>
          <w:trHeight w:val="400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2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eastAsia="Calibri" w:cs="Tahom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месь песчано-гравийная обогащенная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содержанием гравия</w:t>
            </w:r>
          </w:p>
        </w:tc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35%</w:t>
            </w:r>
          </w:p>
        </w:tc>
        <w:tc>
          <w:tcPr>
            <w:tcW w:w="3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ГОСТ 25607-2009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18" w:name="_GoBack"/>
            <w:bookmarkEnd w:id="18"/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7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Место нахождения</w:t>
            </w:r>
          </w:p>
        </w:tc>
        <w:tc>
          <w:tcPr>
            <w:tcW w:w="1128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Производственный участок АО «Гидроремонт-ВКК» в г. Новосибирск, 630056, Новосибирская обл., г. Новосибирск, ул. Новоморская, д. 4/1.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7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Приемка </w:t>
            </w:r>
          </w:p>
        </w:tc>
        <w:tc>
          <w:tcPr>
            <w:tcW w:w="1128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7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Сроки гарантии</w:t>
            </w:r>
          </w:p>
        </w:tc>
        <w:tc>
          <w:tcPr>
            <w:tcW w:w="1128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ind w:lef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 xml:space="preserve">равный 12 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двенадцати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)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 xml:space="preserve">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7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128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Сертификат качества в 1 экз.;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Технический паспорт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Упаковочный лист на Продукцию (каждую партию отгруженной Продукции) 1 экз.;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Сертификат о происхождении Продукции в 1 экз.;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ab/>
              <w:t>Обязательные первичные документы: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szCs w:val="24"/>
                <w:shd w:fill="auto" w:val="clear"/>
              </w:rPr>
              <w:t>- Товарную накладную по форме ТОРГ-12 или Универсальный передаточный документ (УПД) с обязательным указанием номера и даты Заявки-Спецификации.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6" w:hRule="atLeast"/>
        </w:trPr>
        <w:tc>
          <w:tcPr>
            <w:tcW w:w="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40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bCs/>
                <w:i w:val="false"/>
                <w:iCs w:val="false"/>
                <w:sz w:val="24"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736" w:gutter="0" w:header="0" w:top="407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  <w:tab w:val="left" w:pos="709" w:leader="none"/>
      </w:tabs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7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4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Style18" w:customStyle="1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Pr/>
  </w:style>
  <w:style w:type="character" w:styleId="Extended-textshort" w:customStyle="1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 w:customStyle="1">
    <w:name w:val="product_code"/>
    <w:qFormat/>
    <w:rPr/>
  </w:style>
  <w:style w:type="character" w:styleId="Add-data-value" w:customStyle="1">
    <w:name w:val="add-data-value"/>
    <w:basedOn w:val="DefaultParagraphFont"/>
    <w:qFormat/>
    <w:rPr/>
  </w:style>
  <w:style w:type="character" w:styleId="Extendedtext-short" w:customStyle="1">
    <w:name w:val="extendedtext-short"/>
    <w:qFormat/>
    <w:rPr/>
  </w:style>
  <w:style w:type="character" w:styleId="Style19" w:customStyle="1">
    <w:name w:val="Символ нумерации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2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3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5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7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8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9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0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1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2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3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4" w:customStyle="1">
    <w:name w:val="Подподпункт"/>
    <w:basedOn w:val="Style27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7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8" w:customStyle="1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9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0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1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Style44">
    <w:name w:val="Содержимое врезки"/>
    <w:basedOn w:val="Normal"/>
    <w:qFormat/>
    <w:pPr/>
    <w:rPr/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qFormat/>
  </w:style>
  <w:style w:type="numbering" w:styleId="212" w:customStyle="1">
    <w:name w:val="Стиль2"/>
    <w:qFormat/>
  </w:style>
  <w:style w:type="numbering" w:styleId="112" w:customStyle="1">
    <w:name w:val="Нет списка1"/>
    <w:qFormat/>
  </w:style>
  <w:style w:type="numbering" w:styleId="23492493731" w:customStyle="1">
    <w:name w:val="23492493731"/>
    <w:qFormat/>
  </w:style>
  <w:style w:type="numbering" w:styleId="18125164451">
    <w:name w:val="18125164451"/>
    <w:qFormat/>
  </w:style>
  <w:style w:type="numbering" w:styleId="16387065501">
    <w:name w:val="16387065501"/>
    <w:qFormat/>
  </w:style>
  <w:style w:type="numbering" w:styleId="33969122921">
    <w:name w:val="33969122921"/>
    <w:qFormat/>
  </w:style>
  <w:style w:type="numbering" w:styleId="19571001201">
    <w:name w:val="1957100120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AlterOffice/3.4.0.9$Linux_X86_64 LibreOffice_project/b8daf9e823b1a5463a2f48435ddc2e8696e7d4fc</Application>
  <AppVersion>15.0000</AppVersion>
  <Pages>4</Pages>
  <Words>595</Words>
  <Characters>4029</Characters>
  <CharactersWithSpaces>4538</CharactersWithSpaces>
  <Paragraphs>90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2026-04-28T08:37:00Z</dcterms:created>
  <dc:creator>Кочетов Сергей Владимирович</dc:creator>
  <dc:description/>
  <dc:language>ru-RU</dc:language>
  <cp:lastModifiedBy>kochetovsv@corp.gidroogk.com</cp:lastModifiedBy>
  <cp:lastPrinted>2023-05-16T09:29:00Z</cp:lastPrinted>
  <dcterms:modified xsi:type="dcterms:W3CDTF">2026-08-07T11:44:36Z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