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comments.xml" ContentType="application/vnd.openxmlformats-officedocument.wordprocessingml.comment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инженера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Центральных электрических сетей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 М.В. Варейкис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«______» _____________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BodyText"/>
        <w:spacing w:before="0"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ОКПД2 27.12.32.000 на Поставку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(Шкафы РЗА). </w:t>
      </w:r>
    </w:p>
    <w:p>
      <w:pPr>
        <w:pStyle w:val="BodyText"/>
        <w:spacing w:before="0"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Лот №…….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spacing w:lineRule="auto" w:line="276" w:before="120" w:after="120"/>
        <w:ind w:left="0" w:firstLine="709"/>
        <w:jc w:val="center"/>
        <w:rPr>
          <w:b w:val="false"/>
          <w:caps/>
          <w:lang w:val="ru-RU"/>
        </w:rPr>
      </w:pPr>
      <w:r>
        <w:rPr>
          <w:lang w:val="ru-RU"/>
        </w:rPr>
        <w:t>Об</w:t>
      </w:r>
      <w:bookmarkStart w:id="0" w:name="_Toc127283960"/>
      <w:r>
        <w:rPr>
          <w:lang w:val="ru-RU"/>
        </w:rPr>
        <w:t>щие сведения</w:t>
      </w:r>
      <w:bookmarkEnd w:id="0"/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/>
      </w:pPr>
      <w:bookmarkStart w:id="1" w:name="_Toc127283961"/>
      <w:r>
        <w:rPr/>
        <w:t>Обозначения и сокращения</w:t>
      </w:r>
      <w:bookmarkEnd w:id="1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ЗРУ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ПТЭЭП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0"/>
        <w:jc w:val="both"/>
        <w:rPr>
          <w:b w:val="false"/>
        </w:rPr>
      </w:pPr>
      <w:bookmarkStart w:id="2" w:name="_Toc127283962"/>
      <w:r>
        <w:rPr/>
        <w:t>Наименование закупаемой продукции</w:t>
      </w:r>
      <w:bookmarkEnd w:id="2"/>
    </w:p>
    <w:p>
      <w:pPr>
        <w:pStyle w:val="Normal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«ОКПД2 27.12.32.000 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(Шкафы РЗА).</w:t>
      </w:r>
    </w:p>
    <w:p>
      <w:pPr>
        <w:pStyle w:val="Heading4"/>
        <w:numPr>
          <w:ilvl w:val="1"/>
          <w:numId w:val="3"/>
        </w:numPr>
        <w:rPr/>
      </w:pPr>
      <w:r>
        <w:rPr/>
        <w:t xml:space="preserve">Заказчик (подразделение Заказчика) 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 w:before="0" w:after="200"/>
        <w:ind w:left="0" w:firstLine="567"/>
        <w:contextualSpacing/>
        <w:jc w:val="both"/>
        <w:rPr/>
      </w:pPr>
      <w:r>
        <w:rPr/>
        <w:t>Центральные электрические сети ПАО «Якутскэнерго»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 w:before="0" w:after="200"/>
        <w:ind w:left="0" w:firstLine="567"/>
        <w:contextualSpacing/>
        <w:jc w:val="both"/>
        <w:rPr/>
      </w:pPr>
      <w:r>
        <w:rPr/>
        <w:t>Адрес Филиала: 677021 Саха (Якутия) г. Якутск пр. Михаила Николаева 26.</w:t>
      </w:r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>
          <w:b w:val="false"/>
        </w:rPr>
      </w:pPr>
      <w:bookmarkStart w:id="3" w:name="_Toc127283964"/>
      <w:r>
        <w:rPr/>
        <w:t xml:space="preserve">Цели и задачи </w:t>
      </w:r>
      <w:bookmarkEnd w:id="3"/>
    </w:p>
    <w:p>
      <w:pPr>
        <w:pStyle w:val="211"/>
        <w:numPr>
          <w:ilvl w:val="0"/>
          <w:numId w:val="7"/>
        </w:numPr>
        <w:spacing w:lineRule="auto" w:line="276"/>
        <w:ind w:left="0" w:firstLine="709"/>
        <w:rPr>
          <w:lang w:val="ru-RU"/>
        </w:rPr>
      </w:pPr>
      <w:bookmarkStart w:id="4" w:name="_Toc124777478"/>
      <w:bookmarkStart w:id="5" w:name="_Toc124777252"/>
      <w:r>
        <w:rPr>
          <w:lang w:val="ru-RU"/>
        </w:rPr>
        <w:t xml:space="preserve">Целью является </w:t>
      </w:r>
      <w:bookmarkEnd w:id="4"/>
      <w:bookmarkEnd w:id="5"/>
      <w:r>
        <w:rPr>
          <w:lang w:val="ru-RU"/>
        </w:rPr>
        <w:t xml:space="preserve">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</w:t>
      </w:r>
      <w:r>
        <w:rPr>
          <w:rFonts w:eastAsia="Calibri"/>
          <w:sz w:val="24"/>
          <w:szCs w:val="24"/>
          <w:lang w:val="ru-RU"/>
        </w:rPr>
        <w:t>(Шкафы РЗА).</w:t>
      </w:r>
    </w:p>
    <w:p>
      <w:pPr>
        <w:pStyle w:val="211"/>
        <w:numPr>
          <w:ilvl w:val="0"/>
          <w:numId w:val="7"/>
        </w:numPr>
        <w:spacing w:lineRule="auto" w:line="276"/>
        <w:ind w:left="0" w:firstLine="709"/>
        <w:rPr>
          <w:lang w:val="ru-RU"/>
        </w:rPr>
      </w:pPr>
      <w:r>
        <w:rPr>
          <w:lang w:val="ru-RU"/>
        </w:rPr>
        <w:t>Задачей поставщика является поставка указанных в таблице 1.1 к настоящим требованиям оборудования своими силами в адрес Заказчика.</w:t>
      </w:r>
    </w:p>
    <w:p>
      <w:pPr>
        <w:pStyle w:val="Heading1"/>
        <w:keepLines/>
        <w:numPr>
          <w:ilvl w:val="0"/>
          <w:numId w:val="3"/>
        </w:numPr>
        <w:spacing w:lineRule="auto" w:line="276" w:before="120" w:after="120"/>
        <w:ind w:left="0" w:firstLine="709"/>
        <w:jc w:val="center"/>
        <w:rPr>
          <w:b w:val="false"/>
          <w:iCs/>
          <w:caps/>
          <w:lang w:val="ru-RU"/>
        </w:rPr>
      </w:pPr>
      <w:bookmarkStart w:id="6" w:name="_Toc127283965"/>
      <w:r>
        <w:rPr>
          <w:iCs/>
        </w:rPr>
        <w:t>Требования к продукции</w:t>
      </w:r>
      <w:bookmarkEnd w:id="6"/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>
          <w:b w:val="false"/>
        </w:rPr>
      </w:pPr>
      <w:bookmarkStart w:id="7" w:name="_Toc127283966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3"/>
        </w:numPr>
        <w:spacing w:lineRule="auto" w:line="276" w:before="120" w:after="120"/>
        <w:jc w:val="both"/>
        <w:rPr>
          <w:b w:val="false"/>
        </w:rPr>
      </w:pPr>
      <w:bookmarkStart w:id="8" w:name="_Toc127283967"/>
      <w:r>
        <w:rPr>
          <w:lang w:val="ru-RU"/>
        </w:rPr>
        <w:t>Перечень и объем закупаемой продукции</w:t>
      </w:r>
      <w:bookmarkEnd w:id="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szCs w:val="24"/>
          <w:lang w:val="ru-RU"/>
        </w:rPr>
      </w:pPr>
      <w:bookmarkStart w:id="9" w:name="_Toc12728396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9"/>
    </w:p>
    <w:tbl>
      <w:tblPr>
        <w:tblW w:w="98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97"/>
        <w:gridCol w:w="3112"/>
        <w:gridCol w:w="933"/>
        <w:gridCol w:w="918"/>
        <w:gridCol w:w="1276"/>
        <w:gridCol w:w="2731"/>
      </w:tblGrid>
      <w:tr>
        <w:trPr/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ОКПД 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/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 110 кВ Табага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Релейная защита и автоматика. Трансформаторы Т-1, Т-2 2266-26-РЗ1.2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rPr>
                <w:bCs/>
                <w:color w:val="000000"/>
                <w:sz w:val="20"/>
                <w:szCs w:val="20"/>
              </w:rPr>
            </w:pPr>
            <w:commentRangeStart w:id="0"/>
            <w:r>
              <w:rPr>
                <w:bCs/>
                <w:color w:val="000000"/>
                <w:sz w:val="20"/>
                <w:szCs w:val="20"/>
              </w:rPr>
              <w:t>Шкаф основных защит силового трансформатора ШЭ2607 048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резервных защит трансформатора и управления выключателем напряжением 110-220 кВ ШЭ2607 019074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регулирования напряжения под нагрузкой ШЭ2607 157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Шкаф защиты, автоматики и управления вводов 6-10 кВ ШЭ2607 162-61Е2УХЛ4</w:t>
            </w:r>
            <w:commentRangeEnd w:id="0"/>
            <w:r>
              <w:commentReference w:id="0"/>
            </w:r>
            <w:r>
              <w:rPr>
                <w:sz w:val="20"/>
                <w:szCs w:val="28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ОМП КВЛ 110 кВ Туймаада ТЭЦ — Табага I цепь, II цепь с отпайками 2266-26-ЭУ1.2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rStyle w:val="Style21"/>
                <w:bCs/>
                <w:color w:val="000000"/>
                <w:sz w:val="20"/>
                <w:szCs w:val="28"/>
              </w:rPr>
              <w:t xml:space="preserve">Шкаф волнового ОМП ШРЗ.20-110-2  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Противоаварийная автоматика 22-66-26-ПА1.2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ТМ ПА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Strong4"/>
                <w:b w:val="false"/>
                <w:color w:val="000000"/>
                <w:sz w:val="20"/>
                <w:szCs w:val="20"/>
              </w:rPr>
              <w:t>27.12.31.000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ИП ПА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Strong4"/>
                <w:b w:val="false"/>
                <w:color w:val="000000"/>
                <w:sz w:val="20"/>
                <w:szCs w:val="20"/>
              </w:rPr>
              <w:t>27.12.31.000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 110 кВ Восточная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Релейная защита, автоматика и управления 2174-ИОС5.7.5, 2174-ИОС5.7.8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Шкаф продольной дифференциальной защиты линии с функциями ступенчатых защит, 1 и 2 комплекты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3"/>
                <w:b w:val="false"/>
                <w:color w:val="000000"/>
                <w:sz w:val="20"/>
                <w:szCs w:val="20"/>
              </w:rPr>
              <w:t>27.12.23.190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</w:tbl>
    <w:p>
      <w:pPr>
        <w:pStyle w:val="Heading3"/>
        <w:numPr>
          <w:ilvl w:val="2"/>
          <w:numId w:val="3"/>
        </w:numPr>
        <w:spacing w:lineRule="auto" w:line="276" w:before="120" w:after="120"/>
        <w:jc w:val="both"/>
        <w:rPr>
          <w:b w:val="false"/>
          <w:lang w:val="ru-RU"/>
        </w:rPr>
      </w:pPr>
      <w:bookmarkStart w:id="10" w:name="_Toc127283969"/>
      <w:r>
        <w:rPr>
          <w:lang w:val="ru-RU"/>
        </w:rPr>
        <w:t>Требования к срокам поставки продукции и оказания сопутствующих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szCs w:val="24"/>
          <w:lang w:val="ru-RU"/>
        </w:rPr>
      </w:pPr>
      <w:bookmarkStart w:id="11" w:name="_Toc12728397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1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2"/>
        <w:gridCol w:w="2989"/>
        <w:gridCol w:w="2690"/>
        <w:gridCol w:w="3119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1.1 Перечень и объем закупаемой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120 календарных дней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2" w:name="_Toc51339698"/>
      <w:bookmarkStart w:id="13" w:name="_Toc50125131"/>
      <w:bookmarkStart w:id="14" w:name="_Toc75446581"/>
      <w:bookmarkStart w:id="15" w:name="_Toc127283971"/>
      <w:bookmarkStart w:id="16" w:name="_Toc46743511"/>
      <w:r>
        <w:rPr/>
        <w:t xml:space="preserve">Требования к </w:t>
      </w:r>
      <w:bookmarkEnd w:id="16"/>
      <w:r>
        <w:rPr>
          <w:lang w:val="ru-RU"/>
        </w:rPr>
        <w:t>качеству продукции</w:t>
      </w:r>
      <w:bookmarkEnd w:id="14"/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17" w:name="_Toc127283972"/>
      <w:bookmarkStart w:id="18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7"/>
      <w:bookmarkEnd w:id="18"/>
      <w:r>
        <w:rPr>
          <w:sz w:val="24"/>
          <w:szCs w:val="24"/>
        </w:rPr>
        <w:t xml:space="preserve"> </w:t>
      </w:r>
      <w:bookmarkEnd w:id="12"/>
      <w:bookmarkEnd w:id="13"/>
      <w:r>
        <w:rPr>
          <w:rStyle w:val="Style8"/>
          <w:b/>
          <w:i w:val="false"/>
          <w:sz w:val="24"/>
          <w:szCs w:val="24"/>
          <w:shd w:fill="auto" w:val="clear"/>
        </w:rPr>
        <w:t xml:space="preserve">ПС 110 кВ Табага. </w:t>
      </w:r>
      <w:r>
        <w:rPr>
          <w:rStyle w:val="Style8"/>
          <w:b/>
          <w:bCs/>
          <w:i w:val="false"/>
          <w:sz w:val="24"/>
          <w:szCs w:val="24"/>
          <w:shd w:fill="auto" w:val="clear"/>
        </w:rPr>
        <w:t>Релейная защита , автоматика и управление.</w:t>
      </w:r>
    </w:p>
    <w:tbl>
      <w:tblPr>
        <w:tblW w:w="152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3"/>
        <w:gridCol w:w="3097"/>
        <w:gridCol w:w="5243"/>
        <w:gridCol w:w="1892"/>
        <w:gridCol w:w="2275"/>
        <w:gridCol w:w="1443"/>
        <w:gridCol w:w="235"/>
      </w:tblGrid>
      <w:tr>
        <w:trPr>
          <w:trHeight w:val="461" w:hRule="atLeast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2" w:hRule="atLeast"/>
        </w:trPr>
        <w:tc>
          <w:tcPr>
            <w:tcW w:w="1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3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keepLines/>
              <w:widowControl w:val="false"/>
              <w:tabs>
                <w:tab w:val="clear" w:pos="0"/>
              </w:tabs>
              <w:spacing w:before="0" w:after="0"/>
              <w:ind w:left="0" w:hanging="0"/>
              <w:rPr/>
            </w:pPr>
            <w:r>
              <w:rPr>
                <w:rStyle w:val="Style8"/>
                <w:b/>
                <w:bCs/>
                <w:i w:val="false"/>
                <w:sz w:val="20"/>
                <w:szCs w:val="20"/>
                <w:shd w:fill="auto" w:val="clear"/>
              </w:rPr>
              <w:t>1.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keepLines/>
              <w:widowControl w:val="false"/>
              <w:tabs>
                <w:tab w:val="clear" w:pos="0"/>
              </w:tabs>
              <w:spacing w:before="0" w:after="0"/>
              <w:ind w:left="0" w:hanging="0"/>
              <w:rPr/>
            </w:pPr>
            <w:r>
              <w:rPr>
                <w:bCs/>
                <w:sz w:val="20"/>
                <w:szCs w:val="20"/>
              </w:rPr>
              <w:t xml:space="preserve">Требования к </w:t>
            </w:r>
            <w:r>
              <w:rPr>
                <w:bCs/>
                <w:sz w:val="20"/>
                <w:szCs w:val="20"/>
                <w:lang w:val="ru-RU"/>
              </w:rPr>
              <w:t>продукции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rStyle w:val="Style8"/>
                <w:b/>
                <w:bCs/>
                <w:i w:val="false"/>
                <w:sz w:val="20"/>
                <w:szCs w:val="20"/>
                <w:shd w:fill="auto" w:val="clear"/>
              </w:rPr>
              <w:t xml:space="preserve">ПС 110 кВ Табага. Релейная защита и автоматика. Трансформаторы Т-1, Т-2 </w:t>
            </w:r>
            <w:r>
              <w:rPr>
                <w:rStyle w:val="Style8"/>
                <w:b/>
                <w:bCs/>
                <w:i w:val="false"/>
                <w:sz w:val="20"/>
                <w:szCs w:val="20"/>
                <w:shd w:fill="auto" w:val="clear"/>
                <w:lang w:val="ru-RU"/>
              </w:rPr>
              <w:t xml:space="preserve">(РД </w:t>
            </w:r>
            <w:r>
              <w:rPr>
                <w:rStyle w:val="Style8"/>
                <w:b/>
                <w:bCs/>
                <w:i w:val="false"/>
                <w:sz w:val="20"/>
                <w:szCs w:val="20"/>
                <w:shd w:fill="auto" w:val="clear"/>
              </w:rPr>
              <w:t>2266-26-РЗ1.2</w:t>
            </w:r>
            <w:r>
              <w:rPr>
                <w:rStyle w:val="Style8"/>
                <w:b/>
                <w:bCs/>
                <w:i w:val="false"/>
                <w:sz w:val="20"/>
                <w:szCs w:val="20"/>
                <w:shd w:fill="auto" w:val="clear"/>
                <w:lang w:val="ru-RU"/>
              </w:rPr>
              <w:t>)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3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основных защит трансформатора ШЭ2607 048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Версия ПО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041_305 Типовое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Реализуемые функции терминала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дифференциальную токовую защиту Т (ДТЗ) от всех видов КЗ внутри бака;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токовую защиту нулевой последовательности стороны высшего напряжения ВН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(ТЗНП);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максимальную токовую защиту стороны высокого напряжения (ВН) с пуском по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напряжению (МТЗ ВН);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максимальную токовую защиту стороны низшего напряжения 1 секции (НН1) с пуском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напряжению (МТЗ НН1);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реле минимального напряжения стороны НН1, реагирующие на понижение междуфазного напряжения для пуска по напряжению МТЗ ВН, МТЗ НН1;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реле максимального напряжения стороны НН1, реагирующие на повышение напряжения обратной последовательности для пуска по напряжению МТЗ ВН, МТЗ НН1;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защиту от перегрузки (ЗП);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реле тока для блокировки РПН при перегрузке;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токовые реле для пуска автоматики охлаждения;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реле минимального напряжения стороны НН1, реагирующие на понижение междуфазного напряжения для блокировки РПН;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УРОВ выключателя ВН;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Защиту от потери охлаждения;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ГЗТ сигнальная и отключающая ступени;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ГЗ РПН;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логику пуска пожаротушения.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 предназначен для работы в следующих условиях: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номинальные значения климатических факторов внешней среды по ГОСТ 15543.1-89 и ГОСТ 15150-69, при этом: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нижнее предельное рабочее значение температуры окружающего воздуха – минус 5 °С (без выпадения инея и росы);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верхнее предельное рабочее значение температуры окружающего воздуха – плюс 55 °С;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верхнее рабочее значение относительной влажности воздуха – не более 80 % при температуре 25 °С;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высота над уровнем моря не более 2000 м;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тип атмосферы – II;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окружающая среда невзрывоопасная, не содержащая токопроводящей пыли, агрессивных газов и паров в концентрациях, разрушающих изоляцию и металлы;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 место установки терминала должно быть защищено от попадания брызг воды, масел, эмульсий, а также от прямого воздействия солнечного излучения;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рабочее положение терминала в пространстве - вертикальное с отклонением от рабочего положения до 5° в любую сторону.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Степень загрязнения 1 (загрязнение отсутствует или имеется только сухое, непроводящее загрязнение) по ГОСТ Р 51321.1-2007 (МЭК 60439-1:2004).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Группа механического исполнения терминала в части воздействия механических факторов внешней среды М40 по ГОСТ 30631-99. Терминал выдерживает вибрационные нагрузки в диапазоне частот от 0,5 до 100 Гц с максимальным ускорением до 0,7g.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Оболочка терминала имеет степень защиты от прикосновения к токоведущим частям и попадания твёрдых посторонних тел IР20 по ГОСТ 14254-2015 (IEC 60529-2013).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Терминал выдерживает сейсмическую нагрузку до 9 баллов включительно по шкале MSK-64 при высотной установке до 30 м по ГОСТ 30546.1-98, ГОСТ 30546.2-98.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параметры терминала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Основные параметры терминала – 220;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Допустимые длительные отклонения напряжения, –20 +10%;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Допустимый уровень (размах) пульсаций по ГОСТ Р 51317.4.17–2000 (МЭК 61000-4-17-99), 15 %;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Провалы напряжения электропитания по IEC 61000-4-29(2000): в течение 1,0 с, % от номинального 30, в течение 0,1 с, % от номинального 60;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Допустимый перерыв питания терминала без перезапуска до 150 мс, с перезапуском терминала свыше 150 мс.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Микроэлектронная часть терминала гальванически отделена от источника оперативного постоянного тока.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Контакты выходных реле терминала не замыкаются ложно при подаче и снятии напряжения оперативного постоянного тока с перерывом любой длительности.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Контакты выходных реле терминала не замыкаются ложно, а аппаратура терминала не повреждается при подаче напряжения оперативного постоянного тока обратной полярности.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Время готовности терминала после подачи питания не более 5 с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терминала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прием аналоговых сигналов от трансформаторов тока и напряжения и преобразование их в цифровой вид;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прием входных дискретных сигналов;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управление выходными реле;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выполнение функций релейной защиты и (или) автоматики в зависимости от установленного в терминале программного обеспечения;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местное управление посредством кнопок управления и визуализацию выводимой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информации с помощью графического TFT дисплея; местную световую сигнализацию, осуществляемую с помощью двухцветных светодиодных индикаторов;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осциллографирование аварийных процессов;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регистрацию событий;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функцию измерения электрических параметров сети переменного тока (наличие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зависит от конфигурации терминала);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приём импульсов синхронизации времени от системы точного времени по оптическому каналу связи;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взаимодействие с различными системами АСУ ТП и комплексом программ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EKRASMS посредством цифровых каналов связи;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формирование GOOSE-сообщений по сети Ethernet в соответствии с протоколом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МЭК 61850-8-1 (в зависимости от исполнения терминала);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приём GOOSE-сообщений по сети Ethernet в соответствии с протоколом МЭК 61850-8-1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зависимости от исполнения терминала);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прием цифровых отсчетов сигналов (ЦО, или SV - Sampled Values) по «шине процесса» в соответствии со спецификацией МЭК 61850-9-2LE (в зависимости от исполнения терминала).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Предусмотрен непрерывный (функциональный) контроль работоспособности терминала с действием (в случае обнаружения неисправности) на внешнюю сигнализацию и регистрацию внутренних событий. Функциональным контролем проверяется: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исправность элементов управления выходными реле;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исправность, сохранность и целостность данных памяти уставок;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сохранность исполняемого кода, целостность программного обеспечения;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состояние и правильность обмена информации с сигнальным процессором модуля ввода аналоговых сигналов;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состояние и правильность обмена информацией с коммуникационным процессором;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состояние и исправность CF-карты памяти осциллограмм; </w:t>
            </w:r>
          </w:p>
          <w:p>
            <w:pPr>
              <w:pStyle w:val="BodyText3"/>
              <w:widowControl w:val="false"/>
              <w:spacing w:before="0"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состояние и исправность статического ОЗУ памяти данных регистратора логических сигналов; – состояние и исправность часов автономных реального времени;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состояние и правильность установки блоков дискретных входов и выходов;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исправность, сохранность и целостность данных памяти настроек модулей ввода аналоговых сигналов;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температурный режим процессорного модуля;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исправность блока питания (БП), правильность работы аналого-цифрового преобразователя (АЦП).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ток,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или 5 А переключение электронным (программным) способом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интерфейсов (портов) связи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Ethernet для МЭК 61850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электрических порта RJ45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лицевой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панели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светодиода и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электронных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оперативного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Механические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оперативные ключи на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двери / плите шкафа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переключения группы уставок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Механический переключатель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группы уставок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Козырек,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Передняя дверь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Двухстороннее обслуживание с металлическим с обзорным окном (типовое исполнение).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Задняя металлическая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дверь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Распашная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 каркаса шкафа (ШхГхВ),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х 608(660) х 2000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Цоколь,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Подвод кабеля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Снизу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надежности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ГОСТ 27.003-2016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резервной защиты трансформатора и управления выключателем напряжением 110-220 кВ ШЭ2607 019074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Версия программного обеспечения (ПО) и реализуемые функции – комплект А.1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019_400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Реализуемые функции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АПВ (АПВ);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узел включения выключателя (Включение выключателя);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узел отключения выключателя (Отключение выключателя);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защиты от непереключения фаз и неполнофазного режима (ЗНФ и ЗНФР);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узел приема технологической сигнализации выключателя и трансформатора тока (Выключатель и ТТ);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защиту электромагнитов (ЭМ) управления от длительного протекания тока (Защита ЭМУ);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узел АВР;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узел контроля исправности цепей ЭМ управления (Неисправность цепей ЭМУ).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Версия программного обеспечения (ПО) и реализуемые функции – комплект А.2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074_400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Реализуемые функции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двухступенчатую максимальную токовую защиту стороны ВН с комбинированным пуском по напряжению (МТЗ ВН);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токовую ненаправленную защиту нулевой последовательности стороны ВН (ТЗНП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защиту от перегрузки (ЗП);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защиту от неполнофазного режима работы (ЗНР);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газовые защиты трансформатора и регулятора под нагрузкой (ГЗТ и ГЗ РПН);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технологическую защиту трансформатора (ТЗ);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УРОВ. 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 предназначен для работы в следующих условиях: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Аналогично п. 2.1.3 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Основные параметры терминала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Аналогично п. 2.1.4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Характеристики терминала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Аналогично п 2.1.5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ток,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или 5 А переключение электронным (программным) способом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интерфейсов (портов) связи Ethernet для МЭК 61850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электрических порта RJ45 (в портах передаются MMS совместно с GOOSE (48/32) * (типовое)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лицевой панели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светодиода и 16 электронных ключей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оперативного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Механические оперативные ключи на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двери / плите шкафа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переключения группы уставок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Механический переключатель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группы уставок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Козырек,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обслуживания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Двухстороннее обслуживание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каркаса шкафа (ШхГхВ),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х 608(660) х 2000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Передняя дверь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Металлическая с обзорным окном (типовое исполнение)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Цоколь,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Подвод кабеля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Снизу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11.2.20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надежности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ГОСТ 27.003-2016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регулирования напряжения под нагрузкой ШЭ2607 157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Версия ПО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605_570 Типовое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ток,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или 5 А переключение электронным (программным) способом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интерфейсов (портов) связи Ethernet для МЭК 61850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электрических порта RJ45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обслуживания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Двухстороннее обслуживание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(типовое исполнение)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Передняя дверь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Металлическая с обзорным окном (типовое исполнение)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Задняя металлическая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дверь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Распашная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 шкафа (Ш х Г х В), мм,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учета цоколя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х 660 х 2000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Цоколь,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Подвод кабеля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Снизу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Указатель положения РПН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УП-25-Г-RS485-ТП-Бл-РВ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терминалов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(Т-1, Т-2)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Диспетчерское наименование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АРКТ Т-1, Т-2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надежности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ГОСТ 27.003-2016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защиты, автоматики и управления вводов 6-10 кВ ШЭ2607 162-61Е1УХЛ4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~I НОМ 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-U НОМ 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 НОМ , Гц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интерфейса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Нетиповое исполнение 1 (типовой вариант для МЭК 61850)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Передняя дверь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металлическая с обзорным окном (типовое исполнение)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Высота козырька,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 шкафа (ширина × глубина × высота, высота цоколя), мм 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 х 660 х 2155, в т.ч. цоколь 100.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Типовое исполнение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конструктив ШМЭ (НПП ЭКРА), двустороннего обслуживания.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Задняя дверь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распашная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шкафов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Автоматы питания ЭМУ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АП50Б (поставляется россыпью), I ном 32А,  хар-ка С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шкафов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терминалов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Диспетчерское наименование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РЗА В 10 Т-1 (МТЗ, ЗМН, АУВ),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РЗА В 10 Т-2 (МТЗ, ЗМН, АУВ)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Реализуемые функции БЭ2502А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автоматического управления выключателем (АУВ);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устройства резервирования отказа выключателя (УРОВ);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автоматического повторного включения (АПВ);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автоматического включения резерва (АВР);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трехступенчатой максимальной токовой защиты (МТЗ);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защиты от неполнофазного режима (ЗНР);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защиты от дуговых замыканий (ЗДЗ);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логической защиты шин (ЛЗШ);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защиты минимального напряжения (ЗМН);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защиты от однофазных замыканий на землю (ЗОЗЗ)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ВНР;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два ИО направления мощности для МТЗ;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ИО минимального напряжения пуска МТЗ по напряжению;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ИО напряжения обратной последовательности.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0"/>
                <w:szCs w:val="20"/>
              </w:rPr>
              <w:t xml:space="preserve">Требования к продукции </w:t>
            </w:r>
            <w:r>
              <w:rPr>
                <w:rStyle w:val="Style8"/>
                <w:bCs/>
                <w:i w:val="false"/>
                <w:sz w:val="20"/>
                <w:szCs w:val="20"/>
                <w:shd w:fill="auto" w:val="clear"/>
              </w:rPr>
              <w:t xml:space="preserve">ПС 110 кВ Табага. </w:t>
            </w:r>
            <w:r>
              <w:rPr>
                <w:b/>
                <w:bCs/>
                <w:sz w:val="20"/>
                <w:szCs w:val="20"/>
              </w:rPr>
              <w:t>ОМП КВЛ 110 кВ Туймаада ТЭЦ — Табага I цепь, II цепь с отпайками 2266-26-ЭУ1.2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Шкаф волнового ОМП ШРЗ.20-110-2 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 каркаса шкафа,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800х2000х600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Высота козырька,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Цоколь,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Исполнение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pacing w:before="0" w:after="120"/>
              <w:ind w:right="12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Двустороннее обслуживание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5"/>
              <w:widowControl w:val="false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5"/>
              <w:widowControl w:val="false"/>
              <w:rPr/>
            </w:pPr>
            <w:r>
              <w:rPr>
                <w:rFonts w:cs="Arial"/>
              </w:rPr>
              <w:t>сверху и снизу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6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механической прочност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6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М40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6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Пылевлагозащита корпуса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6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IP41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терминалов ОМП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Руководство по эксплуатации на терминал 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 ОМП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Волновой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Функции ОМП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рабочих температур t0 С от - 40 до +55 (работоспособность при +70)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влажность, верхнее рабочее значение 98% при 25°С для УХЛ3.1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Выпадение инея с последующим оттаиванием Недопустимо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Прочность изоляции, не менее 1 минуты 2,0 кВ, 50 Гц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Сопротивление изоляции, не менее, Мом 100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настройки блока и считывания аварийной информации с питанием только по USB (без оперативного тока)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Напряжение оперативного питания, В ~/= 110/220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 диапазон напряжения оперативного питания, В 88-242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(покой/срабатывание), Вт 6/9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Допустимый уровень пульсации постоянного и выпрямленного напряжения от 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ном, % ±12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Устойчивость к 100% провалам напряжения без перезапуска устройства, с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готовности устройства, после подачи оперативного питания при первом включения, с 0,2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Импульс тока в момент включения, А 10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импульса тока при включении, мс 1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переменный фазный ток (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ном), А 1/5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ток нулевой последовательности (3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0), 1/5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контролируемых значений тока (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ном), А 0,05…50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контролируемых значений тока нулевой последовательности (3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0), А 0,05…50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Термическая стойкость токовых цепей 1А и 5А (длительно/кратковременно 10 с) 4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ном/80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Термическая стойкость токовых цепей 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 0,02/0,1/0,2А (длительно/кратковременно 10 с) 4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ном/100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                                        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линейное напряжение (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ном), В 100/220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Диапазон контролируемых значений напряжения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100 В: 2,5–200 В; для 220 В: 5–480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Термическая стойкость цепей напряжения (длительно/в течение 10 с): </w:t>
            </w:r>
            <w:r>
              <w:rPr/>
              <w:t xml:space="preserve">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для Uном=100 В: 250 В длит., 350 В (10 с);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220 В: 550 В длит., 600 В (10 с)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по цепям переменного напряжения, ВА, на фазу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при номинальном токе, ВА на фазу, не более 0,1(0,2А) 0,2(1А) 0,5(5А)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Номинальная частота, Гц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 диапазон частоты переменного тока, Гц 45-55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Дискретные входы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Программируемые входы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оперативного питания дискретных входов, В ~/= 220/110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Уровни напряжения управления, 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ном: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порог срабатывания дискретного входа                  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220В 158-170 В / 110В 82-88 В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порог возврата дискретного входа, В                       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220В 154-132 В / 110В 80-70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Устойчивость к перенапряжению дискретного входа, В~250 В =300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срабатывания, мс 0-60000мс с шагом 1 мс (изменяется уставкой)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Потребляемый ток при поданном напряжении управления, не более, мА 3(110В), 4(220В)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Амплитуда импульса режекции тока, мА 20(110В), 40(220В)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импульса режекции тока, мс 5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Дискретные выходы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Программируемые выходы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коммутируемых напряжений, В ~440/=300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 коммутируемый переменный ток при замыкании / размыкании цепи, А 10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Длительно коммутируемый постоянный ток при замыкании / размыкании цепи (активно-индуктивная нагрузка с постоянной времени </w:t>
            </w:r>
            <w:r>
              <w:rPr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</w:rPr>
              <w:t xml:space="preserve"> не более 20 мс), А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реле управления КА: 40 А длительностью 0,03 с, 30 А длительностью 0,2 с, 15 А длительностью 0,3 с, 10 А длительностью 1 с / 0,25 А;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сигнальное реле: 8А / 0,6 А;                             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усиленные выходные реле:150А / 5 А;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выходных реле, не менее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реле управления КА: 2 000 циклов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сигнальное двухполюсное реле: 10 000 циклов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усиленные выходные реле: 10 000 циклов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Коммуникационные интерфейсы (порты связи, протоколы связи с АСУ)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Коммуникационные интерфейсы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Передний порт: USB 2.0 (работа с устройством без опер. питания)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Задние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порты</w:t>
            </w:r>
            <w:r>
              <w:rPr>
                <w:color w:val="000000"/>
                <w:sz w:val="20"/>
                <w:szCs w:val="20"/>
                <w:lang w:val="en-US"/>
              </w:rPr>
              <w:t>: 2 х Ethernet 100 Base-T(F),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 x RS-485/ВОЛС/ Ethernet 100 Base-T(F),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ВОЛС(АСУ)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Протоколы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передачи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данных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МЭК 60870-5-101; МЭК 60870-5-103; ModBus-RTU; ModBus-ASCII; SPA-Bus;                                 ModBus-TCP; МЭК 60870-5-104; IEC 61850-8-1 MMS; IEC 61850-8-1 GOOSE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Протокол резервирования передачи данных МЭК 62439-3 (PRP).               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Поддержка МЭК 61850-8-1 (MMS, GOOSE)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Синхронизация времени МЭК 60870-5-103, МЭК 60870-5-104, МЭК 60870-5-101,   </w:t>
            </w:r>
            <w:r>
              <w:rPr>
                <w:color w:val="000000"/>
                <w:sz w:val="20"/>
                <w:szCs w:val="20"/>
                <w:lang w:val="en-US"/>
              </w:rPr>
              <w:t>ModBus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/>
              </w:rPr>
              <w:t>SPA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Bus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/>
              </w:rPr>
              <w:t>NTPv</w:t>
            </w:r>
            <w:r>
              <w:rPr>
                <w:color w:val="000000"/>
                <w:sz w:val="20"/>
                <w:szCs w:val="20"/>
              </w:rPr>
              <w:t>4/</w:t>
            </w:r>
            <w:r>
              <w:rPr>
                <w:color w:val="000000"/>
                <w:sz w:val="20"/>
                <w:szCs w:val="20"/>
                <w:lang w:val="en-US"/>
              </w:rPr>
              <w:t>SNTPv</w:t>
            </w:r>
            <w:r>
              <w:rPr>
                <w:color w:val="000000"/>
                <w:sz w:val="20"/>
                <w:szCs w:val="20"/>
              </w:rPr>
              <w:t xml:space="preserve">4, </w:t>
            </w:r>
            <w:r>
              <w:rPr>
                <w:color w:val="000000"/>
                <w:sz w:val="20"/>
                <w:szCs w:val="20"/>
                <w:lang w:val="en-US"/>
              </w:rPr>
              <w:t>NMEA</w:t>
            </w:r>
            <w:r>
              <w:rPr>
                <w:color w:val="000000"/>
                <w:sz w:val="20"/>
                <w:szCs w:val="20"/>
              </w:rPr>
              <w:t xml:space="preserve">0183, </w:t>
            </w:r>
            <w:r>
              <w:rPr>
                <w:color w:val="000000"/>
                <w:sz w:val="20"/>
                <w:szCs w:val="20"/>
                <w:lang w:val="en-US"/>
              </w:rPr>
              <w:t>PPS</w:t>
            </w:r>
            <w:r>
              <w:rPr>
                <w:color w:val="000000"/>
                <w:sz w:val="20"/>
                <w:szCs w:val="20"/>
              </w:rPr>
              <w:t>, IEEE 1588 PTPv2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Осциллографирование и регистрация событий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Осциллографирование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хранимых осциллограмм 80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длина осциллограмм, с не менее 30 шт. с длительностью не менее 10 с. (с включенной функцией архивации)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сигналов в осциллограмме все аналоговые, дискретные: до 256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Частота выборки, Гц 1000, 2000, 4000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записи предшествующего режима (до возникновения условия пуска) (100-1000) мс, шаг 100 мс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записи поставарийного режима (аварийный режим + послеаварийный режим) (500 – 5000) мс, шаг 100 мс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длительность режима, мс (1000 – 15000) мс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записей РАС До 1500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добавления сигналов в осциллограмму да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параметры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Учет остаточного ресурса выключателя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Возможности создания дополнительной «гибкой» логики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Групп уставок до 8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Средняя наработка на отказ сменного элемента, не менее, час 125000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Среднее время восстановления работоспособного состояния терминала при наличии полного комплекта запасных блоков с учетом времени нахождения неисправности, не более, час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Гарантия, лет 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срок службы, лет 25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сертификатов соответствия, ЗАК ПАО «Россети», </w:t>
            </w:r>
          </w:p>
          <w:p>
            <w:pPr>
              <w:pStyle w:val="ListParagraph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ПАО «ФСК ЕЭС», МИНПРОМТОРГ, АО «СО ЕЭС»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 тестирование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Самодиагностика да</w:t>
            </w:r>
          </w:p>
          <w:p>
            <w:pPr>
              <w:pStyle w:val="BodyText"/>
              <w:widowControl w:val="false"/>
              <w:spacing w:before="0" w:after="0"/>
              <w:ind w:right="-51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корпуса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светодиодов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настройки блока и считывания аварийной информации с питанием только по USB (без оперативного тока)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отображения мнемосхемы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аналоговых входов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переменный фазный ток,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84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диапазон по цепям переменного тока,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ном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0,01 - 50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Номинальное линейное напряжение (Uном), В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диапазон по цепям переменного напряжения,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до 264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0"/>
                <w:szCs w:val="20"/>
              </w:rPr>
              <w:t xml:space="preserve">Требования к продукции </w:t>
            </w:r>
            <w:r>
              <w:rPr>
                <w:rStyle w:val="Style8"/>
                <w:bCs/>
                <w:i w:val="false"/>
                <w:sz w:val="20"/>
                <w:szCs w:val="20"/>
                <w:shd w:fill="auto" w:val="clear"/>
              </w:rPr>
              <w:t>ПС 110 кВ Табага Противоаварийная автоматика 2266-26-ПА1.2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телемеханики противоавариной автоматики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данные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  <w:t>Согласно задания заводу на шкаф ТМ ПА 55181848.423286.26.15-АТХ1.ЗЗ1 в соответствии с РД 2266-26-ПА1.2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измерительных преобразователей противоавариной автоматики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данные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  <w:t>Согласно задания заводу на шкаф ТМ ПА 55181848.423286.26.15-АТХ1.ЗЗ2 в соответствии с РД 2266-26-ПА1.2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0"/>
                <w:szCs w:val="20"/>
              </w:rPr>
              <w:t xml:space="preserve">Требования к продукции </w:t>
            </w:r>
            <w:r>
              <w:rPr>
                <w:rStyle w:val="Style8"/>
                <w:bCs/>
                <w:i w:val="false"/>
                <w:sz w:val="20"/>
                <w:szCs w:val="20"/>
                <w:shd w:fill="auto" w:val="clear"/>
              </w:rPr>
              <w:t xml:space="preserve">ПС 110 кВ Восточная. </w:t>
            </w:r>
            <w:r>
              <w:rPr>
                <w:b/>
                <w:bCs/>
                <w:sz w:val="20"/>
                <w:szCs w:val="20"/>
              </w:rPr>
              <w:t>Релейная защита, автоматика и управления 2174-ИОС5.7.5, 2174-ИОС5.7.8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Шкаф продольной дифференциальной защиты линии с функциями ступенчатых защит, 1 и 2 комплекты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ШРЗ.01-110-2 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шкафов, шт.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Схема распределительного устройства подстанции 110-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одним выключателем на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присоединение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оперативного тока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220В постоянного тока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Аналоговые цепи переменного тока (фазные токи), 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Аналоговые цепи переменного тока 3IO параллельной линии (для 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функции ОМП), А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МП устройства в составе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функциональных клавиш, Алфавитно-цифровой (И1)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Цепи связи с АСУ ХТ1, ХТ2 (Порты Ethernet)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Ethernet электрический (RJ45), МЭК 61850-8-1 MMS, МЭК 61850-8-1 GOOSE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Цепи связи с АСУ XT4, XT5 (Порты RS-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485/ВОЛС)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RS-485 (MSTB 2,5), МЭК 60870-5- 103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 тип каналов связи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и резервный (Два)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Основной канал связи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Одномодовое оптоволокно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9/125мкм (SC)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канал связи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Одномодовое оптоволокно 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9/125мкм (SC)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металлоконструкции и габаритные размеры,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2000х800х600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цоколя (высота шкафа увеличивается на высоту цоколя),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 и расположение козырька для диспетчерского 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(высота шкафа увеличивается на высоту козырька)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200мм с обеих сторон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шкафа (Двустороннее или Односторонние)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Двусторонние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передней двери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 смотровым окном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задней двери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Двустворчатая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Подвод кабеля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Снизу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 шкафа испытательными блоками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 (ЧЭАЗ)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 шкафа клеммами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Пружинные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IP54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шкаф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 и категория размещения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УХЛ4 (от +1ºС до +40ºС)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Диспетчерское наименование шкафа №17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ДЗЛ (1 и 2 комплект) КВЛ 110кВ Туймаада ТЭЦ –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 I цепь с отпайкой на ПС Восточная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Диспетчерское наименование шкафа №18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ДЗЛ (1 и 2 комплект) КВЛ 110кВ Туймаада ТЭЦ –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 II цепь с отпайкой на ПС Восточная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4.1.26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Терминал ТОР 300 ДЗЛ 563 177, И1, 220, УХЛ3.1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рабочих температур t0 С от - 40 до +45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 (ВхШхГ) –276х273х239 мм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влажность, верхнее рабочее значение 98% при 25°С для УХЛ3.1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Выпадение инея с последующим оттаиванием Недопустимо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Прочность изоляции, не менее 1 минуты 2,0 кВ, 50 Гц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Сопротивление изоляции, не менее, Мом 100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настройки блока и считывания аварийной информации с питанием только по USB (без оперативного тока)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переназначаемых светодиодов: 26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переназначаемых кнопок 16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Напряжение оперативного питания, В ~/= 110/220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 диапазон напряжения оперативного питания, В 88-242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(покой/срабатывание), Вт 20/30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Допустимый уровень пульсации постоянного и выпрямленного напряжения от 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ном, % ±12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Устойчивость к 100% провалам напряжения без перезапуска устройства, с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готовности устройства, после подачи оперативного питания при первом включения, не более 10 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Импульс тока в момент включения, А 20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импульса тока при включении, мс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переменный фазный ток (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ном), А 1/5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ток нулевой последовательности (3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0), 1/5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контролируемых значений тока (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ном), А 0,04…60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контролируемых значений тока нулевой последовательности (3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0), А 0,04…60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Термическая стойкость токовых цепей (длительно/кратковременно 10 с) 4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ном/100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 (при 0,2 А 25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ном/150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Термическая стойкость токовых цепей 3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0 (длительно/кратковременно 10 с) 4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ном/100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                                          (при 0,2 А 25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ном/150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>ном)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линейное напряжение (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ном), В 100/20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Диапазон контролируемых значений напряжения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В: 2,5-200 В. 20 В: 1-20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Термическая стойкость цепей напряжения (длительно/в течение 10 с): 2,0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ном/2,5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по цепям переменного напряжения, ВА, на фазу 1(220В)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 при номинальном токе, ВА на фазу, не более 0,1(0,2А) 0,2(1А) 0,5(5А)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Номинальная частота, Гц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 диапазон частоты переменного тока, Гц 45-55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Дискретные входы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Программируемые входы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оперативного питания дискретных входов, В ~/= 220/110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Уровни напряжения управления, </w:t>
            </w:r>
            <w:r>
              <w:rPr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color w:val="000000"/>
                <w:sz w:val="20"/>
                <w:szCs w:val="20"/>
              </w:rPr>
              <w:t>ном: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порог срабатывания дискретного входа                 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220В 158-170 В / 110В 82-88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порог возврата дискретного входа, В                      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220В 154-132 В / 110В 80-70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Устойчивость к перенапряжению дискретного входа, В~250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=300 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срабатывания, мс 0-30мс с шагом 1 мс (изменяется уставкой)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Потребляемый ток при поданном напряжении управления, не более, мА 3(110В), 4(220В)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Амплитуда импульса режекции тока, мА20(110В), 40(220В)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импульса режекции тока, мс5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Дискретные выходы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Программируемые выходы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коммутируемых напряжений, В ~295 / =250-418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 коммутируемый переменный ток при замыкании / размыкании цепи, А 10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Длительно коммутируемый постоянный ток при замыкании / размыкании цепи (активно-индуктивная нагрузка с постоянной времени </w:t>
            </w:r>
            <w:r>
              <w:rPr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</w:rPr>
              <w:t xml:space="preserve"> не более 20 мс), А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реле управления К А: 10А / 0,25А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сигнальное двухполюсное реле: 8А / 0,6А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двухпозиционное реле: 2А / 0,2А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быстродействующее полупроводниковое реле: 2А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Коммутационная износостойкость контактов выходных реле, не менее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реле управления КА: 10 000 циклов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сигнальное двухполюсное реле: 10 000 циклов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двухпозиционное реле: 50 000 циклов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быстродействующее полупроводниковые реле: неограниченно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Коммуникационные интерфейсы (порты связи, протоколы связи с АСУ)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Коммуникационные интерфейсы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Передний порт: USB 2.0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Задние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порты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: 2 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Ethernet 100 Base-T(F), 2 x RS-485/</w:t>
            </w:r>
            <w:r>
              <w:rPr>
                <w:color w:val="000000"/>
                <w:sz w:val="20"/>
                <w:szCs w:val="20"/>
              </w:rPr>
              <w:t>ВОЛС</w:t>
            </w:r>
            <w:r>
              <w:rPr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color w:val="000000"/>
                <w:sz w:val="20"/>
                <w:szCs w:val="20"/>
              </w:rPr>
              <w:t>АСУ</w:t>
            </w:r>
            <w:r>
              <w:rPr>
                <w:color w:val="000000"/>
                <w:sz w:val="20"/>
                <w:szCs w:val="20"/>
                <w:lang w:val="en-US"/>
              </w:rPr>
              <w:t>)/ Ethernet 100 Base-T(F)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Протоколы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передачи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данных</w:t>
            </w:r>
            <w:r>
              <w:rPr>
                <w:color w:val="000000"/>
                <w:sz w:val="20"/>
                <w:szCs w:val="20"/>
                <w:lang w:val="en-US"/>
              </w:rPr>
              <w:t>IEEE C37.94,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60870-5-101;                 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60870-5-103;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60870-5-104; ModBus-RTU; ModBus-ASCII;                          SPA-Bus; ModBus-TCP;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61850-8-1 MMS;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61850-8-1 GOOSE,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61850-9-2 SV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 резервирования передачи данных МЭК 62439-3 (PRP).                МЭК 62439-3 (HSR).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Поддержка МЭК 61850-8-1 (MMS, GOOSE) Поддерживается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Поддержка МЭК 61850-9-2 (SV).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Синхронизация времени МЭК 60870-5-103,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60870-5-104, </w:t>
            </w:r>
            <w:r>
              <w:rPr>
                <w:color w:val="000000"/>
                <w:sz w:val="20"/>
                <w:szCs w:val="20"/>
              </w:rPr>
              <w:t>МЭК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60870-5-101, ModBus, SPA-Bus, NTP/SNTP, NMEA0183, PPS, IEEE 1588 PTPv2        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терминале есть возможность корректировки времени через ИЧМ, синхронизации от внутренних часов реального времени и через технологический протокол BDUBus.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Осциллографирование и регистрация событий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Осциллографирование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хранимых осциллограмм 100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длина осциллограмм, с не менее 30 шт. с длительностью не менее 10 с. (с включенной функцией архивации)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сигналов в осциллограмме все аналоговые,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дискретные: до 256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Частота выборки, Гц 1000, 2000, 4000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записи предшествующего режима (до возникновения условия пуска) (100-1000) мс, шаг 100 мс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Длительность записи поставарийного режима (аварийный режим + послеаварийный режим) (500 – 5000) мс, шаг 100 мс"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длительность режима, мс(1000 – 15000) мс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записей РАС До 7500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добавления сигналов в осциллограмму да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параметры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Учет остаточного ресурса выключателя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Возможности создания дополнительной «гибкой» логики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Групп уставок до 16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Средняя наработка на отказ сменного элемента, не менее, час 125000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Среднее время восстановления работоспособного состояния терминала при наличии полного комплекта запасных блоков с учетом времени нахождения неисправности, не более, час 0,5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Гарантия, лет 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срок службы, лет 25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сертификатов соответствия, ЗАК ПАО «Россети»,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ПАО «ФСК ЕЭС», МИНПРОМТОРГ, АО «СО ЕЭС»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 тестирование 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Самодиагностика да</w:t>
            </w:r>
          </w:p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 на терминал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4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4.1.26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Дополнительные принадлежности и инструмент (дополнительная 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комплектность поставки)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Ноутбук, шт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12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4.1.26.2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Сумка для ноутбука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12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4"/>
              <w:widowControl w:val="false"/>
              <w:snapToGrid w:val="false"/>
              <w:ind w:left="28" w:hanging="6"/>
              <w:rPr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Требования к качеству поставляемой продукции: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4"/>
              <w:widowControl w:val="false"/>
              <w:snapToGrid w:val="false"/>
              <w:spacing w:before="0"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Продукция должна быть новая*, ранее не используемая.</w:t>
            </w:r>
          </w:p>
          <w:p>
            <w:pPr>
              <w:pStyle w:val="Style44"/>
              <w:widowControl w:val="false"/>
              <w:snapToGrid w:val="false"/>
              <w:spacing w:before="0"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ind w:left="30" w:right="170" w:hanging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 продукции (оборудования)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ранее 2026 г.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года выпуска продукции (оборудования)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по надежности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службы, лет, не менее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Паспорт (формуляр) оборудования, 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Гарантия изготовителя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Гарантийный срок эксплуатации, лет, не менее, со дня ввода в эксплуатацию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Возможность заключения договора на постгарантийное обслуживание 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сервисных центров на территории РФ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Гарантии распространяются на все поставляемое оборудование.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гарантийного срока должна быть обеспечена безвозмездная замена или ремонт вышедшего из строя оборудования, включая его доставку туда и обратно. Доставка неисправного оборудования в сервисный центр для проведения ремонта и возвращение исправного, после ремонта, оборудования Поставщик осуществляет за свой счет.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25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Heading1"/>
              <w:keepLines/>
              <w:widowControl w:val="false"/>
              <w:tabs>
                <w:tab w:val="clear" w:pos="0"/>
              </w:tabs>
              <w:spacing w:before="240" w:after="60"/>
              <w:ind w:left="0" w:hanging="0"/>
              <w:rPr>
                <w:sz w:val="20"/>
                <w:szCs w:val="20"/>
              </w:rPr>
            </w:pPr>
            <w:bookmarkStart w:id="19" w:name="_Toc130390813"/>
            <w:bookmarkStart w:id="20" w:name="_Toc126832459"/>
            <w:bookmarkStart w:id="21" w:name="_Toc130375168"/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  <w:t>Документация на все оборудование в соответствии с таблицей 1.1 Перечень и объем закупаемой продукции, экз.</w:t>
            </w:r>
            <w:bookmarkEnd w:id="19"/>
            <w:bookmarkEnd w:id="20"/>
            <w:bookmarkEnd w:id="21"/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Схемы электрические принципиальные и схемы электрических соединений,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ЗИП,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Транспортная маркировка грузов - по ГОСТ 14192-96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сохраняемости, не менее, лет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72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Место поставки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spacing w:before="197" w:after="0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</w:r>
    </w:p>
    <w:p>
      <w:pPr>
        <w:pStyle w:val="Heading2"/>
        <w:numPr>
          <w:ilvl w:val="1"/>
          <w:numId w:val="3"/>
        </w:numPr>
        <w:rPr/>
      </w:pPr>
      <w:bookmarkStart w:id="22" w:name="_Toc130390815"/>
      <w:r>
        <w:rPr/>
        <w:t>Требования, касающиеся предложений о поставке эквивалентной продукции</w:t>
      </w:r>
      <w:bookmarkEnd w:id="22"/>
    </w:p>
    <w:p>
      <w:pPr>
        <w:pStyle w:val="Normal"/>
        <w:ind w:firstLine="432"/>
        <w:rPr/>
      </w:pPr>
      <w:r>
        <w:rPr>
          <w:sz w:val="24"/>
          <w:szCs w:val="24"/>
        </w:rPr>
        <w:t>Участник должен принять во внимание, что ссылка на ТУ, марку (тип) продукции, носит описательный, а не обязательный характер. В случае, если Участником предлагаются эквиваленты требуемой Заказчику продукции или ее составных частей в составе своего предложения он должен:</w:t>
      </w:r>
    </w:p>
    <w:p>
      <w:pPr>
        <w:pStyle w:val="Normal"/>
        <w:ind w:firstLine="432"/>
        <w:rPr/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Также для проверки соответствия требованиям заказчика участник должен предоставить габаритные и монтажные чертежи оборудования;</w:t>
      </w:r>
    </w:p>
    <w:p>
      <w:pPr>
        <w:pStyle w:val="Normal"/>
        <w:ind w:firstLine="432"/>
        <w:rPr/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предоставить нижеследующие рабочие документации переделанные под эквивалентное оборудование в бумажном и в электронном варианте (формат pdf, dwg):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приложения №1 «Рабочая документация. ПС 110 кВ Табага. Релейная защита, автоматика и управление. УПАСК 2174-102-РЗ1»;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приложения №2 «Рабочая документация. ПС 110 кВ Табага. Релейная защита и автоматика. Трансформаторы Т-1, Т-2 2266-26-РЗ1.2 »;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приложения №3 «Рабочая документация. ПС 110 кВ Табага. ОМП КВЛ 110 кВ Туймаада ТЭЦ-Табага I цепь, II цепь с отпайками 2266-26-ЭУ1.2»;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приложения №4 «Рабочая документация. ПС 110 кВ Восточная. Релейная защита, автоматика и управление 2174-021-РЗ3»;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приложение №5 «Рабочая документация. ПС 110 кВ Табага. ШРОТ 2266-25-ЭС2.3»;</w:t>
      </w:r>
    </w:p>
    <w:p>
      <w:pPr>
        <w:pStyle w:val="Normal"/>
        <w:ind w:firstLine="432"/>
        <w:rPr/>
      </w:pPr>
      <w:r>
        <w:rPr>
          <w:sz w:val="24"/>
          <w:szCs w:val="24"/>
        </w:rPr>
        <w:t>- приложение №6 « Рабочая документация. ПС 110 кВ Табага. Противоаварийная автоматика 2266-26-ПА1.2».</w:t>
      </w:r>
    </w:p>
    <w:p>
      <w:pPr>
        <w:pStyle w:val="Normal"/>
        <w:ind w:firstLine="357"/>
        <w:jc w:val="both"/>
        <w:rPr/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 Предложение на поставку эквивалентного по техническим характеристикам оборудования должно включать полный комплект технической документации (руководство по эксплуатации оборудования, руководство по монтажу, настройке и наладке оборудования, паспорт на устройства (формуляр), в части программно-аппаратных средств - предоставляется описание функционально-логических алгоритмов работы сервиса учета переносных защитных заземлений в логике оперативных переключений.</w:t>
      </w:r>
    </w:p>
    <w:p>
      <w:pPr>
        <w:pStyle w:val="Normal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tabs>
          <w:tab w:val="clear" w:pos="0"/>
        </w:tabs>
        <w:ind w:left="432" w:right="111" w:hanging="0"/>
        <w:rPr/>
      </w:pPr>
      <w:bookmarkStart w:id="23" w:name="_Toc159407496"/>
      <w:r>
        <w:rPr/>
        <w:t xml:space="preserve">3. </w:t>
      </w:r>
      <w:bookmarkStart w:id="24" w:name="_Toc1303908151"/>
      <w:r>
        <w:rPr/>
        <w:t>П</w:t>
      </w:r>
      <w:bookmarkEnd w:id="24"/>
      <w:r>
        <w:rPr/>
        <w:t>риложения</w:t>
      </w:r>
      <w:bookmarkEnd w:id="23"/>
    </w:p>
    <w:p>
      <w:pPr>
        <w:pStyle w:val="Normal"/>
        <w:ind w:right="111" w:hanging="0"/>
        <w:rPr/>
      </w:pPr>
      <w:r>
        <w:rPr>
          <w:sz w:val="24"/>
          <w:szCs w:val="24"/>
        </w:rPr>
        <w:t>3.1 Приложение №1 «Рабочая документация. ПС 110 кВ Табага. Релейная защита, автоматика и управление. УПАСК 2174-102-РЗ1» - 66 листов.</w:t>
      </w:r>
    </w:p>
    <w:p>
      <w:pPr>
        <w:pStyle w:val="Normal"/>
        <w:ind w:right="111" w:hanging="0"/>
        <w:rPr/>
      </w:pPr>
      <w:r>
        <w:rPr>
          <w:sz w:val="24"/>
          <w:szCs w:val="24"/>
        </w:rPr>
        <w:t>3.2 Приложение №2 «Рабочая документация. ПС 110 кВ Табага. Релейная защита и автоматика. Трансформаторы Т-1, Т-2 2266-26-РЗ1.2» - 84 листов.</w:t>
      </w:r>
    </w:p>
    <w:p>
      <w:pPr>
        <w:pStyle w:val="Normal"/>
        <w:ind w:right="111" w:hanging="0"/>
        <w:rPr/>
      </w:pPr>
      <w:r>
        <w:rPr>
          <w:sz w:val="24"/>
          <w:szCs w:val="24"/>
        </w:rPr>
        <w:t>3.3 Приложение №3 «Рабочая документация. ПС 110 кВ Табага. ОМП КВЛ 110 кВ Туймаада ТЭЦ-Табага I цепь, II цепь с отпайками 2266-26-ЭУ1.2» - 22 листов.</w:t>
      </w:r>
    </w:p>
    <w:p>
      <w:pPr>
        <w:pStyle w:val="Normal"/>
        <w:ind w:right="111" w:hanging="0"/>
        <w:rPr/>
      </w:pPr>
      <w:r>
        <w:rPr>
          <w:sz w:val="24"/>
          <w:szCs w:val="24"/>
        </w:rPr>
        <w:t>3.4 Приложение №4 «Рабочая документация. ПС 110 кВ Восточная. Релейная защита, автоматика и управление 2174-021-РЗ3» - 51 листов.</w:t>
      </w:r>
    </w:p>
    <w:p>
      <w:pPr>
        <w:pStyle w:val="Normal"/>
        <w:ind w:right="111" w:hanging="0"/>
        <w:rPr/>
      </w:pPr>
      <w:r>
        <w:rPr>
          <w:sz w:val="24"/>
          <w:szCs w:val="24"/>
        </w:rPr>
        <w:t>3.5 Приложение №5 «Рабочая документация. ПС 110 кВ Табага. ШРОТ 2266-25-ЭС2.3».</w:t>
      </w:r>
    </w:p>
    <w:p>
      <w:pPr>
        <w:pStyle w:val="Normal"/>
        <w:ind w:right="111" w:hanging="0"/>
        <w:rPr/>
      </w:pPr>
      <w:r>
        <w:rPr>
          <w:sz w:val="24"/>
          <w:szCs w:val="24"/>
        </w:rPr>
        <w:t>3.6 Приложение №6 « Рабочая документация. ПС 110 кВ Табага. Противоаварийная автоматика 2266-26-ПА1.2».</w:t>
      </w:r>
    </w:p>
    <w:p>
      <w:pPr>
        <w:pStyle w:val="Normal"/>
        <w:ind w:right="111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11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11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11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11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Составил:                          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Главный эксперт СРЗАМ ЦЭС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>________________ /Иовлев А.С./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___________ 2026 г.    </w:t>
      </w:r>
    </w:p>
    <w:p>
      <w:pPr>
        <w:pStyle w:val="Normal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Согласовано:                          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Начальник СРЗАМ ЦЭС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>________________ /Павлов С.В./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___________ 2026 г.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>
      <w:pPr>
        <w:pStyle w:val="Normal"/>
        <w:ind w:firstLine="284"/>
        <w:rPr>
          <w:sz w:val="24"/>
          <w:szCs w:val="24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iovlevas@Elektra.local" w:date="2026-07-31T13:43:47Z" w:initials="i">
    <w:p>
      <w:pPr>
        <w:overflowPunct w:val="tru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Наименование шкафов прописано согласно РД.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 wp14:anchorId="2506DE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06DEB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31DA4E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1DA4E8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1.4.%1."/>
      <w:lvlJc w:val="left"/>
      <w:pPr>
        <w:tabs>
          <w:tab w:val="num" w:pos="0"/>
        </w:tabs>
        <w:ind w:left="1712" w:hanging="360"/>
      </w:pPr>
      <w:rPr/>
    </w:lvl>
    <w:lvl w:ilvl="1">
      <w:start w:val="0"/>
      <w:numFmt w:val="bullet"/>
      <w:lvlText w:val="-"/>
      <w:lvlJc w:val="left"/>
      <w:pPr>
        <w:tabs>
          <w:tab w:val="num" w:pos="0"/>
        </w:tabs>
        <w:ind w:left="243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2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c08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8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6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633ba"/>
    <w:rPr>
      <w:color w:val="954F72"/>
      <w:u w:val="single"/>
    </w:rPr>
  </w:style>
  <w:style w:type="character" w:styleId="Style14" w:customStyle="1">
    <w:name w:val="Основной текст с отступом Знак"/>
    <w:basedOn w:val="DefaultParagraphFont"/>
    <w:qFormat/>
    <w:rsid w:val="00dc08d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dc08d4"/>
    <w:rPr>
      <w:sz w:val="28"/>
      <w:szCs w:val="28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dc08d4"/>
    <w:rPr>
      <w:sz w:val="28"/>
      <w:szCs w:val="28"/>
    </w:rPr>
  </w:style>
  <w:style w:type="character" w:styleId="33" w:customStyle="1">
    <w:name w:val="Основной текст 3 Знак"/>
    <w:basedOn w:val="DefaultParagraphFont"/>
    <w:link w:val="BodyText3"/>
    <w:qFormat/>
    <w:rsid w:val="00dc08d4"/>
    <w:rPr>
      <w:sz w:val="16"/>
      <w:szCs w:val="16"/>
    </w:rPr>
  </w:style>
  <w:style w:type="character" w:styleId="24" w:customStyle="1">
    <w:name w:val="Основной текст 2 Знак"/>
    <w:basedOn w:val="DefaultParagraphFont"/>
    <w:link w:val="BodyText2"/>
    <w:qFormat/>
    <w:rsid w:val="00dc08d4"/>
    <w:rPr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semiHidden/>
    <w:qFormat/>
    <w:rsid w:val="00dc08d4"/>
    <w:rPr>
      <w:rFonts w:ascii="Tahoma" w:hAnsi="Tahoma" w:cs="Tahoma"/>
      <w:sz w:val="16"/>
      <w:szCs w:val="16"/>
    </w:rPr>
  </w:style>
  <w:style w:type="character" w:styleId="Style17" w:customStyle="1">
    <w:name w:val="Тема примечания Знак"/>
    <w:basedOn w:val="Style11"/>
    <w:link w:val="Annotationsubject"/>
    <w:semiHidden/>
    <w:qFormat/>
    <w:rsid w:val="00dc08d4"/>
    <w:rPr>
      <w:b/>
      <w:bCs/>
    </w:rPr>
  </w:style>
  <w:style w:type="character" w:styleId="Style18" w:customStyle="1">
    <w:name w:val="Ссылка указателя"/>
    <w:qFormat/>
    <w:rPr/>
  </w:style>
  <w:style w:type="character" w:styleId="Style19" w:customStyle="1">
    <w:name w:val="Символ нумерации"/>
    <w:qFormat/>
    <w:rPr/>
  </w:style>
  <w:style w:type="character" w:styleId="Strong2" w:customStyle="1">
    <w:name w:val="Strong2"/>
    <w:qFormat/>
    <w:rPr>
      <w:b/>
      <w:bCs/>
    </w:rPr>
  </w:style>
  <w:style w:type="character" w:styleId="Style20" w:customStyle="1">
    <w:name w:val="Маркеры"/>
    <w:qFormat/>
    <w:rPr>
      <w:rFonts w:ascii="OpenSymbol" w:hAnsi="OpenSymbol" w:eastAsia="OpenSymbol" w:cs="OpenSymbol"/>
    </w:rPr>
  </w:style>
  <w:style w:type="character" w:styleId="Strong21" w:customStyle="1">
    <w:name w:val="Strong21"/>
    <w:qFormat/>
    <w:rsid w:val="00bd4edf"/>
    <w:rPr>
      <w:b/>
      <w:bCs/>
    </w:rPr>
  </w:style>
  <w:style w:type="character" w:styleId="Strong3" w:customStyle="1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yle21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24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5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6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3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8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9" w:customStyle="1">
    <w:name w:val="Раздел регламента"/>
    <w:basedOn w:val="Normal"/>
    <w:qFormat/>
    <w:rsid w:val="00e228fa"/>
    <w:pPr/>
    <w:rPr/>
  </w:style>
  <w:style w:type="paragraph" w:styleId="Style30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6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1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2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2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3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4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5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6" w:customStyle="1">
    <w:name w:val="Подподпункт"/>
    <w:basedOn w:val="Style28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7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8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9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11" w:customStyle="1">
    <w:name w:val="Основной текст с отступом 21"/>
    <w:basedOn w:val="Normal"/>
    <w:qFormat/>
    <w:rsid w:val="00111f7b"/>
    <w:pPr>
      <w:spacing w:lineRule="auto" w:line="480" w:before="0" w:after="120"/>
      <w:ind w:left="283" w:firstLine="709"/>
      <w:jc w:val="both"/>
    </w:pPr>
    <w:rPr>
      <w:sz w:val="24"/>
      <w:szCs w:val="20"/>
      <w:lang w:val="en-US" w:eastAsia="zh-CN"/>
    </w:rPr>
  </w:style>
  <w:style w:type="paragraph" w:styleId="Msonormal" w:customStyle="1">
    <w:name w:val="msonormal"/>
    <w:basedOn w:val="Normal"/>
    <w:qFormat/>
    <w:rsid w:val="003633ba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styleId="Font6" w:customStyle="1">
    <w:name w:val="font6"/>
    <w:basedOn w:val="Normal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styleId="Font7" w:customStyle="1">
    <w:name w:val="font7"/>
    <w:basedOn w:val="Normal"/>
    <w:qFormat/>
    <w:rsid w:val="003633ba"/>
    <w:pPr>
      <w:spacing w:beforeAutospacing="1" w:afterAutospacing="1"/>
    </w:pPr>
    <w:rPr>
      <w:color w:val="000000"/>
    </w:rPr>
  </w:style>
  <w:style w:type="paragraph" w:styleId="Font8" w:customStyle="1">
    <w:name w:val="font8"/>
    <w:basedOn w:val="Normal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styleId="Font9" w:customStyle="1">
    <w:name w:val="font9"/>
    <w:basedOn w:val="Normal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styleId="Font10" w:customStyle="1">
    <w:name w:val="font10"/>
    <w:basedOn w:val="Normal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styleId="Xl63" w:customStyle="1">
    <w:name w:val="xl63"/>
    <w:basedOn w:val="Normal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styleId="Xl64" w:customStyle="1">
    <w:name w:val="xl64"/>
    <w:basedOn w:val="Normal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styleId="Xl65" w:customStyle="1">
    <w:name w:val="xl6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6" w:customStyle="1">
    <w:name w:val="xl6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7" w:customStyle="1">
    <w:name w:val="xl67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8" w:customStyle="1">
    <w:name w:val="xl68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9" w:customStyle="1">
    <w:name w:val="xl69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styleId="Xl70" w:customStyle="1">
    <w:name w:val="xl70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styleId="Xl71" w:customStyle="1">
    <w:name w:val="xl7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styleId="Xl72" w:customStyle="1">
    <w:name w:val="xl72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3" w:customStyle="1">
    <w:name w:val="xl73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4" w:customStyle="1">
    <w:name w:val="xl7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5" w:customStyle="1">
    <w:name w:val="xl7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8" w:customStyle="1">
    <w:name w:val="xl78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9" w:customStyle="1">
    <w:name w:val="xl7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80" w:customStyle="1">
    <w:name w:val="xl80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1" w:customStyle="1">
    <w:name w:val="xl81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2" w:customStyle="1">
    <w:name w:val="xl82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3" w:customStyle="1">
    <w:name w:val="xl83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4" w:customStyle="1">
    <w:name w:val="xl8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5" w:customStyle="1">
    <w:name w:val="xl8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86" w:customStyle="1">
    <w:name w:val="xl8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87" w:customStyle="1">
    <w:name w:val="xl8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88" w:customStyle="1">
    <w:name w:val="xl88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89" w:customStyle="1">
    <w:name w:val="xl89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styleId="Xl90" w:customStyle="1">
    <w:name w:val="xl90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styleId="Xl91" w:customStyle="1">
    <w:name w:val="xl9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2" w:customStyle="1">
    <w:name w:val="xl92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3" w:customStyle="1">
    <w:name w:val="xl93"/>
    <w:basedOn w:val="Normal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4" w:customStyle="1">
    <w:name w:val="xl94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5" w:customStyle="1">
    <w:name w:val="xl95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96" w:customStyle="1">
    <w:name w:val="xl9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97" w:customStyle="1">
    <w:name w:val="xl9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98" w:customStyle="1">
    <w:name w:val="xl9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99" w:customStyle="1">
    <w:name w:val="xl99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00" w:customStyle="1">
    <w:name w:val="xl100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1" w:customStyle="1">
    <w:name w:val="xl101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2" w:customStyle="1">
    <w:name w:val="xl102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3" w:customStyle="1">
    <w:name w:val="xl103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4" w:customStyle="1">
    <w:name w:val="xl10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5" w:customStyle="1">
    <w:name w:val="xl105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6" w:customStyle="1">
    <w:name w:val="xl106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7" w:customStyle="1">
    <w:name w:val="xl107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8" w:customStyle="1">
    <w:name w:val="xl108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9" w:customStyle="1">
    <w:name w:val="xl109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10" w:customStyle="1">
    <w:name w:val="xl110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1" w:customStyle="1">
    <w:name w:val="xl111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2" w:customStyle="1">
    <w:name w:val="xl112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3" w:customStyle="1">
    <w:name w:val="xl113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4" w:customStyle="1">
    <w:name w:val="xl114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15" w:customStyle="1">
    <w:name w:val="xl115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16" w:customStyle="1">
    <w:name w:val="xl11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7" w:customStyle="1">
    <w:name w:val="xl117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8" w:customStyle="1">
    <w:name w:val="xl118"/>
    <w:basedOn w:val="Normal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9" w:customStyle="1">
    <w:name w:val="xl119"/>
    <w:basedOn w:val="Normal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0" w:customStyle="1">
    <w:name w:val="xl120"/>
    <w:basedOn w:val="Normal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1" w:customStyle="1">
    <w:name w:val="xl121"/>
    <w:basedOn w:val="Normal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2" w:customStyle="1">
    <w:name w:val="xl122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3" w:customStyle="1">
    <w:name w:val="xl123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4" w:customStyle="1">
    <w:name w:val="xl124"/>
    <w:basedOn w:val="Normal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5" w:customStyle="1">
    <w:name w:val="xl125"/>
    <w:basedOn w:val="Normal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6" w:customStyle="1">
    <w:name w:val="xl126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7" w:customStyle="1">
    <w:name w:val="xl127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8" w:customStyle="1">
    <w:name w:val="xl128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29" w:customStyle="1">
    <w:name w:val="xl129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0" w:customStyle="1">
    <w:name w:val="xl130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1" w:customStyle="1">
    <w:name w:val="xl131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2" w:customStyle="1">
    <w:name w:val="xl132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3" w:customStyle="1">
    <w:name w:val="xl133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4" w:customStyle="1">
    <w:name w:val="xl134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5" w:customStyle="1">
    <w:name w:val="xl135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6" w:customStyle="1">
    <w:name w:val="xl136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7" w:customStyle="1">
    <w:name w:val="xl137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8" w:customStyle="1">
    <w:name w:val="xl138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9" w:customStyle="1">
    <w:name w:val="xl139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0" w:customStyle="1">
    <w:name w:val="xl140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1" w:customStyle="1">
    <w:name w:val="xl14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42" w:customStyle="1">
    <w:name w:val="xl14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43" w:customStyle="1">
    <w:name w:val="xl143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4" w:customStyle="1">
    <w:name w:val="xl144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5" w:customStyle="1">
    <w:name w:val="xl145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6" w:customStyle="1">
    <w:name w:val="xl146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7" w:customStyle="1">
    <w:name w:val="xl147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8" w:customStyle="1">
    <w:name w:val="xl148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9" w:customStyle="1">
    <w:name w:val="xl149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0" w:customStyle="1">
    <w:name w:val="xl150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1" w:customStyle="1">
    <w:name w:val="xl151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2" w:customStyle="1">
    <w:name w:val="xl152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53" w:customStyle="1">
    <w:name w:val="xl153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54" w:customStyle="1">
    <w:name w:val="xl154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5" w:customStyle="1">
    <w:name w:val="xl155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6" w:customStyle="1">
    <w:name w:val="xl156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7" w:customStyle="1">
    <w:name w:val="xl157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8" w:customStyle="1">
    <w:name w:val="xl15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9" w:customStyle="1">
    <w:name w:val="xl159"/>
    <w:basedOn w:val="Normal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Xl160" w:customStyle="1">
    <w:name w:val="xl160"/>
    <w:basedOn w:val="Normal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Xl161" w:customStyle="1">
    <w:name w:val="xl16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2" w:customStyle="1">
    <w:name w:val="xl162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3" w:customStyle="1">
    <w:name w:val="xl163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4" w:customStyle="1">
    <w:name w:val="xl164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5" w:customStyle="1">
    <w:name w:val="xl165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6" w:customStyle="1">
    <w:name w:val="xl16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7" w:customStyle="1">
    <w:name w:val="xl167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68" w:customStyle="1">
    <w:name w:val="xl16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69" w:customStyle="1">
    <w:name w:val="xl169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0" w:customStyle="1">
    <w:name w:val="xl17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1" w:customStyle="1">
    <w:name w:val="xl17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72" w:customStyle="1">
    <w:name w:val="xl17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73" w:customStyle="1">
    <w:name w:val="xl17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4" w:customStyle="1">
    <w:name w:val="xl174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5" w:customStyle="1">
    <w:name w:val="xl17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6" w:customStyle="1">
    <w:name w:val="xl17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7" w:customStyle="1">
    <w:name w:val="xl177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8" w:customStyle="1">
    <w:name w:val="xl178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9" w:customStyle="1">
    <w:name w:val="xl17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0" w:customStyle="1">
    <w:name w:val="xl18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1" w:customStyle="1">
    <w:name w:val="xl18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82" w:customStyle="1">
    <w:name w:val="xl18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83" w:customStyle="1">
    <w:name w:val="xl18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4" w:customStyle="1">
    <w:name w:val="xl184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5" w:customStyle="1">
    <w:name w:val="xl18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6" w:customStyle="1">
    <w:name w:val="xl18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7" w:customStyle="1">
    <w:name w:val="xl18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8" w:customStyle="1">
    <w:name w:val="xl188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9" w:customStyle="1">
    <w:name w:val="xl18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styleId="Xl190" w:customStyle="1">
    <w:name w:val="xl19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styleId="Xl191" w:customStyle="1">
    <w:name w:val="xl191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92" w:customStyle="1">
    <w:name w:val="xl192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93" w:customStyle="1">
    <w:name w:val="xl19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4" w:customStyle="1">
    <w:name w:val="xl194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5" w:customStyle="1">
    <w:name w:val="xl195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6" w:customStyle="1">
    <w:name w:val="xl19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Style40" w:customStyle="1">
    <w:name w:val="Содержимое врезки"/>
    <w:basedOn w:val="Normal"/>
    <w:qFormat/>
    <w:pPr/>
    <w:rPr/>
  </w:style>
  <w:style w:type="paragraph" w:styleId="Style41" w:customStyle="1">
    <w:name w:val="Текст таблица"/>
    <w:basedOn w:val="Normal"/>
    <w:qFormat/>
    <w:pPr/>
    <w:rPr>
      <w:sz w:val="24"/>
      <w:szCs w:val="20"/>
    </w:rPr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Табл"/>
    <w:basedOn w:val="Normal"/>
    <w:qFormat/>
    <w:pPr/>
    <w:rPr>
      <w:rFonts w:eastAsia="Calibri"/>
      <w:color w:val="000000" w:themeColor="text1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alibri" w:hAnsi="Calibri"/>
      <w:szCs w:val="21"/>
    </w:rPr>
  </w:style>
  <w:style w:type="paragraph" w:styleId="Style45" w:customStyle="1">
    <w:name w:val="ТАБЛИЦА"/>
    <w:basedOn w:val="BodyText"/>
    <w:qFormat/>
    <w:pPr>
      <w:spacing w:before="0" w:after="0"/>
    </w:pPr>
    <w:rPr>
      <w:sz w:val="20"/>
      <w:szCs w:val="20"/>
    </w:rPr>
  </w:style>
  <w:style w:type="paragraph" w:styleId="Style46" w:customStyle="1">
    <w:name w:val="Абзац"/>
    <w:basedOn w:val="BodyText"/>
    <w:qFormat/>
    <w:pPr>
      <w:spacing w:lineRule="auto" w:line="360" w:before="0" w:after="20"/>
      <w:ind w:firstLine="624"/>
      <w:contextualSpacing/>
      <w:jc w:val="both"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numbering" w:styleId="111" w:customStyle="1">
    <w:name w:val="Стиль11"/>
    <w:uiPriority w:val="99"/>
    <w:qFormat/>
    <w:rsid w:val="00dc08d4"/>
  </w:style>
  <w:style w:type="numbering" w:styleId="213" w:customStyle="1">
    <w:name w:val="Стиль21"/>
    <w:uiPriority w:val="99"/>
    <w:qFormat/>
    <w:rsid w:val="00dc08d4"/>
  </w:style>
  <w:style w:type="numbering" w:styleId="42078867741" w:customStyle="1">
    <w:name w:val="4207886774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comments" Target="comment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C19F-C1D8-4E9E-A345-BC69FCDA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Application>AlterOffice/3.4.0.9$Linux_X86_64 LibreOffice_project/b8daf9e823b1a5463a2f48435ddc2e8696e7d4fc</Application>
  <AppVersion>15.0000</AppVersion>
  <Pages>27</Pages>
  <Words>5536</Words>
  <Characters>35973</Characters>
  <CharactersWithSpaces>40642</CharactersWithSpaces>
  <Paragraphs>1155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2023-12-01T02:31:00Z</dcterms:created>
  <dc:creator>Быстров Олег Геннадьевич</dc:creator>
  <dc:description/>
  <dc:language>ru-RU</dc:language>
  <cp:lastModifiedBy>pavlovsev@Elektra.local</cp:lastModifiedBy>
  <cp:lastPrinted>2024-01-23T14:02:00Z</cp:lastPrinted>
  <dcterms:modified xsi:type="dcterms:W3CDTF">2026-08-07T09:46:23Z</dcterms:modified>
  <cp:revision>100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