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jc w:val="right"/>
        <w:rPr>
          <w:b/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b/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b/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Технические требования к закупаемой продукции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jc w:val="center"/>
        <w:rPr/>
      </w:pPr>
      <w:r>
        <w:rPr>
          <w:b/>
          <w:bCs/>
          <w:sz w:val="24"/>
          <w:szCs w:val="24"/>
        </w:rPr>
        <w:t>ОКПД2 08.12.12.140 Оказание услуг</w:t>
      </w:r>
      <w:r>
        <w:rPr>
          <w:b/>
          <w:bCs/>
          <w:i w:val="false"/>
          <w:iCs w:val="false"/>
          <w:sz w:val="24"/>
          <w:szCs w:val="24"/>
        </w:rPr>
        <w:t xml:space="preserve"> по доставке щебня (отсева) </w:t>
      </w:r>
    </w:p>
    <w:p>
      <w:pPr>
        <w:pStyle w:val="Normal"/>
        <w:jc w:val="center"/>
        <w:rPr/>
      </w:pPr>
      <w:r>
        <w:rPr>
          <w:b/>
          <w:bCs/>
          <w:i w:val="false"/>
          <w:iCs w:val="false"/>
          <w:sz w:val="24"/>
          <w:szCs w:val="24"/>
        </w:rPr>
        <w:t>гранитного для отсыпки территории</w:t>
      </w:r>
    </w:p>
    <w:p>
      <w:pPr>
        <w:pStyle w:val="Normal"/>
        <w:keepNext w:val="true"/>
        <w:keepLines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left"/>
        <w:rPr/>
      </w:pPr>
      <w:r>
        <w:rPr>
          <w:i/>
          <w:sz w:val="26"/>
          <w:szCs w:val="26"/>
        </w:rPr>
        <w:t xml:space="preserve">                                                                  </w:t>
      </w:r>
    </w:p>
    <w:p>
      <w:pPr>
        <w:pStyle w:val="Normal"/>
        <w:jc w:val="left"/>
        <w:rPr/>
      </w:pPr>
      <w:r>
        <w:rPr>
          <w:i/>
          <w:sz w:val="26"/>
          <w:szCs w:val="26"/>
        </w:rPr>
        <w:t xml:space="preserve">                                 </w:t>
      </w:r>
      <w:r>
        <w:br w:type="page"/>
      </w:r>
    </w:p>
    <w:p>
      <w:pPr>
        <w:pStyle w:val="Normal"/>
        <w:keepNext w:val="true"/>
        <w:keepLines/>
        <w:jc w:val="center"/>
        <w:rPr>
          <w:rFonts w:ascii="Calibri" w:hAnsi="Calibri" w:eastAsia="Calibri" w:cs="Calibri"/>
          <w:b/>
          <w:b/>
          <w:bCs/>
          <w:i/>
          <w:i/>
          <w:sz w:val="24"/>
          <w:szCs w:val="24"/>
          <w:lang w:val="ru-RU" w:eastAsia="ru-RU"/>
        </w:rPr>
      </w:pPr>
      <w:r>
        <w:rPr>
          <w:rFonts w:eastAsia="Calibri" w:cs="Calibri" w:ascii="Calibri" w:hAnsi="Calibri"/>
          <w:b/>
          <w:bCs/>
          <w:i/>
          <w:sz w:val="24"/>
          <w:szCs w:val="24"/>
          <w:lang w:val="ru-RU" w:eastAsia="ru-RU"/>
        </w:rPr>
      </w:r>
    </w:p>
    <w:p>
      <w:pPr>
        <w:pStyle w:val="1"/>
        <w:keepLines/>
        <w:numPr>
          <w:ilvl w:val="0"/>
          <w:numId w:val="5"/>
        </w:numPr>
        <w:ind w:left="357" w:right="0" w:hanging="357"/>
        <w:jc w:val="center"/>
        <w:rPr/>
      </w:pPr>
      <w:bookmarkStart w:id="0" w:name="__RefHeading___Toc190784665"/>
      <w:bookmarkEnd w:id="0"/>
      <w:r>
        <w:rPr>
          <w:lang w:val="ru-RU"/>
        </w:rPr>
        <w:t>Общие сведения</w:t>
      </w:r>
    </w:p>
    <w:p>
      <w:pPr>
        <w:pStyle w:val="4"/>
        <w:numPr>
          <w:ilvl w:val="1"/>
          <w:numId w:val="5"/>
        </w:numPr>
        <w:rPr/>
      </w:pPr>
      <w:r>
        <w:rPr/>
        <w:t>Наименование оказываемой услуги</w:t>
      </w:r>
    </w:p>
    <w:p>
      <w:pPr>
        <w:pStyle w:val="4"/>
        <w:keepNext w:val="true"/>
        <w:widowControl/>
        <w:numPr>
          <w:ilvl w:val="0"/>
          <w:numId w:val="0"/>
        </w:numPr>
        <w:suppressAutoHyphens w:val="false"/>
        <w:overflowPunct w:val="true"/>
        <w:bidi w:val="0"/>
        <w:spacing w:before="120" w:after="60"/>
        <w:ind w:left="0" w:right="0" w:hanging="0"/>
        <w:jc w:val="left"/>
        <w:rPr/>
      </w:pPr>
      <w:r>
        <w:rPr>
          <w:b w:val="false"/>
          <w:bCs w:val="false"/>
          <w:sz w:val="24"/>
          <w:szCs w:val="24"/>
        </w:rPr>
        <w:t>ОКПД2 08.12.12.140 Оказание услуг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по доставке щебня (отсева) гранитного для отсыпки территории</w:t>
      </w:r>
    </w:p>
    <w:p>
      <w:pPr>
        <w:pStyle w:val="4"/>
        <w:numPr>
          <w:ilvl w:val="1"/>
          <w:numId w:val="5"/>
        </w:numPr>
        <w:spacing w:before="240" w:after="60"/>
        <w:ind w:left="431" w:right="0" w:hanging="431"/>
        <w:rPr/>
      </w:pPr>
      <w:r>
        <w:rPr/>
        <w:t xml:space="preserve">Цель </w:t>
      </w:r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Normal"/>
        <w:rPr/>
      </w:pPr>
      <w:r>
        <w:rPr>
          <w:sz w:val="24"/>
          <w:szCs w:val="24"/>
        </w:rPr>
        <w:t xml:space="preserve">Заказчик поручает, а Исполнитель принимает на себя обязательства по </w:t>
      </w:r>
      <w:r>
        <w:rPr>
          <w:b w:val="false"/>
          <w:bCs w:val="false"/>
          <w:i w:val="false"/>
          <w:iCs w:val="false"/>
          <w:sz w:val="24"/>
          <w:szCs w:val="24"/>
        </w:rPr>
        <w:t>доставке щебня (отсева) гранитного для отсыпки территории</w:t>
      </w:r>
      <w:r>
        <w:rPr>
          <w:sz w:val="24"/>
          <w:szCs w:val="24"/>
        </w:rPr>
        <w:t xml:space="preserve">.                </w:t>
      </w:r>
    </w:p>
    <w:p>
      <w:pPr>
        <w:pStyle w:val="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1" w:name="__RefHeading___Toc190784666"/>
      <w:bookmarkEnd w:id="1"/>
      <w:r>
        <w:rPr>
          <w:sz w:val="24"/>
          <w:szCs w:val="24"/>
        </w:rPr>
        <w:t>Таблица 1. Перечень объектов заказчика.</w:t>
      </w:r>
    </w:p>
    <w:tbl>
      <w:tblPr>
        <w:tblW w:w="991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097"/>
        <w:gridCol w:w="2380"/>
        <w:gridCol w:w="2894"/>
        <w:gridCol w:w="1984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napToGrid w:val="false"/>
              <w:spacing w:before="0" w:after="0"/>
              <w:contextualSpacing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4"/>
              <w:keepNext w:val="true"/>
              <w:widowControl w:val="false"/>
              <w:numPr>
                <w:ilvl w:val="0"/>
                <w:numId w:val="0"/>
              </w:numPr>
              <w:suppressAutoHyphens w:val="false"/>
              <w:overflowPunct w:val="true"/>
              <w:bidi w:val="0"/>
              <w:spacing w:before="120" w:after="60"/>
              <w:ind w:left="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Оказание услуг по доставке щебня (отсева) гранитного для отсыпки территории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left"/>
              <w:rPr/>
            </w:pPr>
            <w:r>
              <w:rPr>
                <w:iCs/>
                <w:sz w:val="24"/>
                <w:szCs w:val="24"/>
              </w:rPr>
              <w:t>г. Санкт-Петербург, ул. Гжатская, д. 21, литера 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4"/>
              <w:keepNext w:val="true"/>
              <w:widowControl w:val="false"/>
              <w:numPr>
                <w:ilvl w:val="0"/>
                <w:numId w:val="0"/>
              </w:numPr>
              <w:suppressAutoHyphens w:val="false"/>
              <w:overflowPunct w:val="true"/>
              <w:bidi w:val="0"/>
              <w:spacing w:before="120" w:after="60"/>
              <w:ind w:left="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</w:rPr>
              <w:t>территория двора №1, литера 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keepLines/>
        <w:numPr>
          <w:ilvl w:val="0"/>
          <w:numId w:val="5"/>
        </w:numPr>
        <w:ind w:left="357" w:right="0" w:hanging="357"/>
        <w:jc w:val="center"/>
        <w:rPr/>
      </w:pPr>
      <w:bookmarkStart w:id="2" w:name="__RefHeading___Toc190784667"/>
      <w:bookmarkEnd w:id="2"/>
      <w:r>
        <w:rPr>
          <w:iCs/>
          <w:sz w:val="24"/>
          <w:szCs w:val="24"/>
        </w:rPr>
        <w:t>Требования к продукции</w:t>
      </w:r>
    </w:p>
    <w:p>
      <w:pPr>
        <w:pStyle w:val="4"/>
        <w:numPr>
          <w:ilvl w:val="1"/>
          <w:numId w:val="5"/>
        </w:numPr>
        <w:rPr/>
      </w:pPr>
      <w:r>
        <w:rPr/>
        <w:t xml:space="preserve">Требования к </w:t>
      </w:r>
      <w:r>
        <w:rPr>
          <w:lang w:val="ru-RU"/>
        </w:rPr>
        <w:t xml:space="preserve">оказываемой услуге </w:t>
      </w:r>
      <w:r>
        <w:rPr/>
        <w:t xml:space="preserve">и срокам </w:t>
      </w:r>
      <w:r>
        <w:rPr>
          <w:lang w:val="ru-RU"/>
        </w:rPr>
        <w:t>оказания услуги</w:t>
      </w:r>
    </w:p>
    <w:p>
      <w:pPr>
        <w:pStyle w:val="3"/>
        <w:numPr>
          <w:ilvl w:val="2"/>
          <w:numId w:val="5"/>
        </w:numPr>
        <w:rPr/>
      </w:pPr>
      <w:bookmarkStart w:id="3" w:name="__RefHeading___Toc190784668"/>
      <w:bookmarkEnd w:id="3"/>
      <w:r>
        <w:rPr>
          <w:lang w:val="ru-RU"/>
        </w:rPr>
        <w:t>Требования к оказываемой услуге</w:t>
      </w:r>
    </w:p>
    <w:p>
      <w:pPr>
        <w:pStyle w:val="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4" w:name="__RefHeading___Toc190784669"/>
      <w:bookmarkEnd w:id="4"/>
      <w:r>
        <w:rPr>
          <w:sz w:val="24"/>
          <w:szCs w:val="24"/>
          <w:lang w:val="ru-RU"/>
        </w:rPr>
        <w:t>Таблица 2. Перечень и объем оказываемой услуге</w:t>
      </w:r>
    </w:p>
    <w:tbl>
      <w:tblPr>
        <w:tblW w:w="98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6019"/>
        <w:gridCol w:w="1497"/>
        <w:gridCol w:w="1445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 xml:space="preserve">Единица 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widowControl w:val="false"/>
              <w:numPr>
                <w:ilvl w:val="0"/>
                <w:numId w:val="7"/>
              </w:numPr>
              <w:suppressAutoHyphens w:val="true"/>
              <w:snapToGrid w:val="false"/>
              <w:ind w:left="360" w:right="0" w:hanging="3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sz w:val="24"/>
                <w:szCs w:val="24"/>
              </w:rPr>
              <w:t>Доставка щебня гранитного (отсева гранитного) фракции 5–20 мм для производства работ по отсыпке территории АО «ВНИИГ им. Б.Е. Веденеева» по адресу: г. Санкт-Петербург, ул. Гжатская, д. 21.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40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3"/>
        <w:numPr>
          <w:ilvl w:val="2"/>
          <w:numId w:val="5"/>
        </w:numPr>
        <w:rPr/>
      </w:pPr>
      <w:bookmarkStart w:id="5" w:name="__RefHeading___Toc190784670"/>
      <w:bookmarkEnd w:id="5"/>
      <w:r>
        <w:rPr>
          <w:lang w:val="ru-RU"/>
        </w:rPr>
        <w:t>Требования к срокам поставки продукции</w:t>
      </w:r>
    </w:p>
    <w:p>
      <w:pPr>
        <w:pStyle w:val="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6" w:name="__RefHeading___Toc190784671"/>
      <w:bookmarkEnd w:id="6"/>
      <w:r>
        <w:rPr>
          <w:sz w:val="24"/>
          <w:szCs w:val="24"/>
          <w:lang w:val="ru-RU"/>
        </w:rPr>
        <w:t xml:space="preserve">Таблица 3. </w:t>
      </w:r>
      <w:bookmarkStart w:id="7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7"/>
      <w:r>
        <w:rPr>
          <w:sz w:val="24"/>
          <w:szCs w:val="24"/>
          <w:lang w:val="ru-RU"/>
        </w:rPr>
        <w:t>поставки продукции</w:t>
      </w:r>
    </w:p>
    <w:tbl>
      <w:tblPr>
        <w:tblW w:w="977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11"/>
        <w:gridCol w:w="2126"/>
        <w:gridCol w:w="272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3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3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5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ind w:left="360" w:righ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Оказание услуг по доставке щебня (отсева) гранитного для отсыпки территории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с момента подписания договора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 календарных дней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/>
      </w:pPr>
      <w:r>
        <w:rPr>
          <w:rFonts w:eastAsia="Calibri"/>
          <w:b/>
          <w:bCs/>
          <w:sz w:val="24"/>
          <w:szCs w:val="24"/>
        </w:rPr>
        <w:t>3. Технические требования к материалу</w:t>
      </w:r>
    </w:p>
    <w:p>
      <w:pPr>
        <w:pStyle w:val="Style32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8"/>
        </w:rPr>
      </w:pPr>
      <w:r>
        <w:rPr>
          <w:rFonts w:eastAsia="Calibri"/>
          <w:b w:val="false"/>
          <w:bCs w:val="false"/>
          <w:sz w:val="24"/>
          <w:szCs w:val="28"/>
        </w:rPr>
        <w:t>3.1. Поставляемый щебень (отсев) должен соответствовать требованиям ГОСТ 8267-93 «Щебень и гравий из плотных горных пород для строительных работ. Технические условия» (с изменениями № 1–4).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3.2. Марка прочности щебня — не ниже М800.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3.3. Морозостойкость — не ниже F150.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3.4. Содержание пылевидных и глинистых частиц — не более 1% по массе (п. 4.5 ГОСТ 8267-93).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3.5. Материал должен иметь I класс по удельной эффективной активности естественных радионуклидов (не более 370 Бк/кг) в соответствии с требованиями СП 2.6.1.2612-10 «Основные санитарные правила обеспечения радиационной безопасности (ОСПОРБ-99/2010)» и ГОСТ 30108-94 «Материалы и изделия строительные. Определение удельной эффективной активности естественных радионуклидов». Материал I класса допускается использовать без ограничений для всех видов строительства, включая территории жилой застройки и общественных зданий.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3.6. Порода — гранит. Цвет — красный (розовато-красный, характерный для гранитных пород соответствующих месторождений).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3.7. Фракционный состав — 5–20 мм (уточняется при необходимости с заказчиком до отгрузки).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/>
      </w:pPr>
      <w:r>
        <w:rPr>
          <w:rFonts w:eastAsia="Calibri"/>
          <w:b/>
          <w:bCs/>
          <w:sz w:val="24"/>
          <w:szCs w:val="24"/>
        </w:rPr>
        <w:t>4. Требования к документации</w:t>
      </w:r>
    </w:p>
    <w:p>
      <w:pPr>
        <w:pStyle w:val="Style32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>4.1. Поставщик обязан предоставить на партию поставляемого материала:</w:t>
      </w:r>
    </w:p>
    <w:p>
      <w:pPr>
        <w:pStyle w:val="Style32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паспорт качества (сертификат соответствия) на щебень;</w:t>
      </w:r>
    </w:p>
    <w:p>
      <w:pPr>
        <w:pStyle w:val="Style32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протокол радиационного контроля (радиационно-гигиенический паспорт материала) с указанием класса по СП 2.6.1.2612-10;</w:t>
      </w:r>
    </w:p>
    <w:p>
      <w:pPr>
        <w:pStyle w:val="Style32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товарно-транспортную накладную.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4.2. При отсутствии указанных документов на момент поставки заказчик вправе отказаться от приёмки партии материала.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spacing w:lineRule="auto" w:line="276" w:before="0" w:after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Условия поставки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5.1. Объём поставки — 40 м³, возможна поставка в один или несколько заездов автотранспортом (самосвал) по согласованию графика с заказчиком.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5.2. Адрес доставки: г. Санкт-Петербург, ул. Гжатская, д. 21, литера А, двор №1.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5.3. Разгрузка — навалом, место разгрузки указывается представителем заказчика на месте.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5.4. Срок поставки — согласовывается дополнительно после заключения договора / выставления счёта.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6. Требования к транспортировке</w:t>
      </w:r>
    </w:p>
    <w:p>
      <w:pPr>
        <w:pStyle w:val="Style32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6.1. Транспортировка щебня осуществляется в соответствии с требованиями ГОСТ 8267-93 (раздел 6) и правилами перевозки грузов автомобильным транспортом, действующими на территории Российской Федерации (Правила перевозок грузов автомобильным транспортом, утв. постановлением Правительства РФ от 21.12.2020 № 2200).</w:t>
      </w:r>
    </w:p>
    <w:p>
      <w:pPr>
        <w:pStyle w:val="Style32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spacing w:lineRule="auto" w:line="276" w:before="0" w:after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Прочие условия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7.1. Коммерческое предложение должно содержать: цену за 1 м³ и за весь объём (40 м³) с учётом доставки, срок поставки с момента заказа, реквизиты организации, класс материала по радиационной безопасности.</w:t>
      </w:r>
    </w:p>
    <w:p>
      <w:pPr>
        <w:pStyle w:val="Style32"/>
        <w:spacing w:lineRule="auto" w:line="276" w:before="0" w:after="0"/>
        <w:jc w:val="both"/>
        <w:rPr>
          <w:sz w:val="24"/>
          <w:szCs w:val="24"/>
          <w:shd w:fill="FFFF00" w:val="clear"/>
        </w:rPr>
      </w:pPr>
      <w:r>
        <w:rPr>
          <w:sz w:val="24"/>
          <w:szCs w:val="24"/>
          <w:shd w:fill="FFFF00" w:val="clear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 w:val="false"/>
          <w:bCs w:val="false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41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2.%3.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1">
    <w:name w:val="Heading 1"/>
    <w:basedOn w:val="3"/>
    <w:next w:val="Normal"/>
    <w:qFormat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qFormat/>
    <w:pPr>
      <w:keepNext w:val="true"/>
      <w:spacing w:before="120" w:after="60"/>
      <w:outlineLvl w:val="2"/>
    </w:pPr>
    <w:rPr>
      <w:rFonts w:eastAsia="Calibri"/>
      <w:b/>
      <w:sz w:val="24"/>
      <w:szCs w:val="24"/>
      <w:lang w:val="ru-RU"/>
    </w:rPr>
  </w:style>
  <w:style w:type="paragraph" w:styleId="4">
    <w:name w:val="Heading 4"/>
    <w:basedOn w:val="3"/>
    <w:next w:val="Normal"/>
    <w:qFormat/>
    <w:pPr>
      <w:outlineLvl w:val="3"/>
    </w:pPr>
    <w:rPr>
      <w:bCs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ru-RU"/>
    </w:rPr>
  </w:style>
  <w:style w:type="paragraph" w:styleId="7">
    <w:name w:val="Heading 7"/>
    <w:basedOn w:val="Normal"/>
    <w:next w:val="Normal"/>
    <w:qFormat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  <w:sz w:val="20"/>
      <w:szCs w:val="20"/>
      <w:lang w:val="ru-RU"/>
    </w:rPr>
  </w:style>
  <w:style w:type="paragraph" w:styleId="8">
    <w:name w:val="Heading 8"/>
    <w:basedOn w:val="Normal"/>
    <w:next w:val="Normal"/>
    <w:qFormat/>
    <w:pPr>
      <w:keepNext w:val="true"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  <w:lang w:val="ru-RU"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val="ru-RU"/>
    </w:rPr>
  </w:style>
  <w:style w:type="character" w:styleId="WW8Num2z0">
    <w:name w:val="WW8Num2z0"/>
    <w:qFormat/>
    <w:rPr>
      <w:b/>
      <w:bCs w:val="false"/>
      <w:sz w:val="24"/>
      <w:szCs w:val="24"/>
    </w:rPr>
  </w:style>
  <w:style w:type="character" w:styleId="WW8Num2z1">
    <w:name w:val="WW8Num2z1"/>
    <w:qFormat/>
    <w:rPr>
      <w:b/>
      <w:bCs/>
      <w:sz w:val="24"/>
      <w:szCs w:val="24"/>
    </w:rPr>
  </w:style>
  <w:style w:type="character" w:styleId="WW8Num2z2">
    <w:name w:val="WW8Num2z2"/>
    <w:qFormat/>
    <w:rPr>
      <w:sz w:val="24"/>
      <w:szCs w:val="24"/>
    </w:rPr>
  </w:style>
  <w:style w:type="character" w:styleId="WW8Num3z0">
    <w:name w:val="WW8Num3z0"/>
    <w:qFormat/>
    <w:rPr/>
  </w:style>
  <w:style w:type="character" w:styleId="WW8Num3z4">
    <w:name w:val="WW8Num3z4"/>
    <w:qFormat/>
    <w:rPr>
      <w:rFonts w:ascii="Times New Roman" w:hAnsi="Times New Roman" w:cs="Times New Roman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8Num7z1">
    <w:name w:val="WW8Num7z1"/>
    <w:qFormat/>
    <w:rPr>
      <w:b/>
      <w:bCs/>
      <w:i w:val="false"/>
      <w:iCs/>
      <w:sz w:val="24"/>
      <w:szCs w:val="24"/>
    </w:rPr>
  </w:style>
  <w:style w:type="character" w:styleId="WW8Num7z2">
    <w:name w:val="WW8Num7z2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  <w:bCs w:val="false"/>
      <w:sz w:val="24"/>
      <w:szCs w:val="24"/>
    </w:rPr>
  </w:style>
  <w:style w:type="character" w:styleId="WW8Num4z1">
    <w:name w:val="WW8Num4z1"/>
    <w:qFormat/>
    <w:rPr>
      <w:b w:val="false"/>
      <w:bCs/>
      <w:sz w:val="24"/>
      <w:szCs w:val="24"/>
    </w:rPr>
  </w:style>
  <w:style w:type="character" w:styleId="WW8Num4z2">
    <w:name w:val="WW8Num4z2"/>
    <w:qFormat/>
    <w:rPr>
      <w:sz w:val="24"/>
      <w:szCs w:val="24"/>
    </w:rPr>
  </w:style>
  <w:style w:type="character" w:styleId="WW8Num5z0">
    <w:name w:val="WW8Num5z0"/>
    <w:qFormat/>
    <w:rPr/>
  </w:style>
  <w:style w:type="character" w:styleId="WW8Num5z4">
    <w:name w:val="WW8Num5z4"/>
    <w:qFormat/>
    <w:rPr>
      <w:rFonts w:ascii="Times New Roman" w:hAnsi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8Num12z1">
    <w:name w:val="WW8Num12z1"/>
    <w:qFormat/>
    <w:rPr>
      <w:b/>
      <w:bCs/>
      <w:i w:val="false"/>
      <w:iCs/>
      <w:sz w:val="24"/>
      <w:szCs w:val="24"/>
    </w:rPr>
  </w:style>
  <w:style w:type="character" w:styleId="WW8Num12z2">
    <w:name w:val="WW8Num12z2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>
      <w:rFonts w:ascii="Times New Roman" w:hAnsi="Times New Roman" w:cs="Times New Roman"/>
      <w:sz w:val="28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7z0">
    <w:name w:val="WW8Num17z0"/>
    <w:qFormat/>
    <w:rPr/>
  </w:style>
  <w:style w:type="character" w:styleId="Style5">
    <w:name w:val="Основной шрифт абзаца"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Style7">
    <w:name w:val="Номер страницы"/>
    <w:basedOn w:val="Style5"/>
    <w:rPr/>
  </w:style>
  <w:style w:type="character" w:styleId="Style8">
    <w:name w:val="Интернет-ссылка"/>
    <w:rPr>
      <w:color w:val="0000FF"/>
      <w:u w:val="single"/>
    </w:rPr>
  </w:style>
  <w:style w:type="character" w:styleId="Style9">
    <w:name w:val="Знак примечания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>
    <w:name w:val="Заголовок 6 Знак"/>
    <w:qFormat/>
    <w:rPr>
      <w:rFonts w:ascii="Cambria" w:hAnsi="Cambria" w:cs="Cambria"/>
      <w:i/>
      <w:iCs/>
      <w:color w:val="243F60"/>
      <w:lang w:val="ru-RU"/>
    </w:rPr>
  </w:style>
  <w:style w:type="character" w:styleId="71">
    <w:name w:val="Заголовок 7 Знак"/>
    <w:qFormat/>
    <w:rPr>
      <w:rFonts w:ascii="Cambria" w:hAnsi="Cambria" w:cs="Cambria"/>
      <w:i/>
      <w:iCs/>
      <w:color w:val="404040"/>
      <w:lang w:val="ru-RU"/>
    </w:rPr>
  </w:style>
  <w:style w:type="character" w:styleId="81">
    <w:name w:val="Заголовок 8 Знак"/>
    <w:qFormat/>
    <w:rPr>
      <w:rFonts w:ascii="Cambria" w:hAnsi="Cambria" w:cs="Cambria"/>
      <w:color w:val="4F81BD"/>
      <w:lang w:val="ru-RU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ru-RU"/>
    </w:rPr>
  </w:style>
  <w:style w:type="character" w:styleId="21">
    <w:name w:val="Заголовок 2 Знак"/>
    <w:qFormat/>
    <w:rPr>
      <w:rFonts w:eastAsia="Calibri"/>
      <w:b/>
      <w:bCs/>
      <w:sz w:val="24"/>
      <w:szCs w:val="24"/>
      <w:lang w:val="ru-RU"/>
    </w:rPr>
  </w:style>
  <w:style w:type="character" w:styleId="31">
    <w:name w:val="Заголовок 3 Знак"/>
    <w:qFormat/>
    <w:rPr>
      <w:rFonts w:eastAsia="Calibri"/>
      <w:b/>
      <w:sz w:val="24"/>
      <w:szCs w:val="24"/>
      <w:lang w:val="ru-RU"/>
    </w:rPr>
  </w:style>
  <w:style w:type="character" w:styleId="41">
    <w:name w:val="Заголовок 4 Знак"/>
    <w:qFormat/>
    <w:rPr>
      <w:rFonts w:eastAsia="Calibri"/>
      <w:b/>
      <w:bCs/>
      <w:sz w:val="24"/>
      <w:szCs w:val="24"/>
      <w:lang w:val="ru-RU"/>
    </w:rPr>
  </w:style>
  <w:style w:type="character" w:styleId="51">
    <w:name w:val="Заголовок 5 Знак"/>
    <w:qFormat/>
    <w:rPr>
      <w:b/>
      <w:bCs/>
      <w:i/>
      <w:iCs/>
      <w:sz w:val="26"/>
      <w:szCs w:val="26"/>
    </w:rPr>
  </w:style>
  <w:style w:type="character" w:styleId="91">
    <w:name w:val="Заголовок 9 Знак"/>
    <w:qFormat/>
    <w:rPr>
      <w:rFonts w:ascii="Arial" w:hAnsi="Arial" w:cs="Arial"/>
      <w:sz w:val="22"/>
      <w:szCs w:val="22"/>
    </w:rPr>
  </w:style>
  <w:style w:type="character" w:styleId="Style10">
    <w:name w:val="Название Знак"/>
    <w:qFormat/>
    <w:rPr>
      <w:sz w:val="28"/>
    </w:rPr>
  </w:style>
  <w:style w:type="character" w:styleId="Style11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character" w:styleId="Style12">
    <w:name w:val="Выделение"/>
    <w:qFormat/>
    <w:rPr>
      <w:i/>
      <w:iCs/>
    </w:rPr>
  </w:style>
  <w:style w:type="character" w:styleId="22">
    <w:name w:val="Цитата 2 Знак"/>
    <w:qFormat/>
    <w:rPr>
      <w:rFonts w:ascii="Calibri" w:hAnsi="Calibri" w:eastAsia="Calibri" w:cs="Calibri"/>
      <w:i/>
      <w:iCs/>
      <w:color w:val="000000"/>
      <w:lang w:val="ru-RU"/>
    </w:rPr>
  </w:style>
  <w:style w:type="character" w:styleId="Style13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ru-RU"/>
    </w:rPr>
  </w:style>
  <w:style w:type="character" w:styleId="Style14">
    <w:name w:val="Слабое выделение"/>
    <w:qFormat/>
    <w:rPr>
      <w:i/>
      <w:iCs/>
      <w:color w:val="808080"/>
    </w:rPr>
  </w:style>
  <w:style w:type="character" w:styleId="Style15">
    <w:name w:val="Сильное выделение"/>
    <w:qFormat/>
    <w:rPr>
      <w:b/>
      <w:bCs/>
      <w:i/>
      <w:iCs/>
      <w:color w:val="4F81BD"/>
    </w:rPr>
  </w:style>
  <w:style w:type="character" w:styleId="Style16">
    <w:name w:val="Слабая ссылка"/>
    <w:qFormat/>
    <w:rPr>
      <w:smallCaps/>
      <w:color w:val="C0504D"/>
      <w:u w:val="single"/>
    </w:rPr>
  </w:style>
  <w:style w:type="character" w:styleId="Style17">
    <w:name w:val="Сильная ссылка"/>
    <w:qFormat/>
    <w:rPr>
      <w:b/>
      <w:bCs/>
      <w:smallCaps/>
      <w:color w:val="C0504D"/>
      <w:spacing w:val="5"/>
      <w:u w:val="single"/>
    </w:rPr>
  </w:style>
  <w:style w:type="character" w:styleId="Style18">
    <w:name w:val="Название книги"/>
    <w:qFormat/>
    <w:rPr>
      <w:b/>
      <w:bCs/>
      <w:smallCaps/>
      <w:spacing w:val="5"/>
    </w:rPr>
  </w:style>
  <w:style w:type="character" w:styleId="Style19">
    <w:name w:val="Электронная подпись Знак"/>
    <w:qFormat/>
    <w:rPr>
      <w:rFonts w:eastAsia="Calibri"/>
      <w:sz w:val="24"/>
      <w:szCs w:val="24"/>
    </w:rPr>
  </w:style>
  <w:style w:type="character" w:styleId="12">
    <w:name w:val="Подпункт Знак1"/>
    <w:qFormat/>
    <w:rPr>
      <w:sz w:val="28"/>
    </w:rPr>
  </w:style>
  <w:style w:type="character" w:styleId="Style20">
    <w:name w:val="Текст сноски Знак"/>
    <w:qFormat/>
    <w:rPr/>
  </w:style>
  <w:style w:type="character" w:styleId="Style21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22">
    <w:name w:val="Абзац списка Знак"/>
    <w:qFormat/>
    <w:rPr>
      <w:rFonts w:eastAsia="Calibri"/>
      <w:sz w:val="24"/>
      <w:szCs w:val="24"/>
    </w:rPr>
  </w:style>
  <w:style w:type="character" w:styleId="Style23">
    <w:name w:val="комментарий"/>
    <w:qFormat/>
    <w:rPr>
      <w:b/>
      <w:i/>
      <w:shd w:fill="FFFF99" w:val="clear"/>
    </w:rPr>
  </w:style>
  <w:style w:type="character" w:styleId="Style24">
    <w:name w:val="Подподпункт Знак"/>
    <w:qFormat/>
    <w:rPr>
      <w:sz w:val="26"/>
      <w:szCs w:val="26"/>
    </w:rPr>
  </w:style>
  <w:style w:type="character" w:styleId="32">
    <w:name w:val="УРОВЕНЬ_Абзац_тип3 Знак"/>
    <w:qFormat/>
    <w:rPr>
      <w:rFonts w:eastAsia="Calibri"/>
      <w:sz w:val="26"/>
      <w:szCs w:val="28"/>
    </w:rPr>
  </w:style>
  <w:style w:type="character" w:styleId="Style25">
    <w:name w:val="Верхний колонтитул Знак"/>
    <w:qFormat/>
    <w:rPr>
      <w:sz w:val="24"/>
      <w:szCs w:val="24"/>
    </w:rPr>
  </w:style>
  <w:style w:type="character" w:styleId="Style26">
    <w:name w:val="Текст примечания Знак"/>
    <w:qFormat/>
    <w:rPr/>
  </w:style>
  <w:style w:type="character" w:styleId="Style27">
    <w:name w:val="Текст концевой сноски Знак"/>
    <w:basedOn w:val="Style5"/>
    <w:qFormat/>
    <w:rPr/>
  </w:style>
  <w:style w:type="character" w:styleId="Style28">
    <w:name w:val="Символ концевой сноски"/>
    <w:qFormat/>
    <w:rPr>
      <w:vertAlign w:val="superscript"/>
    </w:rPr>
  </w:style>
  <w:style w:type="character" w:styleId="23">
    <w:name w:val="Пункт2 Знак"/>
    <w:qFormat/>
    <w:rPr>
      <w:b/>
      <w:sz w:val="28"/>
    </w:rPr>
  </w:style>
  <w:style w:type="character" w:styleId="13">
    <w:name w:val="УРОВЕНЬ_1. Знак"/>
    <w:qFormat/>
    <w:rPr>
      <w:rFonts w:eastAsia="Calibri"/>
      <w:caps/>
      <w:sz w:val="28"/>
      <w:szCs w:val="28"/>
    </w:rPr>
  </w:style>
  <w:style w:type="character" w:styleId="14">
    <w:name w:val="Неразрешенное упоминание1"/>
    <w:qFormat/>
    <w:rPr>
      <w:color w:val="605E5C"/>
      <w:shd w:fill="E1DFDD" w:val="clear"/>
    </w:rPr>
  </w:style>
  <w:style w:type="character" w:styleId="33">
    <w:name w:val="Основной текст с отступом 3 Знак"/>
    <w:qFormat/>
    <w:rPr>
      <w:sz w:val="16"/>
      <w:szCs w:val="16"/>
    </w:rPr>
  </w:style>
  <w:style w:type="character" w:styleId="Style29">
    <w:name w:val="Маркеры"/>
    <w:qFormat/>
    <w:rPr>
      <w:rFonts w:ascii="OpenSymbol" w:hAnsi="OpenSymbol" w:eastAsia="OpenSymbol" w:cs="OpenSymbol"/>
    </w:rPr>
  </w:style>
  <w:style w:type="character" w:styleId="Style30">
    <w:name w:val="Символ нумерации"/>
    <w:qFormat/>
    <w:rPr/>
  </w:style>
  <w:style w:type="paragraph" w:styleId="Style31">
    <w:name w:val="Заголовок"/>
    <w:basedOn w:val="Normal"/>
    <w:next w:val="Style32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Style32">
    <w:name w:val="Body Text"/>
    <w:basedOn w:val="Normal"/>
    <w:pPr>
      <w:spacing w:before="0" w:after="120"/>
    </w:pPr>
    <w:rPr/>
  </w:style>
  <w:style w:type="paragraph" w:styleId="Style33">
    <w:name w:val="List"/>
    <w:basedOn w:val="Style32"/>
    <w:pPr/>
    <w:rPr>
      <w:rFonts w:ascii="Times New Roman" w:hAnsi="Times New Roman" w:cs="Lohit Devanagari"/>
    </w:rPr>
  </w:style>
  <w:style w:type="paragraph" w:styleId="Style3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36">
    <w:name w:val="Название раздела инструкции"/>
    <w:basedOn w:val="Normal"/>
    <w:qFormat/>
    <w:pPr>
      <w:jc w:val="center"/>
    </w:pPr>
    <w:rPr>
      <w:b/>
    </w:rPr>
  </w:style>
  <w:style w:type="paragraph" w:styleId="Style37">
    <w:name w:val="Раздел положения"/>
    <w:basedOn w:val="Normal"/>
    <w:qFormat/>
    <w:pPr>
      <w:numPr>
        <w:ilvl w:val="0"/>
        <w:numId w:val="4"/>
      </w:numPr>
      <w:spacing w:before="80" w:after="80"/>
      <w:jc w:val="center"/>
    </w:pPr>
    <w:rPr>
      <w:b/>
      <w:sz w:val="32"/>
      <w:szCs w:val="32"/>
    </w:rPr>
  </w:style>
  <w:style w:type="paragraph" w:styleId="Style38">
    <w:name w:val="Подраздел раздела положения"/>
    <w:basedOn w:val="Normal"/>
    <w:qFormat/>
    <w:pPr>
      <w:numPr>
        <w:ilvl w:val="0"/>
        <w:numId w:val="4"/>
      </w:numPr>
      <w:spacing w:before="80" w:after="80"/>
      <w:jc w:val="both"/>
    </w:pPr>
    <w:rPr/>
  </w:style>
  <w:style w:type="paragraph" w:styleId="Style39">
    <w:name w:val="Footnote Text"/>
    <w:basedOn w:val="Normal"/>
    <w:pPr/>
    <w:rPr>
      <w:sz w:val="20"/>
      <w:szCs w:val="20"/>
    </w:rPr>
  </w:style>
  <w:style w:type="paragraph" w:styleId="15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>
    <w:name w:val="Название1"/>
    <w:basedOn w:val="Normal"/>
    <w:qFormat/>
    <w:pPr>
      <w:jc w:val="center"/>
    </w:pPr>
    <w:rPr>
      <w:szCs w:val="20"/>
      <w:lang w:val="ru-RU"/>
    </w:rPr>
  </w:style>
  <w:style w:type="paragraph" w:styleId="Style4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41">
    <w:name w:val="Header"/>
    <w:basedOn w:val="Normal"/>
    <w:pPr/>
    <w:rPr>
      <w:sz w:val="24"/>
      <w:szCs w:val="24"/>
    </w:rPr>
  </w:style>
  <w:style w:type="paragraph" w:styleId="Style42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Style43">
    <w:name w:val="Footer"/>
    <w:basedOn w:val="Normal"/>
    <w:pPr/>
    <w:rPr/>
  </w:style>
  <w:style w:type="paragraph" w:styleId="25">
    <w:name w:val="Основной текст с отступом 2"/>
    <w:basedOn w:val="Normal"/>
    <w:qFormat/>
    <w:pPr>
      <w:spacing w:lineRule="auto" w:line="480" w:before="0" w:after="120"/>
      <w:ind w:left="283" w:right="0" w:hanging="0"/>
    </w:pPr>
    <w:rPr/>
  </w:style>
  <w:style w:type="paragraph" w:styleId="35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6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26">
    <w:name w:val="Основной текст 2"/>
    <w:basedOn w:val="Normal"/>
    <w:qFormat/>
    <w:pPr>
      <w:spacing w:lineRule="auto" w:line="480" w:before="0" w:after="120"/>
    </w:pPr>
    <w:rPr/>
  </w:style>
  <w:style w:type="paragraph" w:styleId="Style44">
    <w:name w:val="Цитата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5">
    <w:name w:val="Подпункт"/>
    <w:basedOn w:val="Normal"/>
    <w:qFormat/>
    <w:pPr>
      <w:snapToGrid w:val="false"/>
      <w:spacing w:lineRule="auto" w:line="360"/>
      <w:ind w:left="1134" w:right="0" w:hanging="1134"/>
      <w:jc w:val="both"/>
    </w:pPr>
    <w:rPr>
      <w:szCs w:val="20"/>
      <w:lang w:val="ru-RU"/>
    </w:rPr>
  </w:style>
  <w:style w:type="paragraph" w:styleId="27">
    <w:name w:val="Пункт2"/>
    <w:basedOn w:val="Normal"/>
    <w:qFormat/>
    <w:pPr>
      <w:keepNext w:val="true"/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17">
    <w:name w:val="TOC 1"/>
    <w:basedOn w:val="Normal"/>
    <w:next w:val="Normal"/>
    <w:pPr>
      <w:spacing w:before="120" w:after="0"/>
    </w:pPr>
    <w:rPr>
      <w:rFonts w:cs="Calibri Light (Заголовки);Calibri Light"/>
      <w:b/>
      <w:bCs/>
      <w:sz w:val="24"/>
      <w:szCs w:val="24"/>
    </w:rPr>
  </w:style>
  <w:style w:type="paragraph" w:styleId="37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Style46">
    <w:name w:val="Раздел регламента"/>
    <w:basedOn w:val="Normal"/>
    <w:qFormat/>
    <w:pPr/>
    <w:rPr/>
  </w:style>
  <w:style w:type="paragraph" w:styleId="Style47">
    <w:name w:val="Приложение к регламенту"/>
    <w:basedOn w:val="Normal"/>
    <w:qFormat/>
    <w:pPr>
      <w:jc w:val="right"/>
    </w:pPr>
    <w:rPr/>
  </w:style>
  <w:style w:type="paragraph" w:styleId="28">
    <w:name w:val="TOC 2"/>
    <w:basedOn w:val="Normal"/>
    <w:next w:val="Normal"/>
    <w:pPr>
      <w:spacing w:before="240" w:after="0"/>
    </w:pPr>
    <w:rPr>
      <w:rFonts w:cs="Calibri"/>
      <w:b/>
      <w:bCs/>
      <w:sz w:val="20"/>
      <w:szCs w:val="20"/>
    </w:rPr>
  </w:style>
  <w:style w:type="paragraph" w:styleId="Style4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9">
    <w:name w:val="Текст примечания"/>
    <w:basedOn w:val="Normal"/>
    <w:qFormat/>
    <w:pPr/>
    <w:rPr>
      <w:sz w:val="20"/>
      <w:szCs w:val="20"/>
    </w:rPr>
  </w:style>
  <w:style w:type="paragraph" w:styleId="Style50">
    <w:name w:val="Тема примечания"/>
    <w:basedOn w:val="Style49"/>
    <w:next w:val="Style49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52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42">
    <w:name w:val="TOC 4"/>
    <w:basedOn w:val="Normal"/>
    <w:next w:val="Normal"/>
    <w:pPr>
      <w:ind w:left="560" w:right="0" w:hanging="0"/>
    </w:pPr>
    <w:rPr>
      <w:rFonts w:cs="Calibri"/>
      <w:sz w:val="20"/>
      <w:szCs w:val="20"/>
    </w:rPr>
  </w:style>
  <w:style w:type="paragraph" w:styleId="29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5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52">
    <w:name w:val="Без интервала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tyle53">
    <w:name w:val="Название объекта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tyle54">
    <w:name w:val="Subtitle"/>
    <w:basedOn w:val="Normal"/>
    <w:next w:val="Normal"/>
    <w:qFormat/>
    <w:pPr>
      <w:ind w:left="1066" w:right="0" w:firstLine="709"/>
    </w:pPr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Style55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210">
    <w:name w:val="Цитата 2"/>
    <w:basedOn w:val="Normal"/>
    <w:next w:val="Normal"/>
    <w:qFormat/>
    <w:pPr/>
    <w:rPr>
      <w:rFonts w:ascii="Calibri" w:hAnsi="Calibri" w:eastAsia="Calibri" w:cs="Calibri"/>
      <w:i/>
      <w:iCs/>
      <w:color w:val="000000"/>
      <w:sz w:val="20"/>
      <w:szCs w:val="20"/>
      <w:lang w:val="ru-RU"/>
    </w:rPr>
  </w:style>
  <w:style w:type="paragraph" w:styleId="Style56">
    <w:name w:val="Выделенная цитата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  <w:lang w:val="ru-RU"/>
    </w:rPr>
  </w:style>
  <w:style w:type="paragraph" w:styleId="Style57">
    <w:name w:val="Index Heading"/>
    <w:basedOn w:val="Style31"/>
    <w:pPr>
      <w:suppressLineNumbers/>
      <w:ind w:left="0" w:right="0" w:hanging="0"/>
    </w:pPr>
    <w:rPr>
      <w:b/>
      <w:bCs/>
      <w:sz w:val="32"/>
      <w:szCs w:val="32"/>
    </w:rPr>
  </w:style>
  <w:style w:type="paragraph" w:styleId="TOCHeading">
    <w:name w:val="TOC Heading"/>
    <w:basedOn w:val="1"/>
    <w:next w:val="Normal"/>
    <w:qFormat/>
    <w:pPr>
      <w:keepLines/>
      <w:numPr>
        <w:ilvl w:val="0"/>
        <w:numId w:val="5"/>
      </w:numPr>
      <w:spacing w:before="480" w:after="60"/>
    </w:pPr>
    <w:rPr>
      <w:rFonts w:ascii="Cambria" w:hAnsi="Cambria" w:cs="Cambria"/>
      <w:bCs/>
      <w:color w:val="365F91"/>
    </w:rPr>
  </w:style>
  <w:style w:type="paragraph" w:styleId="Style58">
    <w:name w:val="Электронная подпись"/>
    <w:basedOn w:val="Normal"/>
    <w:qFormat/>
    <w:pPr/>
    <w:rPr>
      <w:rFonts w:eastAsia="Calibri"/>
      <w:sz w:val="24"/>
      <w:szCs w:val="24"/>
      <w:lang w:val="ru-RU"/>
    </w:rPr>
  </w:style>
  <w:style w:type="paragraph" w:styleId="Style59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8">
    <w:name w:val="Нумерованный список ур3"/>
    <w:basedOn w:val="Normal"/>
    <w:qFormat/>
    <w:pPr>
      <w:numPr>
        <w:ilvl w:val="0"/>
        <w:numId w:val="6"/>
      </w:numPr>
      <w:jc w:val="both"/>
    </w:pPr>
    <w:rPr>
      <w:rFonts w:ascii="Garamond" w:hAnsi="Garamond" w:cs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6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211">
    <w:name w:val="Нумерованный список ур2"/>
    <w:basedOn w:val="Normal"/>
    <w:qFormat/>
    <w:pPr>
      <w:numPr>
        <w:ilvl w:val="0"/>
        <w:numId w:val="6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Style60">
    <w:name w:val="Рецензия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39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61">
    <w:name w:val="Пункт"/>
    <w:basedOn w:val="Normal"/>
    <w:qFormat/>
    <w:pPr>
      <w:widowControl w:val="false"/>
      <w:spacing w:lineRule="auto" w:line="360" w:before="120" w:after="0"/>
      <w:ind w:left="1134" w:right="800" w:hanging="1134"/>
      <w:jc w:val="both"/>
    </w:pPr>
    <w:rPr>
      <w:rFonts w:ascii="Arial" w:hAnsi="Arial" w:cs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Style62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63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64">
    <w:name w:val="Подподпункт"/>
    <w:basedOn w:val="Style45"/>
    <w:qFormat/>
    <w:pPr>
      <w:snapToGrid w:val="true"/>
      <w:spacing w:lineRule="auto" w:line="240" w:before="120" w:after="0"/>
      <w:ind w:left="5104" w:right="0" w:hanging="567"/>
    </w:pPr>
    <w:rPr>
      <w:sz w:val="26"/>
      <w:szCs w:val="26"/>
      <w:lang w:val="ru-RU"/>
    </w:rPr>
  </w:style>
  <w:style w:type="paragraph" w:styleId="Style65">
    <w:name w:val="УРОВЕНЬ_(а)"/>
    <w:basedOn w:val="Style55"/>
    <w:qFormat/>
    <w:pPr>
      <w:spacing w:lineRule="exact" w:line="360" w:before="120" w:after="0"/>
      <w:jc w:val="both"/>
      <w:outlineLvl w:val="3"/>
    </w:pPr>
    <w:rPr>
      <w:sz w:val="26"/>
      <w:szCs w:val="28"/>
    </w:rPr>
  </w:style>
  <w:style w:type="paragraph" w:styleId="Style66">
    <w:name w:val="УРОВЕНЬ_-"/>
    <w:basedOn w:val="Style55"/>
    <w:qFormat/>
    <w:pPr>
      <w:spacing w:lineRule="exact" w:line="360" w:before="120" w:after="0"/>
      <w:jc w:val="both"/>
      <w:outlineLvl w:val="4"/>
    </w:pPr>
    <w:rPr>
      <w:sz w:val="26"/>
      <w:szCs w:val="28"/>
    </w:rPr>
  </w:style>
  <w:style w:type="paragraph" w:styleId="212">
    <w:name w:val="УРОВЕНЬ_Абзац_тип2"/>
    <w:basedOn w:val="Style55"/>
    <w:qFormat/>
    <w:pPr>
      <w:numPr>
        <w:ilvl w:val="0"/>
        <w:numId w:val="1"/>
      </w:numPr>
      <w:spacing w:lineRule="exact" w:line="360" w:before="120" w:after="0"/>
      <w:jc w:val="both"/>
    </w:pPr>
    <w:rPr>
      <w:sz w:val="26"/>
      <w:szCs w:val="28"/>
    </w:rPr>
  </w:style>
  <w:style w:type="paragraph" w:styleId="310">
    <w:name w:val="УРОВЕНЬ_Абзац_тип3"/>
    <w:basedOn w:val="Style55"/>
    <w:qFormat/>
    <w:pPr>
      <w:numPr>
        <w:ilvl w:val="0"/>
        <w:numId w:val="1"/>
      </w:numPr>
      <w:spacing w:lineRule="exact" w:line="360" w:before="120" w:after="0"/>
      <w:jc w:val="both"/>
    </w:pPr>
    <w:rPr>
      <w:sz w:val="26"/>
      <w:szCs w:val="28"/>
    </w:rPr>
  </w:style>
  <w:style w:type="paragraph" w:styleId="Style67">
    <w:name w:val="УРОВЕНЬ_Подпись"/>
    <w:basedOn w:val="Style55"/>
    <w:qFormat/>
    <w:pPr>
      <w:keepNext w:val="true"/>
      <w:spacing w:lineRule="exact" w:line="360" w:before="120" w:after="120"/>
      <w:jc w:val="right"/>
      <w:outlineLvl w:val="3"/>
    </w:pPr>
    <w:rPr>
      <w:sz w:val="26"/>
      <w:szCs w:val="28"/>
    </w:rPr>
  </w:style>
  <w:style w:type="paragraph" w:styleId="110">
    <w:name w:val="Стиль Заголовок 1 + по ширине"/>
    <w:basedOn w:val="1"/>
    <w:qFormat/>
    <w:pPr>
      <w:keepLines/>
      <w:numPr>
        <w:ilvl w:val="0"/>
        <w:numId w:val="0"/>
      </w:numPr>
      <w:suppressAutoHyphens w:val="true"/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  <w:lang w:val="ru-RU"/>
    </w:rPr>
  </w:style>
  <w:style w:type="paragraph" w:styleId="Style68">
    <w:name w:val="Endnote Text"/>
    <w:basedOn w:val="Normal"/>
    <w:pPr/>
    <w:rPr>
      <w:sz w:val="20"/>
      <w:szCs w:val="20"/>
    </w:rPr>
  </w:style>
  <w:style w:type="paragraph" w:styleId="213">
    <w:name w:val="Заголовок 2 КВВ"/>
    <w:basedOn w:val="Normal"/>
    <w:qFormat/>
    <w:pPr>
      <w:keepNext w:val="true"/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69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Style70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Style55"/>
    <w:qFormat/>
    <w:pPr>
      <w:keepNext w:val="true"/>
      <w:keepLines/>
      <w:spacing w:lineRule="auto" w:line="276" w:before="240" w:after="120"/>
      <w:ind w:left="0" w:right="0" w:hanging="0"/>
      <w:jc w:val="both"/>
      <w:outlineLvl w:val="0"/>
    </w:pPr>
    <w:rPr>
      <w:caps/>
      <w:sz w:val="28"/>
      <w:szCs w:val="28"/>
    </w:rPr>
  </w:style>
  <w:style w:type="paragraph" w:styleId="62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72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82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71">
    <w:name w:val="Содержимое таблицы"/>
    <w:basedOn w:val="Normal"/>
    <w:qFormat/>
    <w:pPr>
      <w:widowControl w:val="false"/>
      <w:suppressLineNumbers/>
    </w:pPr>
    <w:rPr/>
  </w:style>
  <w:style w:type="paragraph" w:styleId="Style72">
    <w:name w:val="Заголовок таблицы"/>
    <w:basedOn w:val="Style7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14739767151">
    <w:name w:val="1473976715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439</TotalTime>
  <Application>LibreOffice/7.1.8.1$Linux_X86_64 LibreOffice_project/10$Build-1</Application>
  <AppVersion>15.0000</AppVersion>
  <Pages>5</Pages>
  <Words>551</Words>
  <Characters>3604</Characters>
  <CharactersWithSpaces>4195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2025-02-18T15:29:00Z</dcterms:created>
  <dc:creator>Мальков Андрей Леонидович</dc:creator>
  <dc:description/>
  <dc:language>ru-RU</dc:language>
  <cp:lastModifiedBy>koltsovsv</cp:lastModifiedBy>
  <cp:lastPrinted>2023-02-07T17:37:00Z</cp:lastPrinted>
  <dcterms:modified xsi:type="dcterms:W3CDTF">2026-08-07T08:43:46Z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