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3"/>
        <w:widowControl/>
        <w:spacing w:lineRule="auto" w:line="240"/>
        <w:ind w:hanging="0"/>
        <w:jc w:val="end"/>
        <w:rPr>
          <w:bCs/>
          <w:sz w:val="24"/>
        </w:rPr>
      </w:pPr>
      <w:r>
        <w:rPr>
          <w:bCs/>
          <w:sz w:val="24"/>
        </w:rPr>
        <w:t>Приложение №1</w:t>
      </w:r>
    </w:p>
    <w:p>
      <w:pPr>
        <w:pStyle w:val="13"/>
        <w:widowControl/>
        <w:spacing w:lineRule="auto" w:line="240"/>
        <w:ind w:hanging="0"/>
        <w:jc w:val="end"/>
        <w:rPr>
          <w:b/>
          <w:sz w:val="24"/>
        </w:rPr>
      </w:pPr>
      <w:r>
        <w:rPr>
          <w:b/>
          <w:sz w:val="24"/>
        </w:rPr>
      </w:r>
    </w:p>
    <w:p>
      <w:pPr>
        <w:pStyle w:val="13"/>
        <w:widowControl/>
        <w:spacing w:lineRule="auto" w:line="240"/>
        <w:ind w:hanging="0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выполнение работ и оказания услуг, по модернизации системы внутреннего и внешнего освещения в рамках энергосбережения и повышения энергетической эффективности использования электрической энергии при эксплуатации объектов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МАОУ ОЦ № 7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Цель оказания услуг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Целью оказания услуг и выполнения работ является достижение экономии энергоресурсов (электрической энергии) не менее 50 (пятидесяти) процентов в натуральном выражении за счет модернизации системы внутреннего и внешнего освещения  муниципального автономного образовательного учреждения г. Владимира "Образовательный центр № 7" (далее- МАОУ ОЦ № 7)</w:t>
      </w:r>
    </w:p>
    <w:p>
      <w:pPr>
        <w:pStyle w:val="Normal"/>
        <w:spacing w:before="0" w:after="160"/>
        <w:ind w:firstLine="709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Liberation Serif" w:hAnsi="Liberation Serif"/>
          <w:b/>
          <w:szCs w:val="22"/>
        </w:rPr>
      </w:pPr>
      <w:r>
        <w:rPr>
          <w:rFonts w:ascii="Liberation Serif" w:hAnsi="Liberation Serif"/>
          <w:b/>
          <w:szCs w:val="22"/>
        </w:rPr>
        <w:t>Перечень оказываемых услуг и выполнения работ</w:t>
      </w:r>
    </w:p>
    <w:p>
      <w:pPr>
        <w:pStyle w:val="ListParagraph"/>
        <w:ind w:start="1069"/>
        <w:jc w:val="both"/>
        <w:rPr>
          <w:rFonts w:ascii="Liberation Serif" w:hAnsi="Liberation Serif"/>
          <w:b/>
          <w:sz w:val="16"/>
          <w:szCs w:val="16"/>
        </w:rPr>
      </w:pPr>
      <w:r>
        <w:rPr>
          <w:rFonts w:ascii="Liberation Serif" w:hAnsi="Liberation Serif"/>
          <w:b/>
          <w:sz w:val="16"/>
          <w:szCs w:val="16"/>
        </w:rPr>
      </w:r>
    </w:p>
    <w:p>
      <w:pPr>
        <w:pStyle w:val="ListParagraph"/>
        <w:numPr>
          <w:ilvl w:val="0"/>
          <w:numId w:val="1"/>
        </w:numPr>
        <w:ind w:firstLine="284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Осмотр (обход) системы освещения по объекту энергосервиса специалистами Исполнителя с целью определения графика выполнения работ, выявления возможных несоответствий базовых значений (параметров) Объекта энергосервиса (количество и мощность энергопотребляющего оборудования, базовый уровень потребления, режим горения, и т.д.);</w:t>
      </w:r>
    </w:p>
    <w:p>
      <w:pPr>
        <w:pStyle w:val="ListParagraph"/>
        <w:numPr>
          <w:ilvl w:val="0"/>
          <w:numId w:val="1"/>
        </w:numPr>
        <w:ind w:firstLine="284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Выполнить и предоставить Заказчику светотехнические расчёты по каждому помещению, где проводится модернизация системы освещения;</w:t>
      </w:r>
    </w:p>
    <w:p>
      <w:pPr>
        <w:pStyle w:val="ListParagraph"/>
        <w:numPr>
          <w:ilvl w:val="0"/>
          <w:numId w:val="1"/>
        </w:numPr>
        <w:ind w:firstLine="284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Демонтаж и сдача демонтированных светильников Заказчику;</w:t>
      </w:r>
    </w:p>
    <w:p>
      <w:pPr>
        <w:pStyle w:val="ListParagraph"/>
        <w:numPr>
          <w:ilvl w:val="0"/>
          <w:numId w:val="1"/>
        </w:numPr>
        <w:ind w:firstLine="284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Поставка, монтаж энергосберегающих светодиодных светильников;</w:t>
      </w:r>
    </w:p>
    <w:p>
      <w:pPr>
        <w:pStyle w:val="ListParagraph"/>
        <w:numPr>
          <w:ilvl w:val="0"/>
          <w:numId w:val="1"/>
        </w:numPr>
        <w:ind w:firstLine="284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Проведение замеров освещенности в помещениях и единичной мощности светильников.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284" w:start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Подготовка комплекта исполнительной документации в составе: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start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результаты замеров уровней освещенности с приложением копии аттестата аккредитации организации, проводившей замеры уровней освещенности;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start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копии документов, подтверждающих качество установленного светотехнического оборудования.</w:t>
      </w:r>
    </w:p>
    <w:p>
      <w:pPr>
        <w:pStyle w:val="ListParagraph"/>
        <w:ind w:start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0" w:leader="none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Общие положения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  <w:tab w:val="left" w:pos="851" w:leader="none"/>
        </w:tabs>
        <w:ind w:hanging="76" w:star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оказания услуг (далее – Объект): МАОУ ОЦ №7, включающий:</w:t>
      </w:r>
    </w:p>
    <w:p>
      <w:pPr>
        <w:pStyle w:val="Normal"/>
        <w:tabs>
          <w:tab w:val="clear" w:pos="708"/>
          <w:tab w:val="left" w:pos="0" w:leader="none"/>
          <w:tab w:val="left" w:pos="851" w:leader="none"/>
        </w:tabs>
        <w:spacing w:before="0" w:after="1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структурное подразделение №1 МАОУ ОЦ № 7 (далее - СП № 1, учебный корпус) г.Владимир, мкр. Юрьевец, ул. Институтский городок, д.20;</w:t>
      </w:r>
    </w:p>
    <w:p>
      <w:pPr>
        <w:pStyle w:val="Normal"/>
        <w:tabs>
          <w:tab w:val="clear" w:pos="708"/>
          <w:tab w:val="left" w:pos="0" w:leader="none"/>
          <w:tab w:val="left" w:pos="851" w:leader="none"/>
        </w:tabs>
        <w:spacing w:before="0" w:after="1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структурное подразделение №1 МАОУ ОЦ № 7 (далее - СП № 1, клубно-спортивный корпус), г.Владимир, мкр. Юрьевец, ул. Институтский городок, д.20Б;</w:t>
      </w:r>
    </w:p>
    <w:p>
      <w:pPr>
        <w:pStyle w:val="Normal"/>
        <w:tabs>
          <w:tab w:val="clear" w:pos="708"/>
          <w:tab w:val="left" w:pos="0" w:leader="none"/>
          <w:tab w:val="left" w:pos="851" w:leader="none"/>
        </w:tabs>
        <w:spacing w:before="0" w:after="1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структурное подразделение №2 МАОУ ОЦ № 7 (далее - СП № 2) г.Владимир, мкр. Юрьевец, ул. Институтский городок, 7;</w:t>
      </w:r>
    </w:p>
    <w:p>
      <w:pPr>
        <w:pStyle w:val="Normal"/>
        <w:tabs>
          <w:tab w:val="clear" w:pos="708"/>
          <w:tab w:val="left" w:pos="0" w:leader="none"/>
          <w:tab w:val="left" w:pos="851" w:leader="none"/>
        </w:tabs>
        <w:spacing w:before="0" w:after="1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структурное подразделение №3 МАОУ ОЦ № 7 (далее - СП № 3) г.Владимир, мкр. Энергетик, ул. Энергетиков, д.1;</w:t>
      </w:r>
    </w:p>
    <w:p>
      <w:pPr>
        <w:pStyle w:val="Normal"/>
        <w:tabs>
          <w:tab w:val="clear" w:pos="708"/>
          <w:tab w:val="left" w:pos="0" w:leader="none"/>
          <w:tab w:val="left" w:pos="851" w:leader="none"/>
        </w:tabs>
        <w:spacing w:before="0" w:after="1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структурное подразделение №4 корпус 1 МАОУ ОЦ № 7 (далее - СП № 4.1) г.Владимир, мкр. Энергетик, ул. Северная, д.5;</w:t>
      </w:r>
    </w:p>
    <w:p>
      <w:pPr>
        <w:pStyle w:val="Normal"/>
        <w:tabs>
          <w:tab w:val="clear" w:pos="708"/>
          <w:tab w:val="left" w:pos="0" w:leader="none"/>
          <w:tab w:val="left" w:pos="851" w:leader="none"/>
        </w:tabs>
        <w:spacing w:before="0" w:after="1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структурное подразделение №4 корпус 2 МАОУ ОЦ № 7 (далее - СП № 4.2) г.Владимир, мкр. Энергетик, ул. Северная, д.11Б;</w:t>
      </w:r>
    </w:p>
    <w:p>
      <w:pPr>
        <w:pStyle w:val="Normal"/>
        <w:tabs>
          <w:tab w:val="clear" w:pos="708"/>
          <w:tab w:val="left" w:pos="0" w:leader="none"/>
          <w:tab w:val="left" w:pos="851" w:leader="none"/>
        </w:tabs>
        <w:spacing w:before="0" w:after="1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структурное подразделение №5 корпус 1 МАОУ ОЦ № 7 (далее - СП № 5.1) г.Владимир, мкр. Юрьевец, Институтский городок, д.8;</w:t>
      </w:r>
    </w:p>
    <w:p>
      <w:pPr>
        <w:pStyle w:val="Normal"/>
        <w:tabs>
          <w:tab w:val="clear" w:pos="708"/>
          <w:tab w:val="left" w:pos="0" w:leader="none"/>
          <w:tab w:val="left" w:pos="851" w:leader="none"/>
        </w:tabs>
        <w:spacing w:before="0" w:after="1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структурное подразделение №6 корпус 1 МАОУ ОЦ № 7 (далее - СП № 6.1) г.Владимир, мкр. Юрьевец, ул. Михалькова, д.3А;</w:t>
      </w:r>
    </w:p>
    <w:p>
      <w:pPr>
        <w:pStyle w:val="Normal"/>
        <w:tabs>
          <w:tab w:val="clear" w:pos="708"/>
          <w:tab w:val="left" w:pos="0" w:leader="none"/>
          <w:tab w:val="left" w:pos="851" w:leader="none"/>
        </w:tabs>
        <w:spacing w:before="0" w:after="1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структурное подразделение №6 корпус 2 МАОУ ОЦ № 7 (далее - СП № 6.2) г.Владимир, мкр. Юрьевец, ул. Славная, д.4А.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851" w:leader="none"/>
        </w:tabs>
        <w:ind w:hanging="76" w:star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Сроки оказания услуг и выполнения работ</w:t>
      </w:r>
    </w:p>
    <w:p>
      <w:pPr>
        <w:pStyle w:val="ListParagraph"/>
        <w:tabs>
          <w:tab w:val="clear" w:pos="708"/>
          <w:tab w:val="left" w:pos="851" w:leader="none"/>
        </w:tabs>
        <w:ind w:firstLine="426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Сроки выполнения работ по модернизации системы внутреннего и наружного освещения для энергосбережения и повышения энергетической эффективности – не более 120 календарных дней с даты заключения договора.</w:t>
      </w:r>
    </w:p>
    <w:p>
      <w:pPr>
        <w:pStyle w:val="ListParagraph"/>
        <w:tabs>
          <w:tab w:val="clear" w:pos="708"/>
          <w:tab w:val="left" w:pos="851" w:leader="none"/>
        </w:tabs>
        <w:ind w:firstLine="426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tabs>
          <w:tab w:val="clear" w:pos="708"/>
          <w:tab w:val="left" w:pos="851" w:leader="none"/>
        </w:tabs>
        <w:ind w:firstLine="426" w:star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0" w:leader="none"/>
          <w:tab w:val="left" w:pos="993" w:leader="none"/>
        </w:tabs>
        <w:ind w:firstLine="284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Требования к оборудованию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  <w:tab w:val="left" w:pos="1134" w:leader="none"/>
        </w:tabs>
        <w:ind w:firstLine="284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Используемое светотехническое оборудование должно быть новым (не бывшим в употреблении, в ремонте, в том числе не восстановленным, у которого не была осуществлена замена составных частей, не были восстановлены потребительские свойства)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  <w:tab w:val="left" w:pos="1134" w:leader="none"/>
        </w:tabs>
        <w:ind w:firstLine="284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Используемое светотехническое оборудование должно соответствовать: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ind w:firstLine="284" w:start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Технический регламент ТС «О безопасности низковольтного оборудования» (ТР ТС 004/2011);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ind w:firstLine="284" w:start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Технический регламент ТС «Электромагнитная совместимость технических средств» (ТР ТС 020/2011).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  <w:tab w:val="left" w:pos="1134" w:leader="none"/>
        </w:tabs>
        <w:ind w:firstLine="284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Смонтированное светотехническое оборудование должно обеспечивать соблюдение требований: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993" w:leader="none"/>
        </w:tabs>
        <w:ind w:firstLine="567" w:start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СП 52.13330.2016. Свод правил. Естественное и искусственное освещение. Актуализированная редакция СНиП 23-05-95*;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993" w:leader="none"/>
        </w:tabs>
        <w:ind w:firstLine="567" w:start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ПП № 2255 от 24.12.20 «Об утверждении требований к осветительным устройствам и электрическим лампам, используемым в цепях переменного тока в целях освещения»;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993" w:leader="none"/>
        </w:tabs>
        <w:ind w:firstLine="567" w:start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РФ от 28.01.2021 № 2;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ГОСТ 34819-2021 Приборы осветительные. Светотехнические требования и методы испытаний;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Санитарные правила.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  <w:tab w:val="left" w:pos="1134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Уровень освещенности на объекте Заказчика подтверждается на основании замеров уровней освещенности в соответствии с ГОСТ 24940-2016 «Здания и сооружения». Методы измерения освещенности».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</w:tabs>
        <w:ind w:firstLine="66" w:star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Дополнительные характеристики к оборудованию, устанавливаемому на объекте энергосервиса</w:t>
      </w:r>
    </w:p>
    <w:tbl>
      <w:tblPr>
        <w:tblW w:w="1007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2"/>
        <w:gridCol w:w="1569"/>
        <w:gridCol w:w="4115"/>
        <w:gridCol w:w="2361"/>
        <w:gridCol w:w="1468"/>
      </w:tblGrid>
      <w:tr>
        <w:trPr>
          <w:tblHeader w:val="true"/>
          <w:trHeight w:val="34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товара</w:t>
            </w:r>
          </w:p>
        </w:tc>
        <w:tc>
          <w:tcPr>
            <w:tcW w:w="7944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 (характеристика) товара</w:t>
            </w:r>
          </w:p>
        </w:tc>
      </w:tr>
      <w:tr>
        <w:trPr>
          <w:tblHeader w:val="true"/>
          <w:trHeight w:val="34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характеристики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характеристики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 характеристики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Светильник светодиодный внутреннего освещения ТИП 1</w:t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Настенно-потолочный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Мощность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20  и  ≤ 25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Ватт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мощности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0.95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 защиты от электрического тока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Световой поток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3000 и ≤ 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Люмен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min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max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≤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Индекс цветопередачи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Материал корпуса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Сталь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Высота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50  и  &lt; 100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500  и  &lt; 600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Ширина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500  и  &lt; 600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пульсаций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  и  ≤ 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Максимальная габаритная яркость, кд/м2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2000 и &lt; 5000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Неравномерность яркости по выходному окну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</w:t>
            </w:r>
            <w:r>
              <w:rPr>
                <w:rFonts w:ascii="Times New Roman" w:hAnsi="Times New Roman"/>
                <w:sz w:val="20"/>
              </w:rPr>
              <w:t>1:2 и &lt;1:5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6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Светильник светодиодный внутреннего освещения ТИП 2</w:t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Настенно-потолочный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Мощность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20  и  ≤ 25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Ватт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мощности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0.95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 защиты от электрического тока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Световой поток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3000 и ≤ 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Люмен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min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max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≤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Индекс цветопередачи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Материал корпуса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Сталь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Высота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50  и  &lt; 100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1200  и  &lt; 1300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Ширина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200  и  &lt; 300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пульсаций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  и  ≤ 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Максимальная габаритная яркость, кд/м2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2000 и &lt; 5000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Неравномерность яркости по выходному окну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</w:t>
            </w:r>
            <w:r>
              <w:rPr>
                <w:rFonts w:ascii="Times New Roman" w:hAnsi="Times New Roman"/>
                <w:sz w:val="20"/>
              </w:rPr>
              <w:t>1:2 и &lt;1:5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6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Светильник светодиодный внутреннего освещения ТИП 3</w:t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Настенно-потолочный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Мощность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10  и  ≤ 15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Ватт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мощности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0.9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 защиты от электрического тока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Световой поток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1000  и  ≤ 2000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Люмен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min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max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≤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Индекс цветопередачи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Материал корпуса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Сталь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Высота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50  и  &lt; 100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600  и  &lt; 1000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Ширина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200  и  &lt; 300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пульсаций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  и  ≤ 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56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Светильник светодиодный внутреннего освещения ТИП 4</w:t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Настенно-потолочный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Мощность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5  и  ≤ 10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Ватт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мощности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0.9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 защиты от электрического тока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Световой поток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1000  и  ≤ 2000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Люмен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min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max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≤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Индекс цветопередачи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Материал корпуса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Сталь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Высота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50  и  &lt; 100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1200  и  &lt; 1300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Ширина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80  и  &lt; 150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пульсаций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  и  ≤ 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56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Светильник светодиодный внутреннего освещения ТИП 5</w:t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Настенно-потолочный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Мощность 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10  и  ≤ 15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Ватт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мощности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0.9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 защиты от электрического тока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Световой поток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1000  и  ≤ 2000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Люмен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min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max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≤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Индекс цветопередачи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Материал корпуса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Пластик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Высота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100  и  &lt; 150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600  и  &lt; 1000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Ширина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150  и  &lt; 200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пульсаций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  и  ≤ 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Вторая характеристическая цифра обозначения степени защиты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 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 характеристическая цифра обозначения степени защиты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 6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56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Светильник светодиодный внутреннего освещения ТИП 6</w:t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Настенно-потолочный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Мощность 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20  и  ≤ 25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Ватт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мощности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0.9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 защиты от электрического тока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Световой поток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3000 и ≤ 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Люмен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min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max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≤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Индекс цветопередачи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Материал корпуса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Пластик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Высота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100  и  &lt; 150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1200  и  &lt; 1300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Ширина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150  и  &lt; 200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пульсаций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  и  ≤ 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Вторая характеристическая цифра обозначения степени защиты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 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 характеристическая цифра обозначения степени защиты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 6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56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Прожектор светодиодный ТИП 7</w:t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прожектора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Стационарный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Мощность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40  и  ≤ 50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Ватт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 электробезопасности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Световой поток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8000  и  ≤ 10000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Люмен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 максимальная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 минимальная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≤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Материал корпуса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Металл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 прожектора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Линейный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 защиты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IP65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56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Прожектор светодиодный ТИП 8</w:t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прожектора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Стационарный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Мощность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20 и ≤ 30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Ватт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 электробезопасности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Световой поток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4000 и ≤ 6000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Люмен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 максимальная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 минимальная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≤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Материал корпуса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Металл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 прожектора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Линейный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 защиты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IP65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56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Светильник светодиодный внутреннего освещения ТИП 9</w:t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Настенно-потолочный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Мощность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30 и ≤ 35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Ватт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мощности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0.95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 защиты от электрического тока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Световой поток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4000 и ≤ 5000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Люмен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min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max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≤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Индекс цветопередачи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Материал корпуса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Сталь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Высота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50  и  &lt; 100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1200  и  &lt; 1300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Ширина светильника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300 и &lt; 500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Миллиметр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пульсаций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1  и  ≤ 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Максимальная габаритная яркость, кд/м2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2000 и &lt; 5000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Неравномерность яркости по выходному окну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</w:t>
            </w:r>
            <w:r>
              <w:rPr>
                <w:rFonts w:ascii="Times New Roman" w:hAnsi="Times New Roman"/>
                <w:sz w:val="20"/>
              </w:rPr>
              <w:t>1:2 и &lt;1:5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569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Лампа светодиодная  ТИП 10</w:t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Номинальная мощность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≥ </w:t>
            </w:r>
            <w:r>
              <w:rPr>
                <w:rFonts w:ascii="Times New Roman" w:hAnsi="Times New Roman"/>
                <w:sz w:val="20"/>
              </w:rPr>
              <w:t>15 и &lt; 20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Ватт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 лампы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Одноцокольная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 цоколя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E27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Коррелированная цветовая температура, max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≤ </w:t>
            </w:r>
            <w:r>
              <w:rPr>
                <w:rFonts w:ascii="Times New Roman" w:hAnsi="Times New Roman"/>
                <w:sz w:val="20"/>
              </w:rPr>
              <w:t>4000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Кельвин</w:t>
            </w:r>
          </w:p>
        </w:tc>
      </w:tr>
      <w:tr>
        <w:trPr>
          <w:trHeight w:val="34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Коэффициент пульсаций</w:t>
            </w:r>
          </w:p>
        </w:tc>
        <w:tc>
          <w:tcPr>
            <w:tcW w:w="23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≤ 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</w:t>
            </w:r>
          </w:p>
        </w:tc>
      </w:tr>
    </w:tbl>
    <w:p>
      <w:pPr>
        <w:pStyle w:val="Normal"/>
        <w:tabs>
          <w:tab w:val="clear" w:pos="708"/>
          <w:tab w:val="left" w:pos="0" w:leader="none"/>
          <w:tab w:val="left" w:pos="1134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0" w:leader="none"/>
          <w:tab w:val="left" w:pos="993" w:leader="none"/>
        </w:tabs>
        <w:ind w:firstLine="426" w:star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Требования к качеству оказываемых услуг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  <w:tab w:val="left" w:pos="1134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Монтаж светотехнического оборудования должен соответствовать Правилам техники безопасности при электромонтажных и наладочных работах, ПУЭ, Правилам по охране труда при эксплуатации электроустановок.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  <w:tab w:val="left" w:pos="1134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Все проводимые энергосберегающие мероприятия по модернизации системы освещения должны выполняться в соответствии с требованиями действующего законодательства Российской Федерации, в том числе с требованиями строительных норм и правил, других нормативных документов в области строительства, технических регламентов, государственных стандартов, санитарных правил и норм, гигиенических нормативов.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Все используемые исполнителем при оказании услуг и работ материалы, изделия и оборудование должны соответствовать установленным договором требованиям, а также должны быть промаркированы и иметь соответствующие сертификаты, технические паспорта и др.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Оказание услуг и выполнение работ, направленные на энергосбережение и повышение энергетической эффективности использования энергетических ресурсов на объекте заказчика, должно осуществляться в тесном взаимодействии со структурными подразделениями и руководством заказчика.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оказании услуг и выполнения работ для достиженияэнергосбережения и повышению энергетической эффективности на объекте заказчика исполнитель обязан руководствоваться техническими условиями и инструкциями заводов - изготовителей материалов, изделий, оборудования, технологическими картами и схемами операционного контроля качества в случае их наличия.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Уровень освещенности должен соответствовать требованиям 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РФ от 28.01.2021 № 2.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Светотехнический расчет должен быть подготовлен для всех помещений, в которых установлены светильники, и содержать: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Титульный лист проекта;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Оглавление;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Ведомость светильников;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Поэтажный план с нанесённым светотехническим оборудованием;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Каждое помещение должно иметь следующие разделы: Резюме, Ведомость светильников, Светильники (план расположения), Светотехнические результаты;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Рабочая плоскость: Изолинии, График значений.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 при оказании услуг и выполнению работдля достижения энергосбережения и повышению энергетической эффективности на объекте заказчика производит сопутствующие электромонтажные работы, необходимые для бесперебойной работы устанавливаемого светотехнического оборудования.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Оказания услуг и выполнение работ производятся только в отведенной зоне их выполнения, минимально необходимым количеством технических средств и механизмов, необходимых для сокращения уровня шума, пыли, загрязнения воздуха. После окончания осуществления работ и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оказания</w:t>
      </w:r>
      <w:r>
        <w:rPr>
          <w:rFonts w:ascii="Times New Roman" w:hAnsi="Times New Roman"/>
          <w:sz w:val="22"/>
          <w:szCs w:val="22"/>
        </w:rPr>
        <w:t xml:space="preserve"> услуг производится ликвидация рабочей зоны, уборка мусора. Вывоз и утилизацию мусора производить в соответствии с требованиями законодательства Российской Федерации в области обращения с отходами.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  <w:tab w:val="left" w:pos="851" w:leader="none"/>
        </w:tabs>
        <w:ind w:firstLine="426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 обязан безвозмездно устранить по требованию заказчика все выявленные недостатки, если в процессе выполнения работ и оказания услуг исполнитель допустил отступления от условий договора, ухудшившие качество результатов работ, в сроки, установленные заказчиком. При возникновении аварийной ситуации по вине исполнителя, восстановительные и ремонтные работы осуществляются силами и за счет средств исполнителя.</w:t>
      </w:r>
    </w:p>
    <w:p>
      <w:pPr>
        <w:pStyle w:val="ListParagraph"/>
        <w:tabs>
          <w:tab w:val="clear" w:pos="708"/>
          <w:tab w:val="left" w:pos="0" w:leader="none"/>
          <w:tab w:val="left" w:pos="851" w:leader="none"/>
        </w:tabs>
        <w:ind w:star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0" w:leader="none"/>
          <w:tab w:val="left" w:pos="993" w:leader="none"/>
        </w:tabs>
        <w:ind w:firstLine="709" w:star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Перечень мероприятий, направленных на энергосбережение и повышение энергетической эффективности использования энергетических ресурсов</w:t>
      </w:r>
      <w:r>
        <w:rPr>
          <w:rFonts w:ascii="Times New Roman" w:hAnsi="Times New Roman"/>
          <w:sz w:val="22"/>
          <w:szCs w:val="22"/>
        </w:rPr>
        <w:t>:</w:t>
      </w:r>
    </w:p>
    <w:tbl>
      <w:tblPr>
        <w:tblW w:w="101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98"/>
        <w:gridCol w:w="6527"/>
        <w:gridCol w:w="1654"/>
        <w:gridCol w:w="1249"/>
      </w:tblGrid>
      <w:tr>
        <w:trPr>
          <w:tblHeader w:val="true"/>
        </w:trPr>
        <w:tc>
          <w:tcPr>
            <w:tcW w:w="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65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работ</w:t>
            </w:r>
          </w:p>
        </w:tc>
        <w:tc>
          <w:tcPr>
            <w:tcW w:w="16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Срок выполнения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Кол-во</w:t>
            </w:r>
          </w:p>
        </w:tc>
      </w:tr>
      <w:tr>
        <w:trPr>
          <w:trHeight w:val="2" w:hRule="atLeast"/>
        </w:trPr>
        <w:tc>
          <w:tcPr>
            <w:tcW w:w="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5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Осмотр (обход) системы освещения на Объекте энергосервиса специалистами Исполнителя с целью определения графика выполнения работ, выявления возможных несоответствий базовых значений (параметров) Объекта энергосервиса (количество и мощность энергопотребляющего оборудования, базовый уровень потребления, режим горения, и т.д.).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 позднее 120 календарных дней с даты заключения договора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5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Выполнить и предоставить Заказчику светотехнические расчёты по каждому помещению где проводится модернизация системы освещения</w:t>
            </w:r>
          </w:p>
        </w:tc>
        <w:tc>
          <w:tcPr>
            <w:tcW w:w="165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5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Демонтаж и сдача демонтированных светильников Заказчику, шт</w:t>
            </w:r>
          </w:p>
        </w:tc>
        <w:tc>
          <w:tcPr>
            <w:tcW w:w="165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3885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5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Поставка, монтаж энергосберегающих светодиодных светильников</w:t>
            </w:r>
          </w:p>
        </w:tc>
        <w:tc>
          <w:tcPr>
            <w:tcW w:w="165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5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Проведение замеров освещенности в помещениях и единичной мощности светильников </w:t>
            </w:r>
          </w:p>
        </w:tc>
        <w:tc>
          <w:tcPr>
            <w:tcW w:w="165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</w:tbl>
    <w:p>
      <w:pPr>
        <w:pStyle w:val="ListParagraph"/>
        <w:tabs>
          <w:tab w:val="clear" w:pos="708"/>
          <w:tab w:val="left" w:pos="0" w:leader="none"/>
        </w:tabs>
        <w:ind w:start="36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0" w:leader="none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Перечень световых приборов, принадлежащих заказчику, подлежащих замене в ходе проведения энергосберегающих мероприятий в системе освещения (Приложением № 1 к техническому заданию).</w:t>
      </w:r>
    </w:p>
    <w:p>
      <w:pPr>
        <w:pStyle w:val="Normal"/>
        <w:tabs>
          <w:tab w:val="clear" w:pos="708"/>
          <w:tab w:val="left" w:pos="0" w:leader="none"/>
          <w:tab w:val="left" w:pos="851" w:leader="none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 xml:space="preserve">Примечание: </w:t>
      </w:r>
      <w:r>
        <w:rPr>
          <w:rFonts w:ascii="Times New Roman" w:hAnsi="Times New Roman"/>
          <w:b/>
          <w:i/>
          <w:iCs/>
          <w:sz w:val="22"/>
          <w:szCs w:val="22"/>
        </w:rPr>
        <w:t>Измеренная мощность контрольных световых приборов</w:t>
      </w:r>
      <w:r>
        <w:rPr>
          <w:rFonts w:ascii="Times New Roman" w:hAnsi="Times New Roman"/>
          <w:i/>
          <w:iCs/>
          <w:sz w:val="22"/>
          <w:szCs w:val="22"/>
        </w:rPr>
        <w:t xml:space="preserve"> (в соответствии с утвержденной «Методикой определения расчетно-измерительным способом объема потребления энергетического ресурса в натуральном выражении для реализации мероприятий по повышению энергетической эффективности систем внутреннего и наружного освещения, энергетической эффективности использования электродвигателей, в том числе в составе технологических комплексов (насосных, компрессорных и прочих), энергетической эффективности объектов теплоснабжения, систем отопления, вентиляции и кондиционирования воздуха зданий, строений и сооружений, энергетической эффективности объектов электроэнергетики, энергетической эффективности оборудования для пищеприготовления, направленных на энергосбережение и повышение энергетической эффективности» (утв. Приказом Министерства экономического развития Российской Федерации от 29.02.2024 № 119) </w:t>
      </w:r>
    </w:p>
    <w:tbl>
      <w:tblPr>
        <w:tblW w:w="1062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614"/>
        <w:gridCol w:w="2002"/>
        <w:gridCol w:w="2002"/>
        <w:gridCol w:w="2002"/>
      </w:tblGrid>
      <w:tr>
        <w:trPr>
          <w:tblHeader w:val="true"/>
          <w:trHeight w:val="480" w:hRule="atLeast"/>
        </w:trPr>
        <w:tc>
          <w:tcPr>
            <w:tcW w:w="4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Объект/Расположение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светильника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светильников, шт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Измеренная мощность светильника с ПРА, Вт*</w:t>
            </w:r>
          </w:p>
        </w:tc>
      </w:tr>
      <w:tr>
        <w:trPr>
          <w:trHeight w:val="300" w:hRule="atLeast"/>
        </w:trPr>
        <w:tc>
          <w:tcPr>
            <w:tcW w:w="4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(МАОУ ОЦ № 7)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3885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851" w:leader="none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структурное подразделение №4.1 (СП № 4.1) (ДС №10, мкр. Энергетик, ул. Северная, 5);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КЛЛ 1*18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ЛВО 4*18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ЛН 1*60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2*36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851" w:leader="none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структурное подразделение №6.1 (СП № 6.1) (ДС №105, мкр. Юрьевец, ул. Михалькова, 3А)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ДРЛ 250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287,5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2*36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Люстра с 2 ЛН 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Люстра с 3 ЛН 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плафон под 1*60 ЛН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851" w:leader="none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структурное подразделение №4.2 (СП № 4.2) (ДС №106, мкр. Энергетик, ул. Северная, 11Б)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КЛЛ 1*18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ЛВО 4*18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ЛН 1*60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2*36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Люстра с 1 ЛН 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Люстра с 3 ЛН 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Люстра с 4 ЛН 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структурное подразделение №6.2 (СП № 6.2) (ДС №11, мкр. Юрьевец, ул. Славная, 4А).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КЛЛ 1*18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ЛВО 4*18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593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2*18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41,4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2*36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структурное подразделение №5.1(СП № 5.1) (ДС №82, мкр. Юрьевец, Институтский городок, 8);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2*18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41,4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Люстра с 2 шт 1*60 ЛН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Люстра с 5 1*60 ЛН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плафон под 1*60 ЛН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структурное подразделение  №1 (СП № 1) (СОШ №42 спорт корпус, мкр. Юрьевец, ул. Институтский городок, 20Б)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2*36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475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2*18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372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41,4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1*18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20,7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1*36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41,4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КЛЛ 1*18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структурное подразделение  №1 (СП № 1) (СОШ №42 спорт корпус, мкр. Юрьевец, ул. Институтский городок, 20)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ДРЛ 250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287,5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ЛВО 4*18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ЛН 1*60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1*36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41,4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2*36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427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люстра 3 шт ЛН 1*60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структурное подразделение №2 (СП № 2) (СОШ №44, мкр. Юрьевец, ул. Институтский городок, 7);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LED 40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ДРЛ 250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287,5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КЛЛ 1*18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ЛВО 4*18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ЛН 1*60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1*18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20,7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1*36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41,4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2*36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4*36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165,60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структурное подразделение №3 (СП № 3) (СОШ №45, мкр. Энергетик, ул. Энергетиков, 1);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ДРЛ 250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287,5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КЛЛ 1*18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ЛВО 4*18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ЛН 1*60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ЛН 1*60 под 4*18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1*36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41,4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ЛПО 2*36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82,8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Люстра 2 шт ЛН 1*60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Люстра 5 шт ЛН 1*60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</w:tbl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*В соответствии с Приказом Министерства экономического развития Российской Федерации от 29.02.2024 № 119</w:t>
      </w:r>
    </w:p>
    <w:p>
      <w:pPr>
        <w:pStyle w:val="Normal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ListParagraph"/>
        <w:ind w:start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8. График работы систем освещения Объекта (приложение №2 к техническому заданию).</w:t>
      </w:r>
    </w:p>
    <w:p>
      <w:pPr>
        <w:pStyle w:val="Normal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ab/>
        <w:t>При разработке светотехнического расчет</w:t>
      </w:r>
      <w:r>
        <w:rPr>
          <w:rFonts w:ascii="Times New Roman" w:hAnsi="Times New Roman"/>
          <w:color w:val="auto"/>
          <w:sz w:val="22"/>
          <w:szCs w:val="22"/>
          <w:lang w:eastAsia="ar-SA"/>
        </w:rPr>
        <w:t>а учесть необходимость снижения расхода электрической энергии на нужды заменяемых светильников на – 76,7%</w:t>
      </w:r>
    </w:p>
    <w:p>
      <w:pPr>
        <w:pStyle w:val="ListParagraph"/>
        <w:suppressAutoHyphens w:val="true"/>
        <w:spacing w:lineRule="auto" w:line="240" w:before="0" w:after="0"/>
        <w:ind w:star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Базовый расход электроэнергии заменяемых светильников:</w:t>
      </w:r>
    </w:p>
    <w:tbl>
      <w:tblPr>
        <w:tblW w:w="9870" w:type="dxa"/>
        <w:jc w:val="start"/>
        <w:tblInd w:w="130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4a0" w:noHBand="0" w:noVBand="1" w:firstColumn="1" w:lastRow="0" w:lastColumn="0" w:firstRow="1"/>
      </w:tblPr>
      <w:tblGrid>
        <w:gridCol w:w="2296"/>
        <w:gridCol w:w="4611"/>
        <w:gridCol w:w="2963"/>
      </w:tblGrid>
      <w:tr>
        <w:trPr>
          <w:trHeight w:val="19" w:hRule="atLeast"/>
        </w:trPr>
        <w:tc>
          <w:tcPr>
            <w:tcW w:w="2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46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Месяц 2025 года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потребления электрической энергии за базовый период, кВт*ч</w:t>
            </w:r>
          </w:p>
        </w:tc>
      </w:tr>
      <w:tr>
        <w:trPr>
          <w:trHeight w:val="19" w:hRule="atLeast"/>
        </w:trPr>
        <w:tc>
          <w:tcPr>
            <w:tcW w:w="2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6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январь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27 958,66</w:t>
            </w:r>
          </w:p>
        </w:tc>
      </w:tr>
      <w:tr>
        <w:trPr>
          <w:trHeight w:val="19" w:hRule="atLeast"/>
        </w:trPr>
        <w:tc>
          <w:tcPr>
            <w:tcW w:w="2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6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февраль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33 632,76</w:t>
            </w:r>
          </w:p>
        </w:tc>
      </w:tr>
      <w:tr>
        <w:trPr>
          <w:trHeight w:val="19" w:hRule="atLeast"/>
        </w:trPr>
        <w:tc>
          <w:tcPr>
            <w:tcW w:w="2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6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март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36 979,21</w:t>
            </w:r>
          </w:p>
        </w:tc>
      </w:tr>
      <w:tr>
        <w:trPr>
          <w:trHeight w:val="19" w:hRule="atLeast"/>
        </w:trPr>
        <w:tc>
          <w:tcPr>
            <w:tcW w:w="2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6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апрель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38 177,06</w:t>
            </w:r>
          </w:p>
        </w:tc>
      </w:tr>
      <w:tr>
        <w:trPr>
          <w:trHeight w:val="19" w:hRule="atLeast"/>
        </w:trPr>
        <w:tc>
          <w:tcPr>
            <w:tcW w:w="2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6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май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33 809,84</w:t>
            </w:r>
          </w:p>
        </w:tc>
      </w:tr>
      <w:tr>
        <w:trPr>
          <w:trHeight w:val="19" w:hRule="atLeast"/>
        </w:trPr>
        <w:tc>
          <w:tcPr>
            <w:tcW w:w="2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6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июнь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28 846,29</w:t>
            </w:r>
          </w:p>
        </w:tc>
      </w:tr>
      <w:tr>
        <w:trPr>
          <w:trHeight w:val="19" w:hRule="atLeast"/>
        </w:trPr>
        <w:tc>
          <w:tcPr>
            <w:tcW w:w="2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6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июль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25 447,14</w:t>
            </w:r>
          </w:p>
        </w:tc>
      </w:tr>
      <w:tr>
        <w:trPr>
          <w:trHeight w:val="19" w:hRule="atLeast"/>
        </w:trPr>
        <w:tc>
          <w:tcPr>
            <w:tcW w:w="2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6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август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24 765,79</w:t>
            </w:r>
          </w:p>
        </w:tc>
      </w:tr>
      <w:tr>
        <w:trPr>
          <w:trHeight w:val="19" w:hRule="atLeast"/>
        </w:trPr>
        <w:tc>
          <w:tcPr>
            <w:tcW w:w="2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6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сентябрь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35 792,42</w:t>
            </w:r>
          </w:p>
        </w:tc>
      </w:tr>
      <w:tr>
        <w:trPr>
          <w:trHeight w:val="19" w:hRule="atLeast"/>
        </w:trPr>
        <w:tc>
          <w:tcPr>
            <w:tcW w:w="2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6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октябрь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38 641,73</w:t>
            </w:r>
          </w:p>
        </w:tc>
      </w:tr>
      <w:tr>
        <w:trPr>
          <w:trHeight w:val="19" w:hRule="atLeast"/>
        </w:trPr>
        <w:tc>
          <w:tcPr>
            <w:tcW w:w="2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6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ноябрь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36 397,83</w:t>
            </w:r>
          </w:p>
        </w:tc>
      </w:tr>
      <w:tr>
        <w:trPr>
          <w:trHeight w:val="19" w:hRule="atLeast"/>
        </w:trPr>
        <w:tc>
          <w:tcPr>
            <w:tcW w:w="2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6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декабрь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38 155,07</w:t>
            </w:r>
          </w:p>
        </w:tc>
      </w:tr>
      <w:tr>
        <w:trPr>
          <w:trHeight w:val="19" w:hRule="atLeast"/>
        </w:trPr>
        <w:tc>
          <w:tcPr>
            <w:tcW w:w="69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ИТОГО</w:t>
            </w:r>
          </w:p>
        </w:tc>
        <w:tc>
          <w:tcPr>
            <w:tcW w:w="29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0" w:before="0" w:after="0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398 603,79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start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start="0" w:end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eastAsia="ar-SA"/>
        </w:rPr>
        <w:t>9.Требования к проведению демонтажно-монтажных работ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142" w:leader="none"/>
        </w:tabs>
        <w:suppressAutoHyphens w:val="true"/>
        <w:bidi w:val="0"/>
        <w:spacing w:lineRule="auto" w:line="240" w:before="0" w:after="0"/>
        <w:ind w:firstLine="680" w:start="0" w:end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9.1. Заменить световые приборы, находящиеся в помещениях Объекта, на энергосберегающие светодиодные светильники и лампы.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142" w:leader="none"/>
        </w:tabs>
        <w:suppressAutoHyphens w:val="true"/>
        <w:bidi w:val="0"/>
        <w:spacing w:lineRule="auto" w:line="240" w:before="0" w:after="0"/>
        <w:ind w:firstLine="680" w:start="0" w:end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9.2. Выполнение работ и оказание услуг на Объекте должна осуществляться в тесном взаимодействии со структурными подразделениями и руководством Объекта Заказчика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680" w:start="0" w:end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9.3. При выполнении работ и оказания услуг на Объекте Заказчика Подрядчик обязан руководствоваться техническими условиями и инструкциями заводов - изготовителей материалов, изделий, оборудования, технологическими картами и схемами операционного контроля качества в случае их наличия.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680" w:start="0" w:end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9.4. Подрядчик при оказании услуг и выполнении работ на Объекте Заказчика производит сопутствующие электромонтажные работы, необходимые для бесперебойной работы устанавливаемого светотехнического оборудования.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680" w:start="0" w:end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9.5. Работы и услуги производятся только в отведенной зоне их выполнения, минимально необходимым количеством технических средств и механизмов, необходимых для сокращения уровня шума, пыли, загрязнения воздуха. После окончания осуществления мероприятий производится ликвидация рабочей зоны, уборка мусора. Вывоз и утилизацию мусора производить в соответствии с требованиями законодательства Российской Федерации в области обращения с отходами.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676" w:leader="none"/>
        </w:tabs>
        <w:suppressAutoHyphens w:val="true"/>
        <w:bidi w:val="0"/>
        <w:spacing w:lineRule="auto" w:line="240" w:before="0" w:after="0"/>
        <w:ind w:firstLine="680" w:start="0" w:end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9.6. Подрядчик обязан безвозмездно устранить по требованию Заказчика все выявленные недостатки, если в процессе выполнения мероприятий Подрядчик допустил отступления от условий договора, ухудшившие качество результатов мероприятий, в сроки, установленные Заказчиком. При возникновении аварийной ситуации по вине Подрядчика, восстановительные и ремонтные работы осуществляются силами и за счет средств Подрядчика.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680" w:start="0" w:end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9.7.Обеспечить выполнение работ и услуг в соответствии с действующими строительными нормами и правилами (СНиП), государственными стандартами Российской Федерации в области строительства и капитального ремонта (ГОСТ), правилами устройства электроустановок (ПУЭ), требованиями органов пожарной безопасности и иными, нормами и техническими условиями, действие которых распространяется на виды работ выполняемые Подрядчиком.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start="0" w:end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9.8. Передать Заказчику демонтированное оборудование по Акту.</w:t>
      </w:r>
    </w:p>
    <w:p>
      <w:pPr>
        <w:pStyle w:val="Normal"/>
        <w:suppressAutoHyphens w:val="true"/>
        <w:spacing w:lineRule="auto" w:line="240" w:before="0" w:after="0"/>
        <w:ind w:start="0"/>
        <w:contextualSpacing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</w:r>
    </w:p>
    <w:p>
      <w:pPr>
        <w:pStyle w:val="ListParagraph"/>
        <w:numPr>
          <w:ilvl w:val="0"/>
          <w:numId w:val="0"/>
        </w:numPr>
        <w:suppressAutoHyphens w:val="true"/>
        <w:spacing w:lineRule="auto" w:line="240" w:before="0" w:after="0"/>
        <w:ind w:hanging="0" w:start="54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eastAsia="ar-SA"/>
        </w:rPr>
        <w:t>10. Гарантия качества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676" w:leader="none"/>
        </w:tabs>
        <w:suppressAutoHyphens w:val="true"/>
        <w:bidi w:val="0"/>
        <w:spacing w:lineRule="auto" w:line="240" w:before="0" w:after="0"/>
        <w:ind w:hanging="0" w:start="567" w:end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10.1. Гарантийный срок:</w:t>
      </w:r>
    </w:p>
    <w:p>
      <w:pPr>
        <w:pStyle w:val="ListParagraph"/>
        <w:numPr>
          <w:ilvl w:val="0"/>
          <w:numId w:val="7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на светодиодные светильники должен составлять 7 (семь) лет</w:t>
      </w:r>
    </w:p>
    <w:p>
      <w:pPr>
        <w:pStyle w:val="ListParagraph"/>
        <w:numPr>
          <w:ilvl w:val="0"/>
          <w:numId w:val="7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на монтажные и пуско-наладочные работы - 2 (два) года</w:t>
      </w:r>
    </w:p>
    <w:p>
      <w:pPr>
        <w:pStyle w:val="ListParagraph"/>
        <w:numPr>
          <w:ilvl w:val="0"/>
          <w:numId w:val="7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на иные изделия и оборудование - в соответствии с условиями заводов-изготовителей</w:t>
      </w:r>
    </w:p>
    <w:p>
      <w:pPr>
        <w:pStyle w:val="ListParagraph"/>
        <w:suppressAutoHyphens w:val="true"/>
        <w:spacing w:lineRule="auto" w:line="240" w:before="0" w:after="0"/>
        <w:ind w:star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Гарантийный срок исчисляется с момента выполнения работ по модернизации системы внутреннего и внешнего освещения дляэнергосбережения и повышения энергетической эффективности и начинает исчисляться с даты подписания Сторонами Акта сдачи-приемки результатов реализации мероприятий.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 xml:space="preserve">      </w:t>
      </w:r>
      <w:r>
        <w:rPr>
          <w:rFonts w:ascii="Times New Roman" w:hAnsi="Times New Roman"/>
          <w:sz w:val="22"/>
          <w:szCs w:val="22"/>
          <w:lang w:eastAsia="ar-SA"/>
        </w:rPr>
        <w:t>10.2. Гарантии на материалы, изделия и оборудование предоставляются Подрядчиком в соответствии с условиями заводов-изготовителей. Копии гарантийных документов на оборудование (гарантийный талон, гарантийное обязательство, гарантийное соглашение или в любой иной форме) должны быть предоставлены Заказчику в день подписания Акта сдачи-приемки результатов реализации мероприятий (работ) для энергосбережения и повышению энергетической эффективности. Подрядчик обеспечивает устранение недостатков материалов, изделий и оборудования в течение всего срока действия гарантии (не менее 7 (семи) лет с момента реализации перечня мероприятий (с даты подписания Акта сдачи-приемки результатов реализации мероприятий (работ) для энергосбережения и повышения энергетической эффективности)). В период гарантийного срока в случае поломки или сбоя в работе установленного Подрядчиком оборудования последний обязан в течение срока, установленного Заказчиком (который устанавливается в зависимости от серьезности последствий при поломке оборудования), обеспечить устранение недостатков (отремонтировать или демонтировать и осуществить замену вышедшего из строя оборудования). В случае если случай не является гарантийным, что подтверждается заключением независимой экспертизы, Заказчик обязан компенсировать Подрядчику стоимость замененного оборудования, работы по демонтажу и монтажу, а также стоимость проведенной экспертизы.</w:t>
      </w:r>
    </w:p>
    <w:p>
      <w:pPr>
        <w:pStyle w:val="ListParagraph"/>
        <w:numPr>
          <w:ilvl w:val="0"/>
          <w:numId w:val="0"/>
        </w:numPr>
        <w:suppressAutoHyphens w:val="true"/>
        <w:spacing w:lineRule="auto" w:line="240" w:before="0" w:after="0"/>
        <w:ind w:hanging="0" w:star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 xml:space="preserve">         </w:t>
      </w:r>
      <w:r>
        <w:rPr>
          <w:rFonts w:ascii="Times New Roman" w:hAnsi="Times New Roman"/>
          <w:sz w:val="22"/>
          <w:szCs w:val="22"/>
          <w:lang w:eastAsia="ar-SA"/>
        </w:rPr>
        <w:t>10.3. Если в период указанного гарантийного срока обнаружатся недостатки результата реализации мероприятия (работ) для энергосбережения и повышения энергетической эффективности, то Подрядчик обязан их устранить за свой счет в течение срока, определенного Сторонами в Акте, фиксирующем недостатки. Гарантийный срок в этом случае продлевается соответственно на период, в течение которого Подрядчиком оказывались услуги по устранению недостатков. Подрядчик не несет гарантийных обязательств в отношении результата реализации мероприятий (работ) для энергосбережения и повышения энергетической эффективности, а также не обеспечивает устранение недостатков материалов, изделий, оборудования в следующих случаях: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hanging="357" w:start="85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ascii="Times New Roman" w:hAnsi="Times New Roman"/>
          <w:sz w:val="22"/>
          <w:szCs w:val="22"/>
        </w:rPr>
        <w:t>если Заказчиком нарушены условия гарантийных обязательств завода-изготовителя оборудования, указанные в паспорте, в том числе, правил и условий эксплуатации;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hanging="357" w:start="85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ascii="Times New Roman" w:hAnsi="Times New Roman"/>
          <w:sz w:val="22"/>
          <w:szCs w:val="22"/>
        </w:rPr>
        <w:t>если материалы, изделия, оборудование использовались в целях, не соответствующих прямому назначению;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hanging="357" w:start="85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ascii="Times New Roman" w:hAnsi="Times New Roman"/>
          <w:sz w:val="22"/>
          <w:szCs w:val="22"/>
        </w:rPr>
        <w:t>если материалы, изделия, оборудование имеют следы попыток ремонта, в том числе, изменения схемы или конструкции;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hanging="357" w:start="85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ascii="Times New Roman" w:hAnsi="Times New Roman"/>
          <w:sz w:val="22"/>
          <w:szCs w:val="22"/>
        </w:rPr>
        <w:t>если повреждения (недостатки) вызваны действием непреодолимой силы, несчастными случаями, умышленными или неосторожными действиями (бездействием) Заказчика, работников Заказчика, обучающихся или третьих лиц;</w:t>
      </w:r>
    </w:p>
    <w:p>
      <w:pPr>
        <w:pStyle w:val="ListParagraph"/>
        <w:numPr>
          <w:ilvl w:val="0"/>
          <w:numId w:val="8"/>
        </w:numPr>
        <w:suppressAutoHyphens w:val="true"/>
        <w:spacing w:lineRule="auto" w:line="240" w:before="0" w:after="0"/>
        <w:ind w:hanging="357" w:start="85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ascii="Times New Roman" w:hAnsi="Times New Roman"/>
          <w:sz w:val="22"/>
          <w:szCs w:val="22"/>
        </w:rPr>
        <w:t>если повреждения (недостатки) вызваны несоответствием стандартам параметров питающих, телекоммуникационных, кабельных сетей и других подобных внешних факторов, возникших после завершения Подрядчиком мероприятий по энергосбережению и повышению энергетической эффективности.</w:t>
      </w:r>
    </w:p>
    <w:p>
      <w:pPr>
        <w:pStyle w:val="Normal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</w:r>
    </w:p>
    <w:p>
      <w:pPr>
        <w:pStyle w:val="ListParagraph"/>
        <w:numPr>
          <w:ilvl w:val="0"/>
          <w:numId w:val="0"/>
        </w:numPr>
        <w:suppressAutoHyphens w:val="true"/>
        <w:spacing w:lineRule="auto" w:line="240" w:before="0" w:after="0"/>
        <w:ind w:hanging="0" w:start="54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eastAsia="ar-SA"/>
        </w:rPr>
        <w:t>11. Техническое сопровождение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11.1. Продолжительность, сроки начала и окончания услуг технического сопровождения: Срок оказания услуг: в течение 7 (семи) лет, начиная с месяца, следующего за месяцем, в котором был подписан Акт сдачи-приемки энергосберегающих мероприятий.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11.2. Цель выполнения работ, оказания Услуг: Оказание услуги по Техническому сопровождению Объекта, в соответствии с условиями настоящего Технического задания и сдача результата Работ Заказчику.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 xml:space="preserve">11.3. Виды работ, выполняемых Подрядчиком в рамках выполнения услуг по техническому сопровождению: 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11.3.1. Осуществление ремонта или полной замены светильников, смонтированных в ходе выполнения Работ, своими силами и за свой счет, в течении 10 (десяти) календарных дней с момента получения требования Заказчика.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 xml:space="preserve">11.3.2. Выполнение мониторинга достижения экономии за каждый отчетный период. 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11.3.3. Выявление факторов, повлекших не достижение экономии в отчетных периодах, в которых экономия не достигнута, а также их оперативное устранение для достижения плановых показателей экономии.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11.3.4. Выполнение мероприятий по мониторингу уровня освещенности на предмет соответствия нормативным значениям для каждой категории помещений, при наличии жалоб со стороны Заказчика.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11.3.5. В случае выявления несоответствия уровня освещенности нормативным значениям, выполнение ремонтно-восстановительных работ Объекта по доведению уровня освещенности до нормативных показателей.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11.4. Требование к работам по техническому сопровождению и порядку их осуществления.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11.4.1. Подрядчик приступает к выполнению работ по ремонту или замене светильников при возникновении ситуации, описанной в п.4.3.5. или после получения от Заказчика заявки в соответствии с Приложением 1 к настоящему Техническому заданию.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11.4.2. Срок выполнения работ по ремонту или замене светильников – не более 10 рабочих дней, с момента поступления Заявки.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11.4.3. При исполнении работ по техническому сопровождению, Подрядчиком допускается замена светильников на аналоги,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 обслуживаемых светильников. При этом их мощность не должна превышать исходное значение. Замена светильников должна быть согласована с Заказчиком.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11.4.4. Подрядчик должен обеспечивать соответствие системы освещения в течении всего срока оказания услуг, действующим строительными нормам и правилам (СНиП), санитарным правилам и нормам (СанПиН), государственным стандартам Российской Федерации в области строительства и капитального ремонта (ГОСТ), правилам устройства электроустановок (ПУЭ), требованиям органов пожарной безопасности и иным, нормам и техническим условиям, действие которых распространяется на виды работ выполняемые Подрядчиком в рамках работ для энергосбережения, для данной категории объектов. В том числе обеспечить соответствие нормируемым показателям освещенности помещений объектов энергосервиса.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11.4.5. Мониторинг достижения экономии, в соответствии с плановыми показателями, выполняется каждый отчетный период.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start="0" w:end="0"/>
        <w:contextualSpacing w:val="false"/>
        <w:jc w:val="both"/>
        <w:rPr>
          <w:rFonts w:ascii="Times New Roman" w:hAnsi="Times New Roman"/>
          <w:sz w:val="22"/>
          <w:szCs w:val="22"/>
        </w:r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709" w:right="567" w:gutter="0" w:header="0" w:top="1134" w:footer="709" w:bottom="1134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Times New Roman" w:hAnsi="Times New Roman"/>
          <w:sz w:val="22"/>
          <w:szCs w:val="22"/>
        </w:rPr>
        <w:t>11.4.6. Мониторинг соответствия уровня освещенности нормативным значениям осуществляется не чаще одного раза в год.</w:t>
      </w:r>
    </w:p>
    <w:p>
      <w:pPr>
        <w:pStyle w:val="Normal"/>
        <w:spacing w:before="0" w:after="160"/>
        <w:rPr>
          <w:rFonts w:ascii="Times New Roman" w:hAnsi="Times New Roman"/>
          <w:b/>
          <w:sz w:val="2"/>
        </w:rPr>
      </w:pPr>
      <w:r>
        <w:rPr>
          <w:rFonts w:ascii="Times New Roman" w:hAnsi="Times New Roman"/>
          <w:b/>
          <w:sz w:val="2"/>
        </w:rPr>
      </w:r>
    </w:p>
    <w:sectPr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18" w:right="567" w:gutter="0" w:header="0" w:top="709" w:footer="709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Segoe U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644" w:hanging="360"/>
      </w:pPr>
      <w:rPr>
        <w:b w:val="false"/>
        <w:sz w:val="22"/>
      </w:rPr>
    </w:lvl>
    <w:lvl w:ilvl="1">
      <w:start w:val="0"/>
      <w:numFmt w:val="decimal"/>
      <w:lvlText w:val="%1.%2."/>
      <w:lvlJc w:val="start"/>
      <w:pPr>
        <w:tabs>
          <w:tab w:val="num" w:pos="0"/>
        </w:tabs>
        <w:ind w:start="644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004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004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364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364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72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1724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2084" w:hanging="180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764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1069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9" w:hanging="180"/>
      </w:pPr>
      <w:rPr/>
    </w:lvl>
  </w:abstractNum>
  <w:abstractNum w:abstractNumId="6">
    <w:lvl w:ilvl="0">
      <w:start w:val="3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360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08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7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54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>
        <w:b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42"/>
  <w:trackRevision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pPr>
      <w:widowControl/>
      <w:suppressAutoHyphens w:val="true"/>
      <w:bidi w:val="0"/>
      <w:spacing w:lineRule="auto" w:line="259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pPr>
      <w:widowControl/>
      <w:suppressAutoHyphens w:val="true"/>
      <w:bidi w:val="0"/>
      <w:spacing w:lineRule="auto" w:line="259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suppressAutoHyphens w:val="true"/>
      <w:bidi w:val="0"/>
      <w:spacing w:lineRule="auto" w:line="259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lineRule="auto" w:line="259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lineRule="auto" w:line="259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/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xl76" w:customStyle="1">
    <w:name w:val="xl76"/>
    <w:basedOn w:val="1"/>
    <w:link w:val="xl761"/>
    <w:qFormat/>
    <w:rPr>
      <w:rFonts w:ascii="Times New Roman" w:hAnsi="Times New Roman"/>
      <w:sz w:val="24"/>
    </w:rPr>
  </w:style>
  <w:style w:type="character" w:styleId="xl64" w:customStyle="1">
    <w:name w:val="xl64"/>
    <w:basedOn w:val="1"/>
    <w:link w:val="xl641"/>
    <w:qFormat/>
    <w:rPr>
      <w:rFonts w:ascii="Times New Roman" w:hAnsi="Times New Roman"/>
      <w:sz w:val="24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xl73" w:customStyle="1">
    <w:name w:val="xl73"/>
    <w:basedOn w:val="1"/>
    <w:link w:val="xl731"/>
    <w:qFormat/>
    <w:rPr>
      <w:rFonts w:ascii="Times New Roman" w:hAnsi="Times New Roman"/>
      <w:sz w:val="24"/>
    </w:rPr>
  </w:style>
  <w:style w:type="character" w:styleId="xl94" w:customStyle="1">
    <w:name w:val="xl94"/>
    <w:basedOn w:val="1"/>
    <w:link w:val="xl941"/>
    <w:qFormat/>
    <w:rPr>
      <w:rFonts w:ascii="Times New Roman" w:hAnsi="Times New Roman"/>
      <w:color w:val="000000"/>
      <w:sz w:val="20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msonormal" w:customStyle="1">
    <w:name w:val="msonormal"/>
    <w:basedOn w:val="1"/>
    <w:link w:val="msonormal1"/>
    <w:qFormat/>
    <w:rPr>
      <w:rFonts w:ascii="Times New Roman" w:hAnsi="Times New Roman"/>
      <w:sz w:val="24"/>
    </w:rPr>
  </w:style>
  <w:style w:type="character" w:styleId="xl63" w:customStyle="1">
    <w:name w:val="xl63"/>
    <w:basedOn w:val="1"/>
    <w:link w:val="xl631"/>
    <w:qFormat/>
    <w:rPr>
      <w:rFonts w:ascii="Times New Roman" w:hAnsi="Times New Roman"/>
      <w:sz w:val="24"/>
    </w:rPr>
  </w:style>
  <w:style w:type="character" w:styleId="xl92" w:customStyle="1">
    <w:name w:val="xl92"/>
    <w:basedOn w:val="1"/>
    <w:link w:val="xl921"/>
    <w:qFormat/>
    <w:rPr>
      <w:rFonts w:ascii="Times New Roman" w:hAnsi="Times New Roman"/>
      <w:sz w:val="24"/>
    </w:rPr>
  </w:style>
  <w:style w:type="character" w:styleId="Style9" w:customStyle="1">
    <w:name w:val="Абзац списка Знак"/>
    <w:basedOn w:val="1"/>
    <w:link w:val="ListParagraph"/>
    <w:qFormat/>
    <w:rPr/>
  </w:style>
  <w:style w:type="character" w:styleId="Style10" w:customStyle="1">
    <w:name w:val="Абзац_письма"/>
    <w:basedOn w:val="1"/>
    <w:link w:val="13"/>
    <w:qFormat/>
    <w:rPr>
      <w:rFonts w:ascii="Times New Roman" w:hAnsi="Times New Roman"/>
      <w:sz w:val="26"/>
    </w:rPr>
  </w:style>
  <w:style w:type="character" w:styleId="xl65" w:customStyle="1">
    <w:name w:val="xl65"/>
    <w:basedOn w:val="1"/>
    <w:link w:val="xl651"/>
    <w:qFormat/>
    <w:rPr>
      <w:rFonts w:ascii="Times New Roman" w:hAnsi="Times New Roman"/>
      <w:sz w:val="24"/>
    </w:rPr>
  </w:style>
  <w:style w:type="character" w:styleId="xl66" w:customStyle="1">
    <w:name w:val="xl66"/>
    <w:basedOn w:val="1"/>
    <w:link w:val="xl661"/>
    <w:qFormat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link w:val="14"/>
    <w:rPr>
      <w:color w:val="954F72"/>
      <w:u w:val="single"/>
    </w:rPr>
  </w:style>
  <w:style w:type="character" w:styleId="xl70" w:customStyle="1">
    <w:name w:val="xl70"/>
    <w:basedOn w:val="1"/>
    <w:link w:val="xl701"/>
    <w:qFormat/>
    <w:rPr>
      <w:rFonts w:ascii="Times New Roman" w:hAnsi="Times New Roman"/>
      <w:sz w:val="24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xl95" w:customStyle="1">
    <w:name w:val="xl95"/>
    <w:basedOn w:val="1"/>
    <w:link w:val="xl951"/>
    <w:qFormat/>
    <w:rPr>
      <w:rFonts w:ascii="Times New Roman" w:hAnsi="Times New Roman"/>
      <w:color w:val="000000"/>
      <w:sz w:val="20"/>
    </w:rPr>
  </w:style>
  <w:style w:type="character" w:styleId="xl68" w:customStyle="1">
    <w:name w:val="xl68"/>
    <w:basedOn w:val="1"/>
    <w:link w:val="xl681"/>
    <w:qFormat/>
    <w:rPr>
      <w:rFonts w:ascii="Times New Roman" w:hAnsi="Times New Roman"/>
      <w:sz w:val="24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xl74" w:customStyle="1">
    <w:name w:val="xl74"/>
    <w:basedOn w:val="1"/>
    <w:link w:val="xl741"/>
    <w:qFormat/>
    <w:rPr>
      <w:rFonts w:ascii="Times New Roman" w:hAnsi="Times New Roman"/>
      <w:sz w:val="24"/>
    </w:rPr>
  </w:style>
  <w:style w:type="character" w:styleId="11" w:customStyle="1">
    <w:name w:val="Заголовок 1 Знак"/>
    <w:qFormat/>
    <w:rPr>
      <w:rFonts w:ascii="XO Thames" w:hAnsi="XO Thames"/>
      <w:b/>
      <w:sz w:val="32"/>
    </w:rPr>
  </w:style>
  <w:style w:type="character" w:styleId="xl80" w:customStyle="1">
    <w:name w:val="xl80"/>
    <w:basedOn w:val="1"/>
    <w:link w:val="xl801"/>
    <w:qFormat/>
    <w:rPr>
      <w:rFonts w:ascii="Times New Roman" w:hAnsi="Times New Roman"/>
      <w:sz w:val="24"/>
    </w:rPr>
  </w:style>
  <w:style w:type="character" w:styleId="Hyperlink">
    <w:name w:val="Hyperlink"/>
    <w:basedOn w:val="DefaultParagraphFont"/>
    <w:link w:val="16"/>
    <w:rPr>
      <w:color w:val="0563C1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2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xl69" w:customStyle="1">
    <w:name w:val="xl69"/>
    <w:basedOn w:val="1"/>
    <w:link w:val="xl691"/>
    <w:qFormat/>
    <w:rPr>
      <w:rFonts w:ascii="Times New Roman" w:hAnsi="Times New Roman"/>
      <w:sz w:val="24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Style11" w:customStyle="1">
    <w:name w:val="Нижний колонтитул Знак"/>
    <w:basedOn w:val="1"/>
    <w:qFormat/>
    <w:rPr/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xl72" w:customStyle="1">
    <w:name w:val="xl72"/>
    <w:basedOn w:val="1"/>
    <w:link w:val="xl721"/>
    <w:qFormat/>
    <w:rPr>
      <w:rFonts w:ascii="Times New Roman" w:hAnsi="Times New Roman"/>
      <w:sz w:val="24"/>
    </w:rPr>
  </w:style>
  <w:style w:type="character" w:styleId="xl79" w:customStyle="1">
    <w:name w:val="xl79"/>
    <w:basedOn w:val="1"/>
    <w:link w:val="xl791"/>
    <w:qFormat/>
    <w:rPr>
      <w:rFonts w:ascii="Times New Roman" w:hAnsi="Times New Roman"/>
      <w:sz w:val="24"/>
    </w:rPr>
  </w:style>
  <w:style w:type="character" w:styleId="xl67" w:customStyle="1">
    <w:name w:val="xl67"/>
    <w:basedOn w:val="1"/>
    <w:link w:val="xl671"/>
    <w:qFormat/>
    <w:rPr>
      <w:rFonts w:ascii="Times New Roman" w:hAnsi="Times New Roman"/>
      <w:sz w:val="24"/>
    </w:rPr>
  </w:style>
  <w:style w:type="character" w:styleId="xl75" w:customStyle="1">
    <w:name w:val="xl75"/>
    <w:basedOn w:val="1"/>
    <w:link w:val="xl751"/>
    <w:qFormat/>
    <w:rPr>
      <w:rFonts w:ascii="Times New Roman" w:hAnsi="Times New Roman"/>
      <w:sz w:val="24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xl93" w:customStyle="1">
    <w:name w:val="xl93"/>
    <w:basedOn w:val="1"/>
    <w:link w:val="xl931"/>
    <w:qFormat/>
    <w:rPr>
      <w:rFonts w:ascii="Times New Roman" w:hAnsi="Times New Roman"/>
      <w:color w:val="000000"/>
      <w:sz w:val="20"/>
    </w:rPr>
  </w:style>
  <w:style w:type="character" w:styleId="xl71" w:customStyle="1">
    <w:name w:val="xl71"/>
    <w:basedOn w:val="1"/>
    <w:link w:val="xl711"/>
    <w:qFormat/>
    <w:rPr>
      <w:rFonts w:ascii="Times New Roman" w:hAnsi="Times New Roman"/>
      <w:sz w:val="24"/>
    </w:rPr>
  </w:style>
  <w:style w:type="character" w:styleId="xl78" w:customStyle="1">
    <w:name w:val="xl78"/>
    <w:basedOn w:val="1"/>
    <w:link w:val="xl781"/>
    <w:qFormat/>
    <w:rPr>
      <w:rFonts w:ascii="Times New Roman" w:hAnsi="Times New Roman"/>
      <w:sz w:val="24"/>
    </w:rPr>
  </w:style>
  <w:style w:type="character" w:styleId="Style12" w:customStyle="1">
    <w:name w:val="Подзаголовок Знак"/>
    <w:qFormat/>
    <w:rPr>
      <w:rFonts w:ascii="XO Thames" w:hAnsi="XO Thames"/>
      <w:i/>
      <w:sz w:val="24"/>
    </w:rPr>
  </w:style>
  <w:style w:type="character" w:styleId="Style13" w:customStyle="1">
    <w:name w:val="Верхний колонтитул Знак"/>
    <w:basedOn w:val="1"/>
    <w:qFormat/>
    <w:rPr>
      <w:rFonts w:ascii="Times New Roman" w:hAnsi="Times New Roman"/>
      <w:sz w:val="24"/>
    </w:rPr>
  </w:style>
  <w:style w:type="character" w:styleId="xl77" w:customStyle="1">
    <w:name w:val="xl77"/>
    <w:basedOn w:val="1"/>
    <w:link w:val="xl771"/>
    <w:qFormat/>
    <w:rPr>
      <w:rFonts w:ascii="Times New Roman" w:hAnsi="Times New Roman"/>
      <w:sz w:val="24"/>
    </w:rPr>
  </w:style>
  <w:style w:type="character" w:styleId="Style14" w:customStyle="1">
    <w:name w:val="Заголовок Знак"/>
    <w:qFormat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PageNumber">
    <w:name w:val="page number"/>
    <w:basedOn w:val="DefaultParagraphFont"/>
    <w:link w:val="17"/>
    <w:rPr/>
  </w:style>
  <w:style w:type="character" w:styleId="21" w:customStyle="1">
    <w:name w:val="Заголовок 2 Знак"/>
    <w:qFormat/>
    <w:rPr>
      <w:rFonts w:ascii="XO Thames" w:hAnsi="XO Thames"/>
      <w:b/>
      <w:sz w:val="28"/>
    </w:rPr>
  </w:style>
  <w:style w:type="character" w:styleId="xl96" w:customStyle="1">
    <w:name w:val="xl96"/>
    <w:basedOn w:val="1"/>
    <w:link w:val="xl961"/>
    <w:qFormat/>
    <w:rPr>
      <w:rFonts w:ascii="Times New Roman" w:hAnsi="Times New Roman"/>
      <w:color w:val="000000"/>
      <w:sz w:val="20"/>
    </w:rPr>
  </w:style>
  <w:style w:type="character" w:styleId="ConsPlusNormal" w:customStyle="1">
    <w:name w:val="ConsPlusNormal"/>
    <w:link w:val="ConsPlusNormal1"/>
    <w:qFormat/>
    <w:rPr>
      <w:rFonts w:ascii="Arial" w:hAnsi="Arial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6725e9"/>
    <w:rPr>
      <w:rFonts w:ascii="Segoe UI" w:hAnsi="Segoe UI" w:cs="Segoe UI"/>
      <w:sz w:val="18"/>
      <w:szCs w:val="18"/>
    </w:rPr>
  </w:style>
  <w:style w:type="character" w:styleId="LineNumber">
    <w:name w:val="line number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lineRule="auto" w:line="259" w:before="0" w:after="160"/>
      <w:ind w:start="2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761" w:customStyle="1">
    <w:name w:val="xl761"/>
    <w:basedOn w:val="Normal"/>
    <w:link w:val="xl76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xl641" w:customStyle="1">
    <w:name w:val="xl641"/>
    <w:basedOn w:val="Normal"/>
    <w:link w:val="xl64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lineRule="auto" w:line="259" w:before="0" w:after="160"/>
      <w:ind w:start="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lineRule="auto" w:line="259" w:before="0" w:after="160"/>
      <w:ind w:start="10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lineRule="auto" w:line="259" w:before="0" w:after="160"/>
      <w:ind w:start="12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731" w:customStyle="1">
    <w:name w:val="xl731"/>
    <w:basedOn w:val="Normal"/>
    <w:link w:val="xl73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xl941" w:customStyle="1">
    <w:name w:val="xl941"/>
    <w:basedOn w:val="Normal"/>
    <w:link w:val="xl94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Endnote1" w:customStyle="1">
    <w:name w:val="Endnote1"/>
    <w:link w:val="Endnote"/>
    <w:qFormat/>
    <w:pPr>
      <w:widowControl/>
      <w:suppressAutoHyphens w:val="true"/>
      <w:bidi w:val="0"/>
      <w:spacing w:lineRule="auto" w:line="259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msonormal1" w:customStyle="1">
    <w:name w:val="msonormal1"/>
    <w:basedOn w:val="Normal"/>
    <w:link w:val="msonormal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631" w:customStyle="1">
    <w:name w:val="xl631"/>
    <w:basedOn w:val="Normal"/>
    <w:link w:val="xl63"/>
    <w:qFormat/>
    <w:pP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xl921" w:customStyle="1">
    <w:name w:val="xl921"/>
    <w:basedOn w:val="Normal"/>
    <w:link w:val="xl92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link w:val="Style9"/>
    <w:qFormat/>
    <w:pPr>
      <w:spacing w:before="0" w:after="160"/>
      <w:ind w:start="720"/>
      <w:contextualSpacing/>
    </w:pPr>
    <w:rPr/>
  </w:style>
  <w:style w:type="paragraph" w:styleId="13" w:customStyle="1">
    <w:name w:val="Абзац_письма1"/>
    <w:basedOn w:val="Normal"/>
    <w:link w:val="Style10"/>
    <w:qFormat/>
    <w:pPr>
      <w:widowControl w:val="false"/>
      <w:spacing w:lineRule="auto" w:line="360" w:before="0" w:after="0"/>
      <w:ind w:firstLine="709"/>
      <w:jc w:val="both"/>
    </w:pPr>
    <w:rPr>
      <w:rFonts w:ascii="Times New Roman" w:hAnsi="Times New Roman"/>
      <w:sz w:val="26"/>
    </w:rPr>
  </w:style>
  <w:style w:type="paragraph" w:styleId="xl651" w:customStyle="1">
    <w:name w:val="xl651"/>
    <w:basedOn w:val="Normal"/>
    <w:link w:val="xl65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661" w:customStyle="1">
    <w:name w:val="xl661"/>
    <w:basedOn w:val="Normal"/>
    <w:link w:val="xl66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14" w:customStyle="1">
    <w:name w:val="Просмотренная гиперссылка1"/>
    <w:basedOn w:val="15"/>
    <w:qFormat/>
    <w:pPr/>
    <w:rPr>
      <w:color w:val="954F72"/>
      <w:u w:val="single"/>
    </w:rPr>
  </w:style>
  <w:style w:type="paragraph" w:styleId="xl701" w:customStyle="1">
    <w:name w:val="xl701"/>
    <w:basedOn w:val="Normal"/>
    <w:link w:val="xl7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lineRule="auto" w:line="259" w:before="0" w:after="160"/>
      <w:ind w:start="4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951" w:customStyle="1">
    <w:name w:val="xl951"/>
    <w:basedOn w:val="Normal"/>
    <w:link w:val="xl95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xl681" w:customStyle="1">
    <w:name w:val="xl681"/>
    <w:basedOn w:val="Normal"/>
    <w:link w:val="xl68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741" w:customStyle="1">
    <w:name w:val="xl741"/>
    <w:basedOn w:val="Normal"/>
    <w:link w:val="xl74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xl801" w:customStyle="1">
    <w:name w:val="xl801"/>
    <w:basedOn w:val="Normal"/>
    <w:link w:val="xl80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15" w:customStyle="1">
    <w:name w:val="Основной шрифт абзаца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6" w:customStyle="1">
    <w:name w:val="Гиперссылка1"/>
    <w:basedOn w:val="15"/>
    <w:qFormat/>
    <w:pPr/>
    <w:rPr>
      <w:color w:val="0563C1"/>
      <w:u w:val="single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lineRule="auto" w:line="259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pPr>
      <w:widowControl/>
      <w:suppressAutoHyphens w:val="true"/>
      <w:bidi w:val="0"/>
      <w:spacing w:lineRule="auto" w:line="259" w:before="0" w:after="16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user2" w:customStyle="1">
    <w:name w:val="Колонтитулы (user)"/>
    <w:qFormat/>
    <w:pPr>
      <w:widowControl/>
      <w:suppressAutoHyphens w:val="true"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691" w:customStyle="1">
    <w:name w:val="xl691"/>
    <w:basedOn w:val="Normal"/>
    <w:link w:val="xl6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lineRule="auto" w:line="259" w:before="0" w:after="160"/>
      <w:ind w:start="1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8">
    <w:name w:val="Колонтитулы"/>
    <w:basedOn w:val="Normal"/>
    <w:qFormat/>
    <w:pPr/>
    <w:rPr/>
  </w:style>
  <w:style w:type="paragraph" w:styleId="Footer">
    <w:name w:val="footer"/>
    <w:basedOn w:val="Normal"/>
    <w:link w:val="Style1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lineRule="auto" w:line="259" w:before="0" w:after="160"/>
      <w:ind w:start="14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721" w:customStyle="1">
    <w:name w:val="xl721"/>
    <w:basedOn w:val="Normal"/>
    <w:link w:val="xl7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xl791" w:customStyle="1">
    <w:name w:val="xl791"/>
    <w:basedOn w:val="Normal"/>
    <w:link w:val="xl79"/>
    <w:qFormat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xl671" w:customStyle="1">
    <w:name w:val="xl671"/>
    <w:basedOn w:val="Normal"/>
    <w:link w:val="xl67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751" w:customStyle="1">
    <w:name w:val="xl751"/>
    <w:basedOn w:val="Normal"/>
    <w:link w:val="xl75"/>
    <w:qFormat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lineRule="auto" w:line="259" w:before="0" w:after="160"/>
      <w:ind w:start="8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931" w:customStyle="1">
    <w:name w:val="xl931"/>
    <w:basedOn w:val="Normal"/>
    <w:link w:val="xl93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xl711" w:customStyle="1">
    <w:name w:val="xl711"/>
    <w:basedOn w:val="Normal"/>
    <w:link w:val="xl71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xl781" w:customStyle="1">
    <w:name w:val="xl781"/>
    <w:basedOn w:val="Normal"/>
    <w:link w:val="xl78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Subtitle">
    <w:name w:val="Subtitle"/>
    <w:next w:val="Normal"/>
    <w:link w:val="Style12"/>
    <w:uiPriority w:val="11"/>
    <w:qFormat/>
    <w:pPr>
      <w:widowControl/>
      <w:suppressAutoHyphens w:val="true"/>
      <w:bidi w:val="0"/>
      <w:spacing w:lineRule="auto" w:line="259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Header">
    <w:name w:val="header"/>
    <w:basedOn w:val="Normal"/>
    <w:link w:val="Style1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/>
      <w:sz w:val="24"/>
    </w:rPr>
  </w:style>
  <w:style w:type="paragraph" w:styleId="xl771" w:customStyle="1">
    <w:name w:val="xl771"/>
    <w:basedOn w:val="Normal"/>
    <w:link w:val="xl77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Title">
    <w:name w:val="Title"/>
    <w:next w:val="Normal"/>
    <w:link w:val="Style14"/>
    <w:uiPriority w:val="10"/>
    <w:qFormat/>
    <w:pPr>
      <w:widowControl/>
      <w:suppressAutoHyphens w:val="true"/>
      <w:bidi w:val="0"/>
      <w:spacing w:lineRule="auto" w:line="259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7" w:customStyle="1">
    <w:name w:val="Номер страницы1"/>
    <w:basedOn w:val="15"/>
    <w:qFormat/>
    <w:pPr/>
    <w:rPr/>
  </w:style>
  <w:style w:type="paragraph" w:styleId="xl961" w:customStyle="1">
    <w:name w:val="xl961"/>
    <w:basedOn w:val="Normal"/>
    <w:link w:val="xl96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ConsPlusNormal1" w:customStyle="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/>
      <w:jc w:val="start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6725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7955b7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LibreOffice/25.8.7.3$Linux_X86_64 LibreOffice_project/30742500f2d3eb4366ac312fa33d3dcabdb3eba5</Application>
  <AppVersion>15.0000</AppVersion>
  <Pages>3</Pages>
  <Words>3636</Words>
  <Characters>23741</Characters>
  <CharactersWithSpaces>26819</CharactersWithSpaces>
  <Paragraphs>738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2026-06-18T12:19:00Z</dcterms:created>
  <dc:creator>user</dc:creator>
  <dc:description/>
  <dc:language>ru-RU</dc:language>
  <cp:lastModifiedBy/>
  <dcterms:modified xsi:type="dcterms:W3CDTF">2026-08-07T08:26:04Z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