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4C4FEF">
      <w:pPr>
        <w:keepNext/>
        <w:keepLines/>
        <w:rPr>
          <w:sz w:val="26"/>
          <w:szCs w:val="26"/>
        </w:rPr>
      </w:pPr>
    </w:p>
    <w:p w:rsidR="004C4FEF" w:rsidRDefault="00EC282C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4C4FEF" w:rsidRDefault="00EC282C">
      <w:pPr>
        <w:pStyle w:val="afd"/>
        <w:spacing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ОКПД2 27.32.13.143 на Поставку контрольных кабелей 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 w:rsidR="004C4FEF" w:rsidRDefault="004C4FEF">
      <w:pPr>
        <w:pStyle w:val="afd"/>
        <w:spacing w:after="0"/>
        <w:jc w:val="center"/>
        <w:rPr>
          <w:color w:val="000000"/>
          <w:sz w:val="26"/>
          <w:szCs w:val="26"/>
        </w:rPr>
      </w:pPr>
    </w:p>
    <w:p w:rsidR="004C4FEF" w:rsidRDefault="004C4FEF">
      <w:pPr>
        <w:jc w:val="center"/>
        <w:rPr>
          <w:sz w:val="26"/>
          <w:szCs w:val="26"/>
        </w:rPr>
      </w:pPr>
    </w:p>
    <w:p w:rsidR="004C4FEF" w:rsidRDefault="004C4FEF">
      <w:pPr>
        <w:jc w:val="center"/>
        <w:rPr>
          <w:rFonts w:eastAsia="Calibri"/>
          <w:b/>
          <w:sz w:val="26"/>
          <w:szCs w:val="26"/>
        </w:rPr>
      </w:pPr>
    </w:p>
    <w:p w:rsidR="004C4FEF" w:rsidRDefault="004C4FEF">
      <w:pPr>
        <w:jc w:val="center"/>
        <w:rPr>
          <w:rFonts w:eastAsia="Calibri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EC282C">
      <w:pPr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pStyle w:val="3b"/>
        <w:widowControl w:val="0"/>
        <w:spacing w:before="0" w:after="0" w:line="240" w:lineRule="auto"/>
        <w:ind w:left="0" w:firstLine="0"/>
        <w:rPr>
          <w:color w:val="C9211E"/>
        </w:rPr>
      </w:pPr>
    </w:p>
    <w:p w:rsidR="004C4FEF" w:rsidRDefault="004C4FEF">
      <w:pPr>
        <w:contextualSpacing/>
        <w:jc w:val="right"/>
        <w:rPr>
          <w:b/>
          <w:bCs/>
          <w:color w:val="C9211E"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color w:val="C9211E"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A15475" w:rsidRDefault="00A15475">
      <w:pPr>
        <w:contextualSpacing/>
        <w:jc w:val="right"/>
        <w:rPr>
          <w:b/>
          <w:bCs/>
          <w:sz w:val="24"/>
          <w:szCs w:val="24"/>
        </w:rPr>
      </w:pPr>
    </w:p>
    <w:p w:rsidR="004C4FEF" w:rsidRDefault="004C4FEF">
      <w:pPr>
        <w:contextualSpacing/>
        <w:jc w:val="right"/>
        <w:rPr>
          <w:b/>
          <w:bCs/>
          <w:sz w:val="24"/>
          <w:szCs w:val="24"/>
        </w:rPr>
      </w:pPr>
    </w:p>
    <w:p w:rsidR="004C4FEF" w:rsidRDefault="00EC282C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caps/>
          <w:lang w:val="ru-RU"/>
        </w:rPr>
      </w:pPr>
      <w:r>
        <w:rPr>
          <w:lang w:val="ru-RU"/>
        </w:rPr>
        <w:lastRenderedPageBreak/>
        <w:t>Об</w:t>
      </w:r>
      <w:bookmarkStart w:id="0" w:name="_Toc127283960"/>
      <w:r>
        <w:rPr>
          <w:lang w:val="ru-RU"/>
        </w:rPr>
        <w:t>щие сведения</w:t>
      </w:r>
      <w:bookmarkEnd w:id="0"/>
    </w:p>
    <w:p w:rsidR="004C4FEF" w:rsidRDefault="00EC282C">
      <w:pPr>
        <w:pStyle w:val="4"/>
        <w:numPr>
          <w:ilvl w:val="1"/>
          <w:numId w:val="3"/>
        </w:numPr>
        <w:spacing w:after="120" w:line="276" w:lineRule="auto"/>
        <w:jc w:val="both"/>
      </w:pPr>
      <w:bookmarkStart w:id="1" w:name="_Toc127283961"/>
      <w:r>
        <w:t>Обозначения и сокращения</w:t>
      </w:r>
      <w:bookmarkEnd w:id="1"/>
    </w:p>
    <w:p w:rsidR="004C4FEF" w:rsidRDefault="004C4FEF">
      <w:pPr>
        <w:keepNext/>
        <w:keepLines/>
        <w:jc w:val="both"/>
        <w:rPr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4C4F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4C4F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 w:rsidR="004C4F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4C4F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ЗРУ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 w:rsidR="004C4FEF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ПТЭЭП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 w:rsidR="004C4FEF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</w:tbl>
    <w:p w:rsidR="004C4FEF" w:rsidRDefault="00EC282C">
      <w:pPr>
        <w:rPr>
          <w:sz w:val="24"/>
          <w:szCs w:val="24"/>
        </w:rPr>
      </w:pPr>
      <w:r>
        <w:br w:type="page"/>
      </w:r>
    </w:p>
    <w:p w:rsidR="004C4FEF" w:rsidRDefault="00EC282C">
      <w:pPr>
        <w:pStyle w:val="4"/>
        <w:numPr>
          <w:ilvl w:val="1"/>
          <w:numId w:val="3"/>
        </w:numPr>
        <w:spacing w:after="0"/>
        <w:jc w:val="both"/>
        <w:rPr>
          <w:b w:val="0"/>
        </w:rPr>
      </w:pPr>
      <w:bookmarkStart w:id="2" w:name="_Toc127283962"/>
      <w:r>
        <w:lastRenderedPageBreak/>
        <w:t>Наименование закупаемой продукции</w:t>
      </w:r>
      <w:bookmarkEnd w:id="2"/>
    </w:p>
    <w:p w:rsidR="004C4FEF" w:rsidRDefault="00EC282C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6"/>
          <w:szCs w:val="26"/>
        </w:rPr>
        <w:t>ОКПД2 27.32.13.143 на Поставку контрольных кабелей</w:t>
      </w:r>
      <w:r>
        <w:rPr>
          <w:rFonts w:eastAsia="Calibri"/>
          <w:sz w:val="24"/>
          <w:szCs w:val="24"/>
        </w:rPr>
        <w:t xml:space="preserve">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  <w:bookmarkStart w:id="3" w:name="_Toc127283963"/>
      <w:bookmarkEnd w:id="3"/>
    </w:p>
    <w:p w:rsidR="004C4FEF" w:rsidRDefault="00EC282C">
      <w:pPr>
        <w:pStyle w:val="4"/>
        <w:numPr>
          <w:ilvl w:val="1"/>
          <w:numId w:val="3"/>
        </w:numPr>
      </w:pPr>
      <w:r>
        <w:t xml:space="preserve">Заказчик (подразделение Заказчика) </w:t>
      </w:r>
    </w:p>
    <w:p w:rsidR="004C4FEF" w:rsidRDefault="00EC282C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Центральные электрические сети ПАО «Якутскэнерго»</w:t>
      </w:r>
    </w:p>
    <w:p w:rsidR="004C4FEF" w:rsidRDefault="00EC282C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Адрес Филиала: 677021 Саха (Якутия) г. Якутск пр. Михаила Николаева 26.</w:t>
      </w:r>
    </w:p>
    <w:p w:rsidR="004C4FEF" w:rsidRDefault="00EC282C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4" w:name="_Toc127283964"/>
      <w:r>
        <w:t xml:space="preserve">Цели и задачи </w:t>
      </w:r>
      <w:bookmarkEnd w:id="4"/>
    </w:p>
    <w:p w:rsidR="004C4FEF" w:rsidRDefault="00EC282C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bookmarkStart w:id="5" w:name="_Toc124777478"/>
      <w:bookmarkStart w:id="6" w:name="_Toc124777252"/>
      <w:r>
        <w:rPr>
          <w:lang w:val="ru-RU"/>
        </w:rPr>
        <w:t xml:space="preserve">Целью является </w:t>
      </w:r>
      <w:bookmarkEnd w:id="5"/>
      <w:bookmarkEnd w:id="6"/>
      <w:r>
        <w:rPr>
          <w:lang w:val="ru-RU"/>
        </w:rPr>
        <w:t>поставка контрольных кабелей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 w:rsidR="004C4FEF" w:rsidRDefault="00EC282C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r>
        <w:rPr>
          <w:lang w:val="ru-RU"/>
        </w:rPr>
        <w:t>Задачей поставщика является поставка указанных в таблице 1.1 к настоящим требованиям контрольных кабелей своими силами в адрес Заказчика.</w:t>
      </w:r>
    </w:p>
    <w:p w:rsidR="004C4FEF" w:rsidRDefault="00EC282C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iCs/>
          <w:caps/>
          <w:lang w:val="ru-RU"/>
        </w:rPr>
      </w:pPr>
      <w:bookmarkStart w:id="7" w:name="_Toc127283965"/>
      <w:r>
        <w:rPr>
          <w:iCs/>
        </w:rPr>
        <w:t>Требования к продукции</w:t>
      </w:r>
      <w:bookmarkEnd w:id="7"/>
    </w:p>
    <w:p w:rsidR="004C4FEF" w:rsidRDefault="00EC282C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8" w:name="_Toc12728396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4C4FEF" w:rsidRDefault="00EC282C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</w:rPr>
      </w:pPr>
      <w:bookmarkStart w:id="9" w:name="_Toc127283967"/>
      <w:r>
        <w:rPr>
          <w:lang w:val="ru-RU"/>
        </w:rPr>
        <w:t>Перечень и объем закупаемой продукции</w:t>
      </w:r>
      <w:bookmarkEnd w:id="9"/>
    </w:p>
    <w:p w:rsidR="004C4FEF" w:rsidRDefault="00EC282C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0" w:name="_Toc12728396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10"/>
    </w:p>
    <w:tbl>
      <w:tblPr>
        <w:tblW w:w="9746" w:type="dxa"/>
        <w:tblInd w:w="172" w:type="dxa"/>
        <w:tblLayout w:type="fixed"/>
        <w:tblLook w:val="0000" w:firstRow="0" w:lastRow="0" w:firstColumn="0" w:lastColumn="0" w:noHBand="0" w:noVBand="0"/>
      </w:tblPr>
      <w:tblGrid>
        <w:gridCol w:w="900"/>
        <w:gridCol w:w="2716"/>
        <w:gridCol w:w="1248"/>
        <w:gridCol w:w="1136"/>
        <w:gridCol w:w="1421"/>
        <w:gridCol w:w="2325"/>
      </w:tblGrid>
      <w:tr w:rsidR="004C4FEF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ОКПД 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Применение законодательства о национальном режиме</w:t>
            </w:r>
          </w:p>
        </w:tc>
      </w:tr>
      <w:tr w:rsidR="004C4FEF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3b"/>
              <w:widowControl w:val="0"/>
              <w:spacing w:before="0"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Кабель контрольный с медными жилами, с изоляцией  из ПВХ пластиката не распространяющий горение, с пониженным дымообразованием, </w:t>
            </w:r>
            <w:r>
              <w:rPr>
                <w:rFonts w:ascii="Times New Roman" w:hAnsi="Times New Roman"/>
                <w:bCs/>
              </w:rPr>
              <w:t>КВВГЭнг(А)-LS</w:t>
            </w:r>
            <w:r>
              <w:rPr>
                <w:rFonts w:ascii="Times New Roman" w:hAnsi="Times New Roman"/>
                <w:b w:val="0"/>
              </w:rPr>
              <w:t>, сечением: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contextualSpacing/>
              <w:jc w:val="center"/>
            </w:pP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1,017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10x1,5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0,858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5x2,5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4,424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10x2,5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5x4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10x4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5x10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4,x1,5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7x1,5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4x2,5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7x2,5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5x6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4C4FEF">
        <w:trPr>
          <w:trHeight w:val="39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3x1,5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27.32.13.143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</w:tbl>
    <w:p w:rsidR="004C4FEF" w:rsidRDefault="00EC282C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  <w:lang w:val="ru-RU"/>
        </w:rPr>
      </w:pPr>
      <w:bookmarkStart w:id="11" w:name="_Toc127283969"/>
      <w:r>
        <w:rPr>
          <w:lang w:val="ru-RU"/>
        </w:rPr>
        <w:t>Требования к срокам поставки продукции и оказания сопутствующих услуг</w:t>
      </w:r>
      <w:bookmarkEnd w:id="11"/>
    </w:p>
    <w:p w:rsidR="004C4FEF" w:rsidRDefault="00EC282C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2" w:name="_Toc12728397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2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83"/>
        <w:gridCol w:w="2989"/>
        <w:gridCol w:w="2690"/>
        <w:gridCol w:w="3119"/>
      </w:tblGrid>
      <w:tr w:rsidR="004C4FEF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4C4FEF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C4FEF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pStyle w:val="aff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1.1 Перечень и объем закупаемой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EC28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FEF" w:rsidRDefault="00DA413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</w:tbl>
    <w:p w:rsidR="004C4FEF" w:rsidRDefault="004C4FEF">
      <w:pPr>
        <w:sectPr w:rsidR="004C4FEF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bookmarkStart w:id="13" w:name="_GoBack"/>
      <w:bookmarkEnd w:id="13"/>
    </w:p>
    <w:p w:rsidR="004C4FEF" w:rsidRDefault="00EC282C">
      <w:pPr>
        <w:pStyle w:val="4"/>
        <w:numPr>
          <w:ilvl w:val="1"/>
          <w:numId w:val="3"/>
        </w:numPr>
      </w:pPr>
      <w:bookmarkStart w:id="14" w:name="_Toc46743511"/>
      <w:bookmarkStart w:id="15" w:name="_Toc75446581"/>
      <w:bookmarkStart w:id="16" w:name="_Toc127283971"/>
      <w:bookmarkStart w:id="17" w:name="_Toc51339698"/>
      <w:bookmarkStart w:id="18" w:name="_Toc50125131"/>
      <w:r>
        <w:lastRenderedPageBreak/>
        <w:t xml:space="preserve">Требования к </w:t>
      </w:r>
      <w:bookmarkEnd w:id="14"/>
      <w:r>
        <w:rPr>
          <w:lang w:val="ru-RU"/>
        </w:rPr>
        <w:t>качеству продукции</w:t>
      </w:r>
      <w:bookmarkEnd w:id="15"/>
      <w:bookmarkEnd w:id="16"/>
    </w:p>
    <w:p w:rsidR="004C4FEF" w:rsidRDefault="00EC282C">
      <w:pPr>
        <w:pStyle w:val="1"/>
        <w:keepLines/>
        <w:tabs>
          <w:tab w:val="clear" w:pos="0"/>
        </w:tabs>
        <w:spacing w:before="240"/>
        <w:ind w:left="0" w:firstLine="0"/>
        <w:rPr>
          <w:rStyle w:val="aff0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19" w:name="_Toc127283972"/>
      <w:bookmarkStart w:id="20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9"/>
      <w:bookmarkEnd w:id="20"/>
      <w:r>
        <w:rPr>
          <w:sz w:val="24"/>
          <w:szCs w:val="24"/>
        </w:rPr>
        <w:t xml:space="preserve"> </w:t>
      </w:r>
      <w:bookmarkEnd w:id="17"/>
      <w:bookmarkEnd w:id="18"/>
      <w:r>
        <w:rPr>
          <w:rStyle w:val="aff0"/>
          <w:b/>
          <w:i w:val="0"/>
          <w:sz w:val="24"/>
          <w:szCs w:val="24"/>
          <w:shd w:val="clear" w:color="auto" w:fill="auto"/>
        </w:rPr>
        <w:t xml:space="preserve">ПС 110 кВ Табага. </w:t>
      </w:r>
      <w:r>
        <w:rPr>
          <w:rStyle w:val="aff0"/>
          <w:b/>
          <w:bCs/>
          <w:i w:val="0"/>
          <w:sz w:val="24"/>
          <w:szCs w:val="24"/>
          <w:shd w:val="clear" w:color="auto" w:fill="auto"/>
        </w:rPr>
        <w:t>Релейная защита , автоматика и управление.</w:t>
      </w:r>
    </w:p>
    <w:tbl>
      <w:tblPr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3097"/>
        <w:gridCol w:w="5243"/>
        <w:gridCol w:w="1892"/>
        <w:gridCol w:w="2275"/>
        <w:gridCol w:w="1443"/>
        <w:gridCol w:w="236"/>
      </w:tblGrid>
      <w:tr w:rsidR="004C4FEF">
        <w:trPr>
          <w:trHeight w:val="461"/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992"/>
          <w:jc w:val="center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133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5x1,5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10x1,5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14x1,5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с </w:t>
            </w:r>
            <w:r>
              <w:rPr>
                <w:sz w:val="20"/>
                <w:szCs w:val="20"/>
              </w:rPr>
              <w:lastRenderedPageBreak/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5x2,5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10x2,5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4C4FEF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5x4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с </w:t>
            </w:r>
            <w:r>
              <w:rPr>
                <w:sz w:val="20"/>
                <w:szCs w:val="20"/>
              </w:rPr>
              <w:lastRenderedPageBreak/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10x4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сечение каждой жилы в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Согласие с </w:t>
            </w:r>
            <w:r>
              <w:rPr>
                <w:sz w:val="20"/>
                <w:szCs w:val="20"/>
              </w:rPr>
              <w:lastRenderedPageBreak/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5x10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10 птраспространяет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4x1,5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4C4FEF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7x1,5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10.2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4x2,5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пониженное дымо- и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7x2,5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12.6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5x6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КВВГЭнг(А)- LS 3х1,5</w:t>
            </w: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наличие общего экрана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категория пожарной безопасности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не распространяет горение при групповой прокладке в категории «А»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line="3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Допустимая рабочая температура нагрева жил,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температура эксплуатации, °C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Минимальная температура эксплуатации, 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afffff"/>
              <w:widowControl w:val="0"/>
              <w:snapToGrid w:val="0"/>
              <w:ind w:left="28" w:hanging="6"/>
              <w:rPr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Требования к качеству поставляемой продукции: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10"/>
              <w:widowControl w:val="0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color w:val="C9211E"/>
              </w:rPr>
              <w:t xml:space="preserve"> </w:t>
            </w:r>
            <w:r>
              <w:rPr>
                <w:rStyle w:val="CharStyle64"/>
                <w:rFonts w:eastAsia="Calibri"/>
                <w:sz w:val="24"/>
                <w:szCs w:val="24"/>
                <w:lang w:eastAsia="ru-RU" w:bidi="ar-SA"/>
              </w:rPr>
              <w:t>Кабели, провода, шнуры и кабельная арматура,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310"/>
              <w:widowControl w:val="0"/>
              <w:tabs>
                <w:tab w:val="left" w:pos="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Поставляемая кабельная продукция должна быть новым, ранее не использованным, изготовленным не ранее </w:t>
            </w: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color w:val="000000"/>
                <w:sz w:val="24"/>
                <w:szCs w:val="24"/>
              </w:rPr>
              <w:t xml:space="preserve"> квартала 2025 года.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4C4FEF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Качество, комплектность, количество поставляемого товара должно соответствовать требованиям данного технического требования.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 оборудованием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 товарно-транспортная накладная формы №1-Т;</w:t>
            </w:r>
          </w:p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-товарная накладная унифицированной формы ТОРГ-12 в 2 экз.</w:t>
            </w:r>
          </w:p>
          <w:p w:rsidR="004C4FEF" w:rsidRDefault="00EC282C">
            <w:pPr>
              <w:pStyle w:val="afd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-Сертификат соответствия или декларация.</w:t>
            </w:r>
          </w:p>
          <w:p w:rsidR="004C4FEF" w:rsidRDefault="00EC282C">
            <w:pPr>
              <w:pStyle w:val="afd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-Паспорт качества  на партию.</w:t>
            </w:r>
          </w:p>
          <w:p w:rsidR="004C4FEF" w:rsidRDefault="00EC282C">
            <w:pPr>
              <w:pStyle w:val="afd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Сопроводительная ведомость с указанием номеров барабан</w:t>
            </w:r>
            <w:r>
              <w:rPr>
                <w:color w:val="0F1115"/>
                <w:sz w:val="24"/>
                <w:szCs w:val="24"/>
              </w:rPr>
              <w:t>ов.</w:t>
            </w:r>
          </w:p>
          <w:p w:rsidR="004C4FEF" w:rsidRDefault="004C4FEF">
            <w:pPr>
              <w:widowControl w:val="0"/>
              <w:rPr>
                <w:color w:val="00A933"/>
                <w:sz w:val="24"/>
                <w:szCs w:val="24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Маркировка, упаковка, транспортирование и хранение» по  </w:t>
            </w:r>
            <w:r>
              <w:rPr>
                <w:rStyle w:val="Strong2"/>
                <w:b w:val="0"/>
                <w:bCs w:val="0"/>
                <w:color w:val="000000"/>
                <w:sz w:val="24"/>
                <w:szCs w:val="24"/>
              </w:rPr>
              <w:t>ГОСТ 18690-2012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7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сохраняемости, не менее, лет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</w:t>
            </w:r>
          </w:p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10"/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Место поставки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17.4</w:t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CharStyle64"/>
                <w:rFonts w:eastAsia="Calibri"/>
                <w:sz w:val="24"/>
                <w:szCs w:val="24"/>
                <w:lang w:bidi="ar-SA"/>
              </w:rPr>
              <w:t>Контрольные  кабели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</w:pPr>
            <w:r>
              <w:rPr>
                <w:rStyle w:val="CharStyle64"/>
                <w:rFonts w:eastAsia="Calibri"/>
                <w:sz w:val="24"/>
                <w:szCs w:val="24"/>
                <w:lang w:bidi="ar-SA"/>
              </w:rPr>
              <w:t>В процессе транспортирования и хранения кабельной продукции должны быть приняты меры для его защиты от механических повреждений и воздействия факторов окружающей среды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  <w:tr w:rsidR="004C4FEF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</w:t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lang w:eastAsia="en-US"/>
              </w:rPr>
            </w:pPr>
          </w:p>
          <w:p w:rsidR="004C4FEF" w:rsidRDefault="00EC282C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 продукции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EC282C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15150-69</w:t>
            </w:r>
          </w:p>
          <w:p w:rsidR="004C4FEF" w:rsidRDefault="00EC282C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5(ОЖ4). Обоснование: транспортировка в район Крайнего Севера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sz w:val="24"/>
                <w:szCs w:val="24"/>
              </w:rPr>
            </w:pPr>
          </w:p>
          <w:p w:rsidR="004C4FEF" w:rsidRDefault="00EC282C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FEF" w:rsidRDefault="004C4FE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4C4FEF" w:rsidRDefault="004C4FEF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4C4FEF" w:rsidRDefault="004C4FEF">
      <w:pPr>
        <w:widowControl w:val="0"/>
        <w:tabs>
          <w:tab w:val="left" w:pos="851"/>
        </w:tabs>
        <w:spacing w:before="197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</w:p>
    <w:p w:rsidR="004C4FEF" w:rsidRDefault="00EC282C">
      <w:pPr>
        <w:pStyle w:val="22"/>
        <w:numPr>
          <w:ilvl w:val="1"/>
          <w:numId w:val="3"/>
        </w:numPr>
      </w:pPr>
      <w:bookmarkStart w:id="21" w:name="_Toc130390815"/>
      <w:r>
        <w:t>Требования, касающиеся предложений о поставке эквивалентной продукции</w:t>
      </w:r>
      <w:bookmarkEnd w:id="21"/>
    </w:p>
    <w:p w:rsidR="004C4FEF" w:rsidRDefault="00EC282C">
      <w:pPr>
        <w:ind w:firstLine="432"/>
      </w:pPr>
      <w:r>
        <w:rPr>
          <w:sz w:val="24"/>
          <w:szCs w:val="24"/>
        </w:rPr>
        <w:t>Участник должен принять во внимание, что ссылка на ТУ, марку (тип) продукции, носит описательный, а не обязательный характер. В случае, если Участником предлагаются эквиваленты требуемой Заказчику продукции или ее составных частей в составе своего предложения он должен:</w:t>
      </w:r>
    </w:p>
    <w:p w:rsidR="004C4FEF" w:rsidRDefault="00EC282C">
      <w:pPr>
        <w:ind w:firstLine="432"/>
      </w:pPr>
      <w:r>
        <w:rPr>
          <w:sz w:val="24"/>
          <w:szCs w:val="24"/>
        </w:rPr>
        <w:t>•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Также для проверки соответствия требованиям заказчика участник должен предоставить габаритные и монтажные чертежи оборудования;</w:t>
      </w:r>
    </w:p>
    <w:p w:rsidR="004C4FEF" w:rsidRDefault="004C4FEF">
      <w:pPr>
        <w:ind w:firstLine="432"/>
        <w:rPr>
          <w:sz w:val="24"/>
          <w:szCs w:val="24"/>
        </w:rPr>
      </w:pPr>
    </w:p>
    <w:p w:rsidR="004C4FEF" w:rsidRDefault="00EC282C">
      <w:pPr>
        <w:ind w:firstLine="357"/>
        <w:jc w:val="both"/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 Предложение на поставку эквивалентного по техническим характеристикам оборудования должно включать полный комплект технической документации (руководство по эксплуатации оборудования, руководство по монтажу, настройке и наладке оборудования, паспорт на устройства (формуляр), в части программно-аппаратных средств - предоставляется описание функционально-логических алгоритмов работы сервиса учета переносных защитных заземлений в логике оперативных переключений.</w:t>
      </w:r>
    </w:p>
    <w:p w:rsidR="004C4FEF" w:rsidRDefault="004C4FEF">
      <w:pPr>
        <w:ind w:firstLine="357"/>
        <w:jc w:val="both"/>
        <w:rPr>
          <w:sz w:val="24"/>
          <w:szCs w:val="24"/>
        </w:rPr>
      </w:pPr>
    </w:p>
    <w:p w:rsidR="004C4FEF" w:rsidRDefault="004C4FEF">
      <w:pPr>
        <w:pStyle w:val="22"/>
        <w:tabs>
          <w:tab w:val="clear" w:pos="0"/>
        </w:tabs>
        <w:ind w:left="432" w:right="111" w:firstLine="0"/>
      </w:pPr>
    </w:p>
    <w:p w:rsidR="004C4FEF" w:rsidRDefault="004C4FEF">
      <w:pPr>
        <w:ind w:right="111"/>
        <w:jc w:val="right"/>
        <w:rPr>
          <w:sz w:val="24"/>
          <w:szCs w:val="24"/>
        </w:rPr>
      </w:pPr>
    </w:p>
    <w:p w:rsidR="004C4FEF" w:rsidRDefault="004C4FEF">
      <w:pPr>
        <w:ind w:right="111"/>
        <w:jc w:val="right"/>
        <w:rPr>
          <w:sz w:val="24"/>
          <w:szCs w:val="24"/>
        </w:rPr>
      </w:pPr>
    </w:p>
    <w:p w:rsidR="004C4FEF" w:rsidRDefault="004C4FEF">
      <w:pPr>
        <w:ind w:right="111"/>
        <w:jc w:val="right"/>
        <w:rPr>
          <w:sz w:val="24"/>
          <w:szCs w:val="24"/>
        </w:rPr>
      </w:pPr>
    </w:p>
    <w:p w:rsidR="004C4FEF" w:rsidRDefault="004C4FEF">
      <w:pPr>
        <w:ind w:right="111"/>
        <w:jc w:val="right"/>
        <w:rPr>
          <w:sz w:val="24"/>
          <w:szCs w:val="24"/>
        </w:rPr>
      </w:pPr>
    </w:p>
    <w:sectPr w:rsidR="004C4FEF">
      <w:headerReference w:type="even" r:id="rId11"/>
      <w:headerReference w:type="default" r:id="rId12"/>
      <w:headerReference w:type="first" r:id="rId13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9AF" w:rsidRDefault="00EC282C">
      <w:r>
        <w:separator/>
      </w:r>
    </w:p>
  </w:endnote>
  <w:endnote w:type="continuationSeparator" w:id="0">
    <w:p w:rsidR="00AE79AF" w:rsidRDefault="00EC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9AF" w:rsidRDefault="00EC282C">
      <w:r>
        <w:separator/>
      </w:r>
    </w:p>
  </w:footnote>
  <w:footnote w:type="continuationSeparator" w:id="0">
    <w:p w:rsidR="00AE79AF" w:rsidRDefault="00EC2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EC282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2506DE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C4FEF" w:rsidRDefault="00EC282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06DEB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4C4FEF">
    <w:pPr>
      <w:pStyle w:val="af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4C4FEF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EC282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1DA4E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C4FEF" w:rsidRDefault="00EC282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1DA4E8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EC282C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DA4131">
      <w:rPr>
        <w:noProof/>
      </w:rPr>
      <w:t>17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FEF" w:rsidRDefault="004C4FEF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B2B"/>
    <w:multiLevelType w:val="multilevel"/>
    <w:tmpl w:val="5350A45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B265B00"/>
    <w:multiLevelType w:val="multilevel"/>
    <w:tmpl w:val="CF3A731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2FC4F2E"/>
    <w:multiLevelType w:val="multilevel"/>
    <w:tmpl w:val="A61AC42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2BD25240"/>
    <w:multiLevelType w:val="multilevel"/>
    <w:tmpl w:val="44107700"/>
    <w:lvl w:ilvl="0">
      <w:start w:val="1"/>
      <w:numFmt w:val="decimal"/>
      <w:lvlText w:val="1.4.%1."/>
      <w:lvlJc w:val="left"/>
      <w:pPr>
        <w:tabs>
          <w:tab w:val="num" w:pos="0"/>
        </w:tabs>
        <w:ind w:left="1712" w:hanging="360"/>
      </w:pPr>
    </w:lvl>
    <w:lvl w:ilvl="1">
      <w:numFmt w:val="bullet"/>
      <w:lvlText w:val="-"/>
      <w:lvlJc w:val="left"/>
      <w:pPr>
        <w:tabs>
          <w:tab w:val="num" w:pos="0"/>
        </w:tabs>
        <w:ind w:left="243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2" w:hanging="180"/>
      </w:pPr>
    </w:lvl>
  </w:abstractNum>
  <w:abstractNum w:abstractNumId="4" w15:restartNumberingAfterBreak="0">
    <w:nsid w:val="3B7E1C05"/>
    <w:multiLevelType w:val="multilevel"/>
    <w:tmpl w:val="2822E4E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904AF0"/>
    <w:multiLevelType w:val="multilevel"/>
    <w:tmpl w:val="252EDE1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F5C1A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7561D34"/>
    <w:multiLevelType w:val="multilevel"/>
    <w:tmpl w:val="103E7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EF"/>
    <w:rsid w:val="004C4FEF"/>
    <w:rsid w:val="00A15475"/>
    <w:rsid w:val="00AE79AF"/>
    <w:rsid w:val="00DA4131"/>
    <w:rsid w:val="00E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19F2"/>
  <w15:docId w15:val="{040C8C0A-092E-4298-8903-0B79445F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C08D4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uiPriority w:val="99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styleId="affb">
    <w:name w:val="FollowedHyperlink"/>
    <w:basedOn w:val="a4"/>
    <w:uiPriority w:val="99"/>
    <w:semiHidden/>
    <w:unhideWhenUsed/>
    <w:rsid w:val="003633BA"/>
    <w:rPr>
      <w:color w:val="954F72"/>
      <w:u w:val="single"/>
    </w:rPr>
  </w:style>
  <w:style w:type="character" w:customStyle="1" w:styleId="affc">
    <w:name w:val="Основной текст с отступом Знак"/>
    <w:basedOn w:val="a4"/>
    <w:link w:val="affd"/>
    <w:qFormat/>
    <w:rsid w:val="00DC08D4"/>
    <w:rPr>
      <w:sz w:val="24"/>
      <w:szCs w:val="24"/>
    </w:rPr>
  </w:style>
  <w:style w:type="character" w:customStyle="1" w:styleId="affe">
    <w:name w:val="Нижний колонтитул Знак"/>
    <w:basedOn w:val="a4"/>
    <w:link w:val="afff"/>
    <w:qFormat/>
    <w:rsid w:val="00DC08D4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9"/>
    <w:qFormat/>
    <w:rsid w:val="00DC08D4"/>
    <w:rPr>
      <w:sz w:val="28"/>
      <w:szCs w:val="28"/>
    </w:rPr>
  </w:style>
  <w:style w:type="character" w:customStyle="1" w:styleId="36">
    <w:name w:val="Основной текст 3 Знак"/>
    <w:basedOn w:val="a4"/>
    <w:link w:val="37"/>
    <w:qFormat/>
    <w:rsid w:val="00DC08D4"/>
    <w:rPr>
      <w:sz w:val="16"/>
      <w:szCs w:val="16"/>
    </w:rPr>
  </w:style>
  <w:style w:type="character" w:customStyle="1" w:styleId="2a">
    <w:name w:val="Основной текст 2 Знак"/>
    <w:basedOn w:val="a4"/>
    <w:link w:val="2b"/>
    <w:qFormat/>
    <w:rsid w:val="00DC08D4"/>
    <w:rPr>
      <w:sz w:val="28"/>
      <w:szCs w:val="28"/>
    </w:rPr>
  </w:style>
  <w:style w:type="character" w:customStyle="1" w:styleId="afff0">
    <w:name w:val="Текст выноски Знак"/>
    <w:basedOn w:val="a4"/>
    <w:link w:val="afff1"/>
    <w:semiHidden/>
    <w:qFormat/>
    <w:rsid w:val="00DC08D4"/>
    <w:rPr>
      <w:rFonts w:ascii="Tahoma" w:hAnsi="Tahoma" w:cs="Tahoma"/>
      <w:sz w:val="16"/>
      <w:szCs w:val="16"/>
    </w:rPr>
  </w:style>
  <w:style w:type="character" w:customStyle="1" w:styleId="afff2">
    <w:name w:val="Тема примечания Знак"/>
    <w:basedOn w:val="aff5"/>
    <w:link w:val="afff3"/>
    <w:semiHidden/>
    <w:qFormat/>
    <w:rsid w:val="00DC08D4"/>
    <w:rPr>
      <w:b/>
      <w:bCs/>
    </w:rPr>
  </w:style>
  <w:style w:type="character" w:customStyle="1" w:styleId="afff4">
    <w:name w:val="Ссылка указателя"/>
    <w:qFormat/>
  </w:style>
  <w:style w:type="character" w:customStyle="1" w:styleId="afff5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customStyle="1" w:styleId="afff6">
    <w:name w:val="Маркеры"/>
    <w:qFormat/>
    <w:rPr>
      <w:rFonts w:ascii="OpenSymbol" w:eastAsia="OpenSymbol" w:hAnsi="OpenSymbol" w:cs="OpenSymbol"/>
    </w:rPr>
  </w:style>
  <w:style w:type="character" w:customStyle="1" w:styleId="Strong21">
    <w:name w:val="Strong21"/>
    <w:qFormat/>
    <w:rsid w:val="00BD4EDF"/>
    <w:rPr>
      <w:b/>
      <w:bCs/>
    </w:rPr>
  </w:style>
  <w:style w:type="character" w:customStyle="1" w:styleId="Strong3">
    <w:name w:val="Strong3"/>
    <w:qFormat/>
    <w:rPr>
      <w:b/>
      <w:bCs/>
    </w:rPr>
  </w:style>
  <w:style w:type="character" w:styleId="afff7">
    <w:name w:val="Strong"/>
    <w:qFormat/>
    <w:rPr>
      <w:b/>
      <w:bCs/>
    </w:rPr>
  </w:style>
  <w:style w:type="character" w:customStyle="1" w:styleId="CharStyle64">
    <w:name w:val="Char Style 6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paragraph" w:styleId="afff8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9">
    <w:name w:val="List"/>
    <w:basedOn w:val="afd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8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8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8"/>
    <w:qFormat/>
  </w:style>
  <w:style w:type="paragraph" w:customStyle="1" w:styleId="afffc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3"/>
    <w:link w:val="affc"/>
    <w:rsid w:val="0076353A"/>
    <w:pPr>
      <w:ind w:left="360"/>
    </w:pPr>
    <w:rPr>
      <w:sz w:val="24"/>
      <w:szCs w:val="24"/>
    </w:rPr>
  </w:style>
  <w:style w:type="paragraph" w:styleId="afff">
    <w:name w:val="footer"/>
    <w:basedOn w:val="a3"/>
    <w:link w:val="affe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link w:val="36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e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">
    <w:name w:val="Раздел регламента"/>
    <w:basedOn w:val="a3"/>
    <w:qFormat/>
    <w:rsid w:val="00E228FA"/>
  </w:style>
  <w:style w:type="paragraph" w:customStyle="1" w:styleId="affff0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1">
    <w:name w:val="Balloon Text"/>
    <w:basedOn w:val="a3"/>
    <w:link w:val="afff0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uiPriority w:val="99"/>
    <w:qFormat/>
    <w:rsid w:val="00B714B0"/>
    <w:rPr>
      <w:sz w:val="20"/>
      <w:szCs w:val="20"/>
    </w:rPr>
  </w:style>
  <w:style w:type="paragraph" w:styleId="afff3">
    <w:name w:val="annotation subject"/>
    <w:basedOn w:val="aff6"/>
    <w:next w:val="aff6"/>
    <w:link w:val="afff2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10">
    <w:name w:val="Основной текст с отступом 21"/>
    <w:basedOn w:val="a3"/>
    <w:qFormat/>
    <w:rsid w:val="00111F7B"/>
    <w:pPr>
      <w:spacing w:after="120" w:line="480" w:lineRule="auto"/>
      <w:ind w:left="283" w:firstLine="709"/>
      <w:jc w:val="both"/>
    </w:pPr>
    <w:rPr>
      <w:sz w:val="24"/>
      <w:szCs w:val="20"/>
      <w:lang w:val="en-US" w:eastAsia="zh-CN"/>
    </w:rPr>
  </w:style>
  <w:style w:type="paragraph" w:customStyle="1" w:styleId="msonormal0">
    <w:name w:val="msonormal"/>
    <w:basedOn w:val="a3"/>
    <w:qFormat/>
    <w:rsid w:val="003633BA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3633BA"/>
    <w:pPr>
      <w:spacing w:beforeAutospacing="1" w:afterAutospacing="1"/>
    </w:pPr>
    <w:rPr>
      <w:color w:val="000000"/>
    </w:rPr>
  </w:style>
  <w:style w:type="paragraph" w:customStyle="1" w:styleId="font8">
    <w:name w:val="font8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3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3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customStyle="1" w:styleId="xl63">
    <w:name w:val="xl63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2">
    <w:name w:val="xl7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5">
    <w:name w:val="xl115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6">
    <w:name w:val="xl11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3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3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3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29">
    <w:name w:val="xl129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1">
    <w:name w:val="xl13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0">
    <w:name w:val="xl15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4">
    <w:name w:val="xl154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5">
    <w:name w:val="xl155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6">
    <w:name w:val="xl15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1">
    <w:name w:val="xl16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4">
    <w:name w:val="xl16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7">
    <w:name w:val="xl16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68">
    <w:name w:val="xl16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69">
    <w:name w:val="xl169"/>
    <w:basedOn w:val="a3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0">
    <w:name w:val="xl17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1">
    <w:name w:val="xl1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4">
    <w:name w:val="xl17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5">
    <w:name w:val="xl1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9">
    <w:name w:val="xl1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0">
    <w:name w:val="xl18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2">
    <w:name w:val="xl18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3">
    <w:name w:val="xl18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6">
    <w:name w:val="xl18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7">
    <w:name w:val="xl1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8">
    <w:name w:val="xl188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0">
    <w:name w:val="xl19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1">
    <w:name w:val="xl19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Текст таблица"/>
    <w:basedOn w:val="a3"/>
    <w:qFormat/>
    <w:rPr>
      <w:sz w:val="24"/>
      <w:szCs w:val="20"/>
    </w:rPr>
  </w:style>
  <w:style w:type="paragraph" w:customStyle="1" w:styleId="affffd">
    <w:name w:val="Содержимое таблицы"/>
    <w:basedOn w:val="a3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customStyle="1" w:styleId="afffff">
    <w:name w:val="Табл"/>
    <w:basedOn w:val="a3"/>
    <w:qFormat/>
    <w:rPr>
      <w:rFonts w:eastAsia="Calibri"/>
      <w:color w:val="000000" w:themeColor="text1"/>
    </w:rPr>
  </w:style>
  <w:style w:type="paragraph" w:customStyle="1" w:styleId="Default">
    <w:name w:val="Default"/>
    <w:qFormat/>
    <w:rPr>
      <w:color w:val="000000"/>
      <w:sz w:val="24"/>
      <w:szCs w:val="24"/>
      <w:lang w:eastAsia="en-US"/>
    </w:rPr>
  </w:style>
  <w:style w:type="paragraph" w:styleId="afffff0">
    <w:name w:val="Plain Text"/>
    <w:basedOn w:val="a3"/>
    <w:qFormat/>
    <w:rPr>
      <w:rFonts w:ascii="Calibri" w:hAnsi="Calibri"/>
      <w:szCs w:val="21"/>
    </w:rPr>
  </w:style>
  <w:style w:type="paragraph" w:customStyle="1" w:styleId="afffff1">
    <w:name w:val="ТАБЛИЦА"/>
    <w:basedOn w:val="afd"/>
    <w:qFormat/>
    <w:pPr>
      <w:spacing w:after="0"/>
    </w:pPr>
    <w:rPr>
      <w:sz w:val="20"/>
      <w:szCs w:val="20"/>
    </w:rPr>
  </w:style>
  <w:style w:type="paragraph" w:customStyle="1" w:styleId="afffff2">
    <w:name w:val="Абзац"/>
    <w:basedOn w:val="afd"/>
    <w:qFormat/>
    <w:pPr>
      <w:spacing w:after="20" w:line="360" w:lineRule="auto"/>
      <w:ind w:firstLine="624"/>
      <w:contextualSpacing/>
      <w:jc w:val="both"/>
    </w:pPr>
    <w:rPr>
      <w:rFonts w:cs="Arial"/>
    </w:rPr>
  </w:style>
  <w:style w:type="paragraph" w:customStyle="1" w:styleId="3b">
    <w:name w:val="Т3.РАЗДЕЛ"/>
    <w:qFormat/>
    <w:pPr>
      <w:spacing w:before="120" w:after="60" w:line="288" w:lineRule="auto"/>
      <w:ind w:left="680" w:firstLine="454"/>
    </w:pPr>
    <w:rPr>
      <w:rFonts w:ascii="Arial Narrow" w:hAnsi="Arial Narrow" w:cs="Arial Narrow"/>
      <w:b/>
      <w:color w:val="000000"/>
      <w:sz w:val="24"/>
      <w:szCs w:val="24"/>
      <w:lang w:eastAsia="zh-CN"/>
    </w:rPr>
  </w:style>
  <w:style w:type="paragraph" w:customStyle="1" w:styleId="Style18">
    <w:name w:val="Style 18"/>
    <w:basedOn w:val="a3"/>
    <w:qFormat/>
    <w:pPr>
      <w:widowControl w:val="0"/>
      <w:shd w:val="clear" w:color="auto" w:fill="FFFFFF"/>
      <w:spacing w:before="660" w:after="2100" w:line="0" w:lineRule="atLeast"/>
      <w:jc w:val="center"/>
    </w:pPr>
    <w:rPr>
      <w:sz w:val="23"/>
      <w:szCs w:val="23"/>
    </w:rPr>
  </w:style>
  <w:style w:type="paragraph" w:customStyle="1" w:styleId="310">
    <w:name w:val="Основной текст с отступом 31"/>
    <w:basedOn w:val="a3"/>
    <w:qFormat/>
    <w:pPr>
      <w:spacing w:after="120"/>
      <w:ind w:left="283"/>
    </w:pPr>
    <w:rPr>
      <w:sz w:val="16"/>
      <w:szCs w:val="16"/>
      <w:lang w:eastAsia="zh-CN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10">
    <w:name w:val="Стиль11"/>
    <w:uiPriority w:val="99"/>
    <w:qFormat/>
    <w:rsid w:val="00DC08D4"/>
  </w:style>
  <w:style w:type="numbering" w:customStyle="1" w:styleId="211">
    <w:name w:val="Стиль21"/>
    <w:uiPriority w:val="99"/>
    <w:qFormat/>
    <w:rsid w:val="00DC08D4"/>
  </w:style>
  <w:style w:type="numbering" w:customStyle="1" w:styleId="42078867741">
    <w:name w:val="42078867741"/>
    <w:qFormat/>
  </w:style>
  <w:style w:type="table" w:styleId="afffff3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BA0B-5360-4DEA-B0B7-0F9D11A7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17</Pages>
  <Words>3275</Words>
  <Characters>18674</Characters>
  <Application>Microsoft Office Word</Application>
  <DocSecurity>0</DocSecurity>
  <Lines>155</Lines>
  <Paragraphs>43</Paragraphs>
  <ScaleCrop>false</ScaleCrop>
  <Company>Microsoft</Company>
  <LinksUpToDate>false</LinksUpToDate>
  <CharactersWithSpaces>21906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Тесцова Елена Васильевна</cp:lastModifiedBy>
  <cp:revision>105</cp:revision>
  <cp:lastPrinted>2026-08-05T20:58:00Z</cp:lastPrinted>
  <dcterms:created xsi:type="dcterms:W3CDTF">2023-12-01T02:31:00Z</dcterms:created>
  <dcterms:modified xsi:type="dcterms:W3CDTF">2026-08-07T05:45:00Z</dcterms:modified>
  <dc:language>ru-RU</dc:language>
</cp:coreProperties>
</file>