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er6.xml" ContentType="application/vnd.openxmlformats-officedocument.wordprocessingml.foot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keepNext w:val="true"/>
        <w:keepLines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keepNext w:val="true"/>
        <w:keepLines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szCs w:val="24"/>
        </w:rPr>
      </w:pPr>
      <w:r>
        <w:rPr>
          <w:rFonts w:cs="Times New Roman"/>
          <w:b/>
          <w:color w:val="000000"/>
          <w:szCs w:val="24"/>
        </w:rPr>
        <w:t>ТЕХНИЧЕСКИЕ ТРЕБОВАНИЯ</w:t>
      </w:r>
    </w:p>
    <w:p>
      <w:pPr>
        <w:pStyle w:val="Normal"/>
        <w:jc w:val="center"/>
        <w:rPr/>
      </w:pPr>
      <w:r>
        <w:rPr>
          <w:rFonts w:cs="Times New Roman"/>
          <w:color w:val="000000"/>
          <w:szCs w:val="24"/>
        </w:rPr>
        <w:t>ОКПД2 27.11.61.120 Поставка крышки верхнего генераторного подшипника для выполнения работ на Новосибирской ГЭС</w:t>
      </w:r>
    </w:p>
    <w:p>
      <w:pPr>
        <w:pStyle w:val="Normal"/>
        <w:jc w:val="center"/>
        <w:rPr>
          <w:szCs w:val="24"/>
        </w:rPr>
      </w:pPr>
      <w:r>
        <w:rPr>
          <w:rFonts w:cs="Times New Roman"/>
          <w:color w:val="000000"/>
          <w:szCs w:val="24"/>
        </w:rPr>
        <w:t>(Лот №</w:t>
      </w:r>
      <w:r>
        <w:rPr>
          <w:rFonts w:cs="Times New Roman"/>
          <w:color w:val="000000"/>
          <w:szCs w:val="24"/>
          <w:lang w:val="en-US"/>
        </w:rPr>
        <w:t>…</w:t>
      </w:r>
      <w:r>
        <w:rPr>
          <w:rFonts w:eastAsia="Geneva" w:cs="Times New Roman"/>
          <w:color w:val="000000"/>
          <w:szCs w:val="24"/>
        </w:rPr>
        <w:t>)</w:t>
      </w:r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0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</w:r>
    </w:p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jc w:val="center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keepNext w:val="true"/>
        <w:keepLines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  <w:r>
        <w:br w:type="page"/>
      </w:r>
    </w:p>
    <w:p>
      <w:pPr>
        <w:pStyle w:val="Heading4"/>
        <w:numPr>
          <w:ilvl w:val="0"/>
          <w:numId w:val="6"/>
        </w:numPr>
        <w:tabs>
          <w:tab w:val="clear" w:pos="709"/>
          <w:tab w:val="left" w:pos="0" w:leader="none"/>
        </w:tabs>
        <w:ind w:left="426" w:hanging="360"/>
        <w:jc w:val="center"/>
        <w:rPr/>
      </w:pPr>
      <w:r>
        <w:rPr>
          <w:color w:val="000000"/>
        </w:rPr>
        <w:t>Общие сведения</w:t>
      </w:r>
    </w:p>
    <w:p>
      <w:pPr>
        <w:pStyle w:val="Normal"/>
        <w:tabs>
          <w:tab w:val="clear" w:pos="720"/>
          <w:tab w:val="left" w:pos="0" w:leader="none"/>
        </w:tabs>
        <w:ind w:left="426" w:hanging="360"/>
        <w:jc w:val="center"/>
        <w:rPr>
          <w:color w:val="000000"/>
          <w:szCs w:val="24"/>
        </w:rPr>
      </w:pPr>
      <w:r>
        <w:rPr>
          <w:color w:val="000000"/>
          <w:szCs w:val="24"/>
        </w:rPr>
      </w:r>
    </w:p>
    <w:p>
      <w:pPr>
        <w:pStyle w:val="Heading4"/>
        <w:numPr>
          <w:ilvl w:val="1"/>
          <w:numId w:val="7"/>
        </w:numPr>
        <w:ind w:left="0" w:firstLine="709"/>
        <w:rPr/>
      </w:pPr>
      <w:bookmarkStart w:id="0" w:name="_Toc75446568"/>
      <w:bookmarkStart w:id="1" w:name="_Toc75446569"/>
      <w:bookmarkStart w:id="2" w:name="_Toc46743506"/>
      <w:bookmarkEnd w:id="1"/>
      <w:r>
        <w:rPr>
          <w:color w:val="000000"/>
        </w:rPr>
        <w:t>Наименование закупаемой продукции</w:t>
      </w:r>
      <w:bookmarkEnd w:id="0"/>
      <w:bookmarkEnd w:id="2"/>
    </w:p>
    <w:p>
      <w:pPr>
        <w:pStyle w:val="Normal"/>
        <w:ind w:firstLine="419"/>
        <w:jc w:val="both"/>
        <w:rPr/>
      </w:pPr>
      <w:r>
        <w:rPr>
          <w:rFonts w:cs="Times New Roman"/>
          <w:color w:val="000000"/>
          <w:szCs w:val="24"/>
        </w:rPr>
        <w:tab/>
        <w:t>ОКПД2 27.11.61.120 Поставка крышки верхнего генераторного подшипника для выполнения работ на Новосибирской ГЭС (далее – продукция).</w:t>
      </w:r>
    </w:p>
    <w:p>
      <w:pPr>
        <w:pStyle w:val="Normal"/>
        <w:ind w:firstLine="419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Heading4"/>
        <w:numPr>
          <w:ilvl w:val="1"/>
          <w:numId w:val="7"/>
        </w:numPr>
        <w:ind w:left="0" w:firstLine="709"/>
        <w:rPr/>
      </w:pPr>
      <w:bookmarkStart w:id="3" w:name="_Toc46743507"/>
      <w:bookmarkStart w:id="4" w:name="_Toc75446569_Копия_1"/>
      <w:bookmarkEnd w:id="4"/>
      <w:r>
        <w:rPr>
          <w:color w:val="000000"/>
        </w:rPr>
        <w:t xml:space="preserve">Цель </w:t>
      </w:r>
      <w:bookmarkEnd w:id="3"/>
      <w:r>
        <w:rPr>
          <w:color w:val="000000"/>
        </w:rPr>
        <w:t xml:space="preserve">использования закупаемой продукции </w:t>
      </w:r>
    </w:p>
    <w:p>
      <w:pPr>
        <w:pStyle w:val="Heading4"/>
        <w:jc w:val="both"/>
        <w:rPr/>
      </w:pPr>
      <w:r>
        <w:rPr>
          <w:rStyle w:val="Style"/>
          <w:b/>
          <w:i w:val="false"/>
          <w:color w:val="000000"/>
          <w:shd w:fill="auto" w:val="clear"/>
        </w:rPr>
        <w:t>Исполнение доходного договора:</w:t>
      </w:r>
    </w:p>
    <w:p>
      <w:pPr>
        <w:pStyle w:val="Heading4"/>
        <w:jc w:val="both"/>
        <w:rPr/>
      </w:pPr>
      <w:r>
        <w:rPr>
          <w:rStyle w:val="Style"/>
          <w:rFonts w:eastAsia="Times New Roman"/>
          <w:b w:val="false"/>
          <w:bCs w:val="false"/>
          <w:i w:val="false"/>
          <w:color w:val="000000"/>
          <w:shd w:fill="auto" w:val="clear"/>
          <w:lang w:eastAsia="ru-RU"/>
        </w:rPr>
        <w:t>- №4-РЕМ-2023 от 11.10.2023 «Капитальный и текущий ремонт основного и вспомогательного оборудования, зданий и сооружений Филиала ПАО «РусГидро»-«Новосибирская ГЭС», заключенный между АО «Гидроремонт-ВКК» и Филиала ПАО «РусГидро»-«Новосибирская ГЭС».</w:t>
      </w:r>
    </w:p>
    <w:p>
      <w:pPr>
        <w:pStyle w:val="Normal"/>
        <w:ind w:firstLine="709"/>
        <w:rPr>
          <w:rFonts w:cs="Times New Roman"/>
          <w:bCs/>
          <w:color w:val="000000"/>
          <w:szCs w:val="24"/>
        </w:rPr>
      </w:pPr>
      <w:r>
        <w:rPr>
          <w:rFonts w:cs="Times New Roman"/>
          <w:bCs/>
          <w:color w:val="000000"/>
          <w:szCs w:val="24"/>
        </w:rPr>
      </w:r>
    </w:p>
    <w:p>
      <w:pPr>
        <w:pStyle w:val="Heading1"/>
        <w:numPr>
          <w:ilvl w:val="0"/>
          <w:numId w:val="6"/>
        </w:numPr>
        <w:tabs>
          <w:tab w:val="clear" w:pos="0"/>
          <w:tab w:val="clear" w:pos="709"/>
        </w:tabs>
        <w:ind w:left="426" w:hanging="360"/>
        <w:jc w:val="center"/>
        <w:rPr/>
      </w:pPr>
      <w:bookmarkStart w:id="5" w:name="_Toc51339693"/>
      <w:bookmarkStart w:id="6" w:name="_Toc75446573"/>
      <w:r>
        <w:rPr>
          <w:color w:val="000000"/>
          <w:sz w:val="24"/>
          <w:szCs w:val="24"/>
        </w:rPr>
        <w:t>Требования к продукции</w:t>
      </w:r>
      <w:bookmarkEnd w:id="5"/>
      <w:bookmarkEnd w:id="6"/>
    </w:p>
    <w:p>
      <w:pPr>
        <w:pStyle w:val="Normal"/>
        <w:rPr>
          <w:rFonts w:cs="Times New Roman"/>
          <w:color w:val="000000"/>
          <w:szCs w:val="24"/>
          <w:lang w:eastAsia="x-none"/>
        </w:rPr>
      </w:pPr>
      <w:r>
        <w:rPr>
          <w:rFonts w:cs="Times New Roman"/>
          <w:color w:val="000000"/>
          <w:szCs w:val="24"/>
          <w:lang w:eastAsia="x-none"/>
        </w:rPr>
      </w:r>
    </w:p>
    <w:p>
      <w:pPr>
        <w:pStyle w:val="Heading4"/>
        <w:numPr>
          <w:ilvl w:val="1"/>
          <w:numId w:val="6"/>
        </w:numPr>
        <w:tabs>
          <w:tab w:val="clear" w:pos="0"/>
          <w:tab w:val="left" w:pos="709" w:leader="none"/>
        </w:tabs>
        <w:ind w:left="1134" w:hanging="360"/>
        <w:rPr/>
      </w:pPr>
      <w:bookmarkStart w:id="7" w:name="_Toc75446574"/>
      <w:r>
        <w:rPr>
          <w:color w:val="000000"/>
        </w:rPr>
        <w:t xml:space="preserve">Требования к объемам и срокам </w:t>
      </w:r>
      <w:r>
        <w:rPr>
          <w:color w:val="000000"/>
          <w:lang w:val="ru-RU"/>
        </w:rPr>
        <w:t>поставки</w:t>
      </w:r>
      <w:bookmarkEnd w:id="7"/>
    </w:p>
    <w:p>
      <w:pPr>
        <w:pStyle w:val="Heading3"/>
        <w:numPr>
          <w:ilvl w:val="2"/>
          <w:numId w:val="6"/>
        </w:numPr>
        <w:tabs>
          <w:tab w:val="clear" w:pos="0"/>
          <w:tab w:val="left" w:pos="709" w:leader="none"/>
        </w:tabs>
        <w:ind w:left="0" w:firstLine="709"/>
        <w:rPr/>
      </w:pPr>
      <w:bookmarkStart w:id="8" w:name="_Toc75446575"/>
      <w:r>
        <w:rPr>
          <w:color w:val="000000"/>
        </w:rPr>
        <w:t>Перечень и объем закупаемой продукции</w:t>
      </w:r>
      <w:bookmarkEnd w:id="8"/>
    </w:p>
    <w:p>
      <w:pPr>
        <w:pStyle w:val="Normal"/>
        <w:jc w:val="both"/>
        <w:rPr/>
      </w:pPr>
      <w:bookmarkStart w:id="9" w:name="_Toc75446576"/>
      <w:bookmarkStart w:id="10" w:name="_Toc51339695"/>
      <w:r>
        <w:rPr>
          <w:rFonts w:cs="Times New Roman"/>
          <w:color w:val="000000"/>
          <w:szCs w:val="24"/>
        </w:rPr>
        <w:t xml:space="preserve">Таблица 2.1 Перечень </w:t>
      </w:r>
      <w:bookmarkEnd w:id="10"/>
      <w:r>
        <w:rPr>
          <w:rFonts w:cs="Times New Roman"/>
          <w:color w:val="000000"/>
          <w:szCs w:val="24"/>
        </w:rPr>
        <w:t>и объем закупаемой продукци</w:t>
      </w:r>
      <w:bookmarkEnd w:id="9"/>
      <w:r>
        <w:rPr>
          <w:rFonts w:cs="Times New Roman"/>
          <w:color w:val="000000"/>
          <w:szCs w:val="24"/>
        </w:rPr>
        <w:t>и</w:t>
      </w:r>
    </w:p>
    <w:tbl>
      <w:tblPr>
        <w:tblW w:w="98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88"/>
        <w:gridCol w:w="4312"/>
        <w:gridCol w:w="2437"/>
        <w:gridCol w:w="2268"/>
      </w:tblGrid>
      <w:tr>
        <w:trPr>
          <w:trHeight w:val="270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Cs w:val="24"/>
              </w:rPr>
              <w:t>п/п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Cs w:val="24"/>
              </w:rPr>
              <w:t>Наименование продукции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Cs w:val="24"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Cs w:val="24"/>
              </w:rPr>
              <w:t>Количество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b/>
                <w:color w:val="000000"/>
                <w:szCs w:val="24"/>
              </w:rPr>
              <w:t>4</w:t>
            </w:r>
          </w:p>
        </w:tc>
      </w:tr>
      <w:tr>
        <w:trPr>
          <w:trHeight w:val="20" w:hRule="atLeast"/>
        </w:trPr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rPr>
                <w:color w:val="000000" w:themeColor="text1"/>
                <w:szCs w:val="24"/>
              </w:rPr>
            </w:pPr>
            <w:r>
              <w:rPr/>
              <w:t>Крышка с уплотнением верхнего генераторного подшипника 1М52722</w:t>
            </w:r>
          </w:p>
        </w:tc>
        <w:tc>
          <w:tcPr>
            <w:tcW w:w="24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шт.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Cs w:val="24"/>
                <w:lang w:val="en-US"/>
              </w:rPr>
              <w:t>1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3"/>
        <w:numPr>
          <w:ilvl w:val="2"/>
          <w:numId w:val="6"/>
        </w:numPr>
        <w:tabs>
          <w:tab w:val="clear" w:pos="0"/>
          <w:tab w:val="left" w:pos="709" w:leader="none"/>
        </w:tabs>
        <w:ind w:left="0" w:firstLine="709"/>
        <w:rPr/>
      </w:pPr>
      <w:bookmarkStart w:id="11" w:name="_Toc75446578"/>
      <w:bookmarkStart w:id="12" w:name="_Toc51339696"/>
      <w:r>
        <w:rPr>
          <w:color w:val="000000"/>
        </w:rPr>
        <w:t xml:space="preserve">Требования </w:t>
      </w:r>
      <w:bookmarkEnd w:id="12"/>
      <w:r>
        <w:rPr>
          <w:color w:val="000000"/>
        </w:rPr>
        <w:t xml:space="preserve">к срокам поставки продукции </w:t>
      </w:r>
      <w:bookmarkEnd w:id="11"/>
    </w:p>
    <w:p>
      <w:pPr>
        <w:pStyle w:val="Normal"/>
        <w:jc w:val="both"/>
        <w:rPr/>
      </w:pPr>
      <w:r>
        <w:rPr>
          <w:rFonts w:cs="Times New Roman"/>
          <w:color w:val="000000"/>
          <w:szCs w:val="24"/>
          <w:lang w:eastAsia="x-none"/>
        </w:rPr>
        <w:tab/>
      </w:r>
      <w:bookmarkStart w:id="13" w:name="_Toc75446579"/>
      <w:bookmarkStart w:id="14" w:name="_Toc51339697"/>
      <w:bookmarkStart w:id="15" w:name="_Toc50125127"/>
      <w:r>
        <w:rPr>
          <w:rFonts w:cs="Times New Roman"/>
          <w:color w:val="000000"/>
          <w:szCs w:val="24"/>
          <w:lang w:eastAsia="x-none"/>
        </w:rPr>
        <w:t xml:space="preserve">Таблица 2.2 </w:t>
      </w:r>
      <w:bookmarkStart w:id="16" w:name="_Hlk50465284"/>
      <w:r>
        <w:rPr>
          <w:rFonts w:cs="Times New Roman"/>
          <w:color w:val="000000"/>
          <w:szCs w:val="24"/>
          <w:lang w:eastAsia="x-none"/>
        </w:rPr>
        <w:t xml:space="preserve">Требования по срокам </w:t>
      </w:r>
      <w:bookmarkEnd w:id="14"/>
      <w:bookmarkEnd w:id="15"/>
      <w:bookmarkEnd w:id="16"/>
      <w:r>
        <w:rPr>
          <w:rFonts w:cs="Times New Roman"/>
          <w:color w:val="000000"/>
          <w:szCs w:val="24"/>
          <w:lang w:eastAsia="x-none"/>
        </w:rPr>
        <w:t>поставки продукции</w:t>
      </w:r>
      <w:bookmarkEnd w:id="13"/>
    </w:p>
    <w:p>
      <w:pPr>
        <w:pStyle w:val="Normal"/>
        <w:jc w:val="both"/>
        <w:rPr>
          <w:rFonts w:cs="Times New Roman"/>
          <w:color w:val="000000"/>
          <w:szCs w:val="24"/>
          <w:lang w:eastAsia="x-none"/>
        </w:rPr>
      </w:pPr>
      <w:r>
        <w:rPr/>
      </w:r>
    </w:p>
    <w:tbl>
      <w:tblPr>
        <w:tblW w:w="9863" w:type="dxa"/>
        <w:jc w:val="left"/>
        <w:tblInd w:w="-1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4"/>
        <w:gridCol w:w="4312"/>
        <w:gridCol w:w="2437"/>
        <w:gridCol w:w="2270"/>
      </w:tblGrid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Cs w:val="24"/>
              </w:rPr>
              <w:t xml:space="preserve">№ </w:t>
            </w:r>
            <w:r>
              <w:rPr>
                <w:rFonts w:cs="Times New Roman"/>
                <w:color w:val="000000"/>
                <w:szCs w:val="24"/>
              </w:rPr>
              <w:t>п/п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Cs w:val="24"/>
              </w:rPr>
              <w:t>Наименование продукции / партии продукции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b/>
                <w:color w:val="000000"/>
                <w:szCs w:val="24"/>
              </w:rPr>
              <w:t>4</w:t>
            </w:r>
          </w:p>
        </w:tc>
      </w:tr>
      <w:tr>
        <w:trPr>
          <w:trHeight w:val="1124" w:hRule="atLeast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70" w:hanging="0"/>
              <w:rPr/>
            </w:pPr>
            <w:r>
              <w:rPr>
                <w:szCs w:val="24"/>
              </w:rPr>
              <w:t>1.1</w:t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bookmarkStart w:id="17" w:name="_GoBack"/>
            <w:bookmarkEnd w:id="17"/>
            <w:r>
              <w:rPr>
                <w:rFonts w:cs="Times New Roman"/>
                <w:color w:val="000000" w:themeColor="text1"/>
                <w:szCs w:val="24"/>
              </w:rPr>
              <w:t>ОКПД2 27.11.61.120 Поставка крышки верхнего генераторного подшипника для выполнения работ на Новосибирской ГЭС</w:t>
            </w:r>
          </w:p>
        </w:tc>
        <w:tc>
          <w:tcPr>
            <w:tcW w:w="2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С даты подписания договора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Cs w:val="24"/>
              </w:rPr>
              <w:t>230 календарных дней с подписания договора</w:t>
            </w:r>
          </w:p>
        </w:tc>
      </w:tr>
    </w:tbl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before="0" w:after="0"/>
        <w:ind w:left="0" w:right="0" w:hanging="0"/>
        <w:contextualSpacing/>
        <w:jc w:val="left"/>
        <w:rPr>
          <w:sz w:val="24"/>
          <w:szCs w:val="24"/>
        </w:rPr>
      </w:pPr>
      <w:r>
        <w:rPr/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before="0" w:after="0"/>
        <w:ind w:left="0" w:right="0" w:hanging="0"/>
        <w:contextualSpacing/>
        <w:jc w:val="left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x-none"/>
        </w:rPr>
        <w:t xml:space="preserve">2.2 </w:t>
      </w:r>
      <w:r>
        <w:rPr>
          <w:b/>
          <w:color w:val="000000"/>
          <w:sz w:val="24"/>
          <w:szCs w:val="24"/>
          <w:lang w:eastAsia="x-none"/>
        </w:rPr>
        <w:t xml:space="preserve">Требования к качеству продукции </w:t>
      </w:r>
      <w:bookmarkStart w:id="18" w:name="_Toc75446569_Копия_1_Копия_1"/>
      <w:bookmarkStart w:id="19" w:name="_Toc75446568_Копия_1"/>
      <w:bookmarkStart w:id="20" w:name="_Toc75446569_Копия_1_Копия_1"/>
      <w:bookmarkStart w:id="21" w:name="_Toc51339693_Копия_1"/>
      <w:bookmarkStart w:id="22" w:name="_Toc75446573_Копия_1"/>
      <w:bookmarkStart w:id="23" w:name="_Toc75446574_Копия_1"/>
      <w:bookmarkStart w:id="24" w:name="_Toc75446575_Копия_1"/>
      <w:bookmarkStart w:id="25" w:name="_Toc51339695_Копия_1"/>
      <w:bookmarkStart w:id="26" w:name="_Toc75446576_Копия_1"/>
      <w:bookmarkStart w:id="27" w:name="_Toc51339696_Копия_1"/>
      <w:bookmarkStart w:id="28" w:name="_Toc75446578_Копия_1"/>
      <w:bookmarkStart w:id="29" w:name="_Hlk50465284_Копия_1"/>
      <w:bookmarkStart w:id="30" w:name="_Toc75446579_Копия_1"/>
      <w:bookmarkStart w:id="31" w:name="_Toc50125127_Копия_1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>
      <w:pPr>
        <w:sectPr>
          <w:footerReference w:type="default" r:id="rId2"/>
          <w:type w:val="nextPage"/>
          <w:pgSz w:w="11906" w:h="16838"/>
          <w:pgMar w:left="1701" w:right="851" w:gutter="0" w:header="0" w:top="1134" w:footer="312" w:bottom="625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jc w:val="both"/>
        <w:rPr/>
      </w:pPr>
      <w:r>
        <w:rPr>
          <w:rFonts w:cs="Times New Roman"/>
          <w:bCs/>
          <w:i w:val="false"/>
          <w:iCs w:val="false"/>
          <w:color w:val="000000"/>
          <w:sz w:val="24"/>
          <w:szCs w:val="24"/>
          <w:lang w:eastAsia="x-none"/>
        </w:rPr>
        <w:tab/>
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</w:r>
      <w:r>
        <w:rPr>
          <w:rFonts w:cs="Times New Roman"/>
          <w:color w:val="000000"/>
          <w:szCs w:val="24"/>
          <w:lang w:eastAsia="x-none"/>
        </w:rPr>
        <w:tab/>
      </w:r>
    </w:p>
    <w:p>
      <w:pPr>
        <w:pStyle w:val="Normal"/>
        <w:rPr/>
      </w:pPr>
      <w:bookmarkStart w:id="32" w:name="_Toc75446582"/>
      <w:r>
        <w:rPr>
          <w:rFonts w:cs="Times New Roman"/>
          <w:color w:val="000000"/>
          <w:szCs w:val="24"/>
          <w:lang w:eastAsia="x-none"/>
        </w:rPr>
        <w:t>Таблица 2.3. Требования к продукции</w:t>
      </w:r>
      <w:bookmarkEnd w:id="32"/>
      <w:r>
        <w:rPr>
          <w:rFonts w:cs="Times New Roman"/>
          <w:color w:val="000000"/>
          <w:szCs w:val="24"/>
          <w:lang w:eastAsia="x-none"/>
        </w:rPr>
        <w:t xml:space="preserve"> </w:t>
      </w:r>
    </w:p>
    <w:tbl>
      <w:tblPr>
        <w:tblW w:w="1487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28"/>
        <w:gridCol w:w="2177"/>
        <w:gridCol w:w="1506"/>
        <w:gridCol w:w="3176"/>
        <w:gridCol w:w="7190"/>
      </w:tblGrid>
      <w:tr>
        <w:trPr>
          <w:trHeight w:val="424" w:hRule="atLeast"/>
        </w:trPr>
        <w:tc>
          <w:tcPr>
            <w:tcW w:w="148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textAlignment w:val="baseline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Наименование продукции (позиция № 1.1 Таблицы 2.3): ОКПД2 27.11.61.120 Поставка крышки верхнего генераторного подшипника для выполнения работ на Новосибирской ГЭС</w:t>
            </w:r>
          </w:p>
        </w:tc>
      </w:tr>
      <w:tr>
        <w:trPr>
          <w:trHeight w:val="544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Наименование продукции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Наименование параметра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Требование заказчика</w:t>
            </w:r>
          </w:p>
        </w:tc>
      </w:tr>
      <w:tr>
        <w:trPr>
          <w:trHeight w:val="273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sz w:val="20"/>
              </w:rPr>
              <w:t>3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sz w:val="20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1.</w:t>
            </w:r>
          </w:p>
        </w:tc>
        <w:tc>
          <w:tcPr>
            <w:tcW w:w="14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90" w:hRule="atLeast"/>
        </w:trPr>
        <w:tc>
          <w:tcPr>
            <w:tcW w:w="8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1.1</w:t>
            </w:r>
          </w:p>
        </w:tc>
        <w:tc>
          <w:tcPr>
            <w:tcW w:w="368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rPr/>
            </w:pPr>
            <w:r>
              <w:rPr>
                <w:color w:val="000000"/>
                <w:szCs w:val="24"/>
              </w:rPr>
              <w:t>Крышка с уплотнениями верхнего генераторного подшипника</w:t>
            </w:r>
          </w:p>
        </w:tc>
        <w:tc>
          <w:tcPr>
            <w:tcW w:w="3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Конструкция</w:t>
            </w:r>
          </w:p>
        </w:tc>
        <w:tc>
          <w:tcPr>
            <w:tcW w:w="7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 соответствии с чертежом 1М52722 “Уплотнение наружное” допускается доработка конструкции с целью улучшения конструкции и облегчения сборки.</w:t>
            </w:r>
          </w:p>
        </w:tc>
      </w:tr>
      <w:tr>
        <w:trPr>
          <w:trHeight w:val="90" w:hRule="atLeast"/>
        </w:trPr>
        <w:tc>
          <w:tcPr>
            <w:tcW w:w="8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68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rPr/>
            </w:pPr>
            <w:r>
              <w:rPr/>
            </w:r>
          </w:p>
        </w:tc>
        <w:tc>
          <w:tcPr>
            <w:tcW w:w="3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Материал</w:t>
            </w:r>
          </w:p>
        </w:tc>
        <w:tc>
          <w:tcPr>
            <w:tcW w:w="7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 соответствии с чертежом 1М52722 “Уплотнение наружное” допускается изменение материалов с целью улучшения конструкции.</w:t>
            </w:r>
          </w:p>
        </w:tc>
      </w:tr>
      <w:tr>
        <w:trPr/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2.</w:t>
            </w:r>
          </w:p>
        </w:tc>
        <w:tc>
          <w:tcPr>
            <w:tcW w:w="140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Место поставки</w:t>
            </w:r>
          </w:p>
        </w:tc>
        <w:tc>
          <w:tcPr>
            <w:tcW w:w="1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Производственный участок АО «Гидроремонт-ВКК» в г. Новосибирск, 630056, Новосибирская обл., г. Новосибирск, ул. Новоморская, д. 4/1.</w:t>
            </w:r>
          </w:p>
        </w:tc>
      </w:tr>
      <w:tr>
        <w:trPr/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Приемка продукции</w:t>
            </w:r>
          </w:p>
        </w:tc>
        <w:tc>
          <w:tcPr>
            <w:tcW w:w="1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Приемка продукции осуществляется только в рабочие дни с 9-00 до 11-00 и с 13-00 до 16-00.</w:t>
            </w:r>
          </w:p>
        </w:tc>
      </w:tr>
      <w:tr>
        <w:trPr/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2.3</w:t>
            </w:r>
          </w:p>
        </w:tc>
        <w:tc>
          <w:tcPr>
            <w:tcW w:w="14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/>
                <w:szCs w:val="24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  по тел. 8 (383) 379-07-74</w:t>
            </w:r>
          </w:p>
        </w:tc>
      </w:tr>
      <w:tr>
        <w:trPr/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3.</w:t>
            </w:r>
          </w:p>
        </w:tc>
        <w:tc>
          <w:tcPr>
            <w:tcW w:w="14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b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3.1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Сроки гарантии</w:t>
            </w:r>
          </w:p>
        </w:tc>
        <w:tc>
          <w:tcPr>
            <w:tcW w:w="1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Не более 24 (двадцать четырех) месяцев, исчисляемый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</w:t>
            </w:r>
          </w:p>
        </w:tc>
      </w:tr>
      <w:tr>
        <w:trPr/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4.</w:t>
            </w:r>
          </w:p>
        </w:tc>
        <w:tc>
          <w:tcPr>
            <w:tcW w:w="14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4.1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Cs w:val="24"/>
              </w:rPr>
              <w:t>Документы, передаваемые вместе с продукцией</w:t>
            </w:r>
          </w:p>
        </w:tc>
        <w:tc>
          <w:tcPr>
            <w:tcW w:w="1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Cs w:val="24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 </w:t>
            </w:r>
            <w:r>
              <w:rPr/>
              <w:t>со штампом отдела технического контроля (ОТК) изготовителя.</w:t>
            </w:r>
            <w:r>
              <w:rPr>
                <w:szCs w:val="24"/>
              </w:rPr>
              <w:t>; товарную накладную унифицированной формы ТОРГ-12(УПД) в 2 экз.</w:t>
            </w:r>
            <w:r>
              <w:rPr>
                <w:bCs/>
                <w:szCs w:val="24"/>
              </w:rPr>
              <w:t>, транспортную накладную</w:t>
            </w:r>
          </w:p>
        </w:tc>
      </w:tr>
      <w:tr>
        <w:trPr/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5.</w:t>
            </w:r>
          </w:p>
        </w:tc>
        <w:tc>
          <w:tcPr>
            <w:tcW w:w="14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  <w:szCs w:val="24"/>
                <w:lang w:eastAsia="ru-RU"/>
              </w:rPr>
              <w:t>Прочие (дополнительные) требования к продукции</w:t>
            </w:r>
          </w:p>
        </w:tc>
      </w:tr>
      <w:tr>
        <w:trPr/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5.1</w:t>
            </w:r>
          </w:p>
        </w:tc>
        <w:tc>
          <w:tcPr>
            <w:tcW w:w="14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Cs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Cs/>
                <w:szCs w:val="24"/>
                <w:lang w:eastAsia="x-none"/>
              </w:rPr>
              <w:t>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Продукция поставщика должна быть пригодна для ремонта гидроагрегатов Филиала ПАО «РусГидро» - «Новосибирская ГЭС» и соответствовать техническим параметрам, стандартам и требованиям для данной продукции, в том числе общеизвестным техническим параметрам, а также соответствовать стандартам и требованиям для данной продукции, установленных нормативными регламентами и законодательством Российской Федерации. В случае наличия особенностей производства продукции, особенности технических параметров продукции или отступления от стандартов, поставщик обязан согласовывать это с Покупателем.</w:t>
            </w:r>
          </w:p>
        </w:tc>
      </w:tr>
    </w:tbl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1457" w:right="1134" w:gutter="0" w:header="0" w:top="870" w:footer="1121" w:bottom="1178"/>
          <w:pgNumType w:fmt="decimal"/>
          <w:formProt w:val="false"/>
          <w:textDirection w:val="lrTb"/>
          <w:docGrid w:type="default" w:linePitch="100" w:charSpace="0"/>
        </w:sectPr>
        <w:pStyle w:val="Normal"/>
        <w:rPr/>
      </w:pPr>
      <w:r>
        <w:rPr/>
      </w:r>
    </w:p>
    <w:p>
      <w:pPr>
        <w:pStyle w:val="Heading1"/>
        <w:numPr>
          <w:ilvl w:val="0"/>
          <w:numId w:val="0"/>
        </w:numPr>
        <w:ind w:left="1353" w:hanging="0"/>
        <w:jc w:val="both"/>
        <w:rPr/>
      </w:pPr>
      <w:r>
        <w:rPr>
          <w:color w:val="000000"/>
          <w:sz w:val="24"/>
        </w:rPr>
        <w:t>3. Требования к документации по ценообразованию на этапе закупки</w:t>
      </w:r>
    </w:p>
    <w:p>
      <w:pPr>
        <w:pStyle w:val="Normal"/>
        <w:jc w:val="both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ListParagraph"/>
        <w:widowControl w:val="false"/>
        <w:numPr>
          <w:ilvl w:val="1"/>
          <w:numId w:val="9"/>
        </w:numPr>
        <w:suppressAutoHyphens w:val="true"/>
        <w:bidi w:val="0"/>
        <w:spacing w:before="0" w:after="0"/>
        <w:ind w:left="0" w:right="0" w:firstLine="737"/>
        <w:contextualSpacing/>
        <w:jc w:val="both"/>
        <w:rPr>
          <w:sz w:val="24"/>
          <w:szCs w:val="24"/>
        </w:rPr>
      </w:pPr>
      <w:r>
        <w:rPr>
          <w:i w:val="false"/>
          <w:iCs w:val="false"/>
          <w:color w:val="000000"/>
          <w:sz w:val="24"/>
          <w:szCs w:val="24"/>
          <w:lang w:eastAsia="x-none"/>
        </w:rPr>
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</w:r>
    </w:p>
    <w:p>
      <w:pPr>
        <w:pStyle w:val="ListParagraph"/>
        <w:widowControl w:val="false"/>
        <w:numPr>
          <w:ilvl w:val="1"/>
          <w:numId w:val="9"/>
        </w:numPr>
        <w:suppressAutoHyphens w:val="true"/>
        <w:bidi w:val="0"/>
        <w:spacing w:before="0" w:after="0"/>
        <w:ind w:left="0" w:right="0" w:firstLine="737"/>
        <w:contextualSpacing/>
        <w:jc w:val="both"/>
        <w:rPr>
          <w:sz w:val="24"/>
          <w:szCs w:val="24"/>
        </w:rPr>
      </w:pPr>
      <w:r>
        <w:rPr>
          <w:i w:val="false"/>
          <w:iCs w:val="false"/>
          <w:color w:val="000000"/>
          <w:sz w:val="24"/>
          <w:szCs w:val="24"/>
          <w:lang w:eastAsia="x-none"/>
        </w:rPr>
        <w:t>Продукция поставщика должна быть пригодна для ремонта гидроагрегатов Филиала ПАО «РусГидро» - «Новосибирская ГЭС» и соответствовать техническим параметрам, стандартам и требованиям для данной продукции, в том числе общеизвестным техническим параметрам, а также соответствовать стандартам и требованиям для данной продукции, установленных нормативными регламентами и законодательством Российской Федерации. В случае наличия особенностей производства продукции, особенности технических параметров продукции или отступления от стандартов, поставщик обязан согласовывать это с Покупателем.</w:t>
      </w:r>
    </w:p>
    <w:p>
      <w:pPr>
        <w:pStyle w:val="ListParagraph"/>
        <w:widowControl w:val="false"/>
        <w:numPr>
          <w:ilvl w:val="1"/>
          <w:numId w:val="9"/>
        </w:numPr>
        <w:suppressAutoHyphens w:val="true"/>
        <w:bidi w:val="0"/>
        <w:spacing w:before="0" w:after="0"/>
        <w:ind w:left="0" w:right="0" w:firstLine="737"/>
        <w:contextualSpacing/>
        <w:jc w:val="both"/>
        <w:rPr>
          <w:sz w:val="24"/>
          <w:szCs w:val="24"/>
        </w:rPr>
      </w:pPr>
      <w:r>
        <w:rPr>
          <w:i w:val="false"/>
          <w:iCs w:val="false"/>
          <w:color w:val="000000"/>
          <w:sz w:val="24"/>
          <w:szCs w:val="24"/>
          <w:lang w:eastAsia="x-none"/>
        </w:rPr>
        <w:t>Покупателем чертежи и конструкторская документация на продукцию не предоставляются. Победитель обязан самостоятельно урегулировать с третьими лицами все вопросы необходимости использования прав третьих лиц на охраняемые результаты интеллектуальной деятельности и на средства индивидуализации при производстве Победителем продукции. Продукция должна не нарушать права третьих лиц на охраняемые результат интеллектуальной деятельности и на средства индивидуализации</w:t>
      </w:r>
    </w:p>
    <w:p>
      <w:pPr>
        <w:pStyle w:val="ListParagraph"/>
        <w:widowControl w:val="false"/>
        <w:numPr>
          <w:ilvl w:val="1"/>
          <w:numId w:val="9"/>
        </w:numPr>
        <w:suppressAutoHyphens w:val="true"/>
        <w:bidi w:val="0"/>
        <w:spacing w:before="0" w:after="0"/>
        <w:ind w:left="0" w:right="0" w:firstLine="737"/>
        <w:contextualSpacing/>
        <w:jc w:val="both"/>
        <w:rPr>
          <w:sz w:val="24"/>
          <w:szCs w:val="24"/>
        </w:rPr>
      </w:pPr>
      <w:r>
        <w:rPr>
          <w:i w:val="false"/>
          <w:iCs w:val="false"/>
          <w:color w:val="000000"/>
          <w:sz w:val="24"/>
          <w:szCs w:val="24"/>
          <w:lang w:eastAsia="x-none"/>
        </w:rPr>
        <w:t>Победитель гарантирует предварительно самостоятельно и за свой счет урегулировать с правообладателями прав на охраняемые результат интеллектуальной деятельности и на средства индивидуализации все вопросы связанные с использованием  прав третьих лиц на охраняемые  результаты интеллектуальной деятельности и средства индивидуализации в случае необходимости их использования при производстве продукции Победителем, а также по первому требованию Покупателя в течение 3 (трех) рабочих дней предоставить документы, подтверждающие соблюдение прав третьих лиц на охраняемые результаты интеллектуальной деятельности и на средства индивидуализации, а равно документы, подтверждающие законность использования Победителем прав третьих лиц на охраняемые результаты интеллектуальной деятельности и на средства индивидуализации при производстве и введении в гражданский оборот продукции, произведенной Победителем.</w:t>
      </w:r>
    </w:p>
    <w:p>
      <w:pPr>
        <w:pStyle w:val="ListParagraph"/>
        <w:widowControl w:val="false"/>
        <w:numPr>
          <w:ilvl w:val="1"/>
          <w:numId w:val="9"/>
        </w:numPr>
        <w:suppressAutoHyphens w:val="true"/>
        <w:bidi w:val="0"/>
        <w:spacing w:before="0" w:after="0"/>
        <w:ind w:left="0" w:right="0" w:firstLine="737"/>
        <w:contextualSpacing/>
        <w:jc w:val="both"/>
        <w:rPr>
          <w:sz w:val="24"/>
          <w:szCs w:val="24"/>
        </w:rPr>
      </w:pPr>
      <w:r>
        <w:rPr>
          <w:bCs/>
          <w:i w:val="false"/>
          <w:iCs w:val="false"/>
          <w:color w:val="000000"/>
          <w:sz w:val="24"/>
          <w:szCs w:val="24"/>
          <w:lang w:eastAsia="x-none"/>
        </w:rPr>
        <w:t>В случае поступления каких-либо претензий, требований, исков в адрес Покупателя от любых третьих лиц в отношении результатов интеллектуальной деятельности и средств индивидуализации, в том числе от любых иных лиц чьи права на результаты интеллектуальной деятельности были нарушены и (или) могли быть нарушены Победитель обязуется незамедлительно после получения соответствующего сообщения от Покупателя в полном объёме урегулировать с этими третьими лицами все вышеуказанные претензии, требования, исковые требования своими силами и за свой счет. В случае нарушения данного условия Победитель обязан возместить Покупателю в полном объеме все понесенные Покупателем убытки в течение 3 (трех) рабочих дней с момента предъявления соответствующего требования Покупателя.</w:t>
      </w:r>
    </w:p>
    <w:sectPr>
      <w:headerReference w:type="defaul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849" w:gutter="0" w:header="720" w:top="1134" w:footer="72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2</w:t>
    </w:r>
    <w:r>
      <w:rPr>
        <w:sz w:val="24"/>
        <w:b/>
        <w:szCs w:val="24"/>
        <w:bCs/>
      </w:rPr>
      <w:fldChar w:fldCharType="end"/>
    </w:r>
    <w:r>
      <w:rPr/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5</w:t>
    </w:r>
    <w:r>
      <w:rPr>
        <w:sz w:val="24"/>
        <w:b/>
        <w:szCs w:val="24"/>
        <w:bCs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3</w:t>
    </w:r>
    <w:r>
      <w:rPr>
        <w:sz w:val="24"/>
        <w:b/>
        <w:szCs w:val="24"/>
        <w:bCs/>
      </w:rPr>
      <w:fldChar w:fldCharType="end"/>
    </w:r>
    <w:r>
      <w:rPr/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5</w:t>
    </w:r>
    <w:r>
      <w:rPr>
        <w:sz w:val="24"/>
        <w:b/>
        <w:szCs w:val="24"/>
        <w:bCs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jc w:val="center"/>
      <w:rPr/>
    </w:pPr>
    <w:r>
      <w:rPr>
        <w:rFonts w:cs="Times New Roman"/>
        <w:b/>
        <w:color w:val="000000"/>
        <w:szCs w:val="24"/>
      </w:rPr>
      <w:t>4</w: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  <mc:AlternateContent>
        <mc:Choice Requires="wps">
          <w:drawing>
            <wp:anchor behindDoc="1" distT="0" distB="635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203200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80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5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457.65pt;margin-top:0.05pt;width:10pt;height:15.9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5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  <mc:AlternateContent>
        <mc:Choice Requires="wps">
          <w:drawing>
            <wp:anchor behindDoc="1" distT="0" distB="635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203200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80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5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457.65pt;margin-top:0.05pt;width:10pt;height:15.9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5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1.%1"/>
      <w:lvlJc w:val="left"/>
      <w:pPr>
        <w:tabs>
          <w:tab w:val="num" w:pos="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5"/>
      <w:numFmt w:val="decimal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  <w:rPr/>
    </w:lvl>
  </w:abstractNum>
  <w:abstractNum w:abstractNumId="9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ahoma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tabs>
        <w:tab w:val="clear" w:pos="720"/>
        <w:tab w:val="left" w:pos="0" w:leader="none"/>
        <w:tab w:val="left" w:pos="709" w:leader="none"/>
      </w:tabs>
      <w:ind w:firstLine="709"/>
      <w:outlineLvl w:val="2"/>
    </w:pPr>
    <w:rPr>
      <w:rFonts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qFormat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qFormat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qFormat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qFormat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qFormat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">
    <w:name w:val="Strong"/>
    <w:uiPriority w:val="22"/>
    <w:qFormat/>
    <w:rPr>
      <w:b/>
      <w:bCs/>
    </w:rPr>
  </w:style>
  <w:style w:type="character" w:styleId="Style10" w:customStyle="1">
    <w:name w:val="Название Знак"/>
    <w:link w:val="15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qFormat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3" w:customStyle="1">
    <w:name w:val="Цитата 2 Знак"/>
    <w:basedOn w:val="DefaultParagraphFont"/>
    <w:link w:val="Quote"/>
    <w:qFormat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qFormat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qFormat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 w:customStyle="1">
    <w:name w:val="Подпункт Знак1"/>
    <w:link w:val="Style26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Pr/>
  </w:style>
  <w:style w:type="character" w:styleId="Style14" w:customStyle="1">
    <w:name w:val="Абзац списка Знак"/>
    <w:link w:val="ListParagraph"/>
    <w:qFormat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3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4" w:customStyle="1">
    <w:name w:val="Пункт2 Знак"/>
    <w:link w:val="26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 w:customStyle="1">
    <w:name w:val="УРОВЕНЬ_1. Знак"/>
    <w:link w:val="19"/>
    <w:qFormat/>
    <w:rPr>
      <w:rFonts w:ascii="Times New Roman" w:hAnsi="Times New Roman" w:eastAsia="Calibri" w:cs="Times New Roman"/>
      <w:caps/>
      <w:sz w:val="28"/>
      <w:szCs w:val="28"/>
    </w:rPr>
  </w:style>
  <w:style w:type="character" w:styleId="13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FontStyle16" w:customStyle="1">
    <w:name w:val="Font Style16"/>
    <w:qFormat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Pr/>
  </w:style>
  <w:style w:type="character" w:styleId="Value" w:customStyle="1">
    <w:name w:val="value"/>
    <w:qFormat/>
    <w:rPr/>
  </w:style>
  <w:style w:type="character" w:styleId="C-gruppedpropsprop-value" w:customStyle="1">
    <w:name w:val="c-gruppedprops__prop-value"/>
    <w:basedOn w:val="DefaultParagraphFont"/>
    <w:qFormat/>
    <w:rPr/>
  </w:style>
  <w:style w:type="character" w:styleId="Label" w:customStyle="1">
    <w:name w:val="label"/>
    <w:basedOn w:val="DefaultParagraphFont"/>
    <w:qFormat/>
    <w:rPr/>
  </w:style>
  <w:style w:type="character" w:styleId="Style18" w:customStyle="1">
    <w:name w:val="Символ нумерации"/>
    <w:qFormat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1" w:customStyle="1">
    <w:name w:val="index heading11111111"/>
    <w:basedOn w:val="Title"/>
    <w:qFormat/>
    <w:pPr/>
    <w:rPr/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11" w:customStyle="1">
    <w:name w:val="index heading111111111"/>
    <w:basedOn w:val="Title"/>
    <w:qFormat/>
    <w:pPr/>
    <w:rPr/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111" w:customStyle="1">
    <w:name w:val="index heading1111111111"/>
    <w:basedOn w:val="Title"/>
    <w:qFormat/>
    <w:pPr/>
    <w:rPr/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1111" w:customStyle="1">
    <w:name w:val="index heading11111111111"/>
    <w:basedOn w:val="Title"/>
    <w:qFormat/>
    <w:pPr/>
    <w:rPr/>
  </w:style>
  <w:style w:type="paragraph" w:styleId="Caption111111111111" w:customStyle="1">
    <w:name w:val="caption11111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11111" w:customStyle="1">
    <w:name w:val="index heading111111111111"/>
    <w:basedOn w:val="Title"/>
    <w:qFormat/>
    <w:pPr/>
    <w:rPr/>
  </w:style>
  <w:style w:type="paragraph" w:styleId="Caption1111111111111" w:customStyle="1">
    <w:name w:val="caption111111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111111" w:customStyle="1">
    <w:name w:val="index heading1111111111111"/>
    <w:basedOn w:val="Title"/>
    <w:qFormat/>
    <w:pPr/>
    <w:rPr/>
  </w:style>
  <w:style w:type="paragraph" w:styleId="Caption11111111111111" w:customStyle="1">
    <w:name w:val="caption1111111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1111111" w:customStyle="1">
    <w:name w:val="index heading11111111111111"/>
    <w:basedOn w:val="Title"/>
    <w:qFormat/>
    <w:pPr/>
    <w:rPr/>
  </w:style>
  <w:style w:type="paragraph" w:styleId="Caption111111111111111" w:customStyle="1">
    <w:name w:val="caption111111111111111"/>
    <w:basedOn w:val="Normal"/>
    <w:next w:val="Normal"/>
    <w:qFormat/>
    <w:pPr/>
    <w:rPr>
      <w:rFonts w:cs="Times New Roman"/>
      <w:b/>
      <w:bCs/>
      <w:color w:val="4F81BD"/>
      <w:sz w:val="18"/>
      <w:szCs w:val="18"/>
      <w:lang w:eastAsia="ru-RU"/>
    </w:rPr>
  </w:style>
  <w:style w:type="paragraph" w:styleId="Indexheading111111111111111" w:customStyle="1">
    <w:name w:val="index heading111111111111111"/>
    <w:basedOn w:val="Title"/>
    <w:qFormat/>
    <w:pPr/>
    <w:rPr/>
  </w:style>
  <w:style w:type="paragraph" w:styleId="Style21" w:customStyle="1">
    <w:name w:val="Раздел положения"/>
    <w:basedOn w:val="Normal"/>
    <w:autoRedefine/>
    <w:qFormat/>
    <w:pPr>
      <w:numPr>
        <w:ilvl w:val="0"/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2" w:customStyle="1">
    <w:name w:val="Подраздел раздела положения"/>
    <w:basedOn w:val="Normal"/>
    <w:autoRedefine/>
    <w:qFormat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3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4" w:customStyle="1">
    <w:name w:val="Название раздела инструкции"/>
    <w:basedOn w:val="Normal"/>
    <w:autoRedefine/>
    <w:qFormat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pPr/>
    <w:rPr>
      <w:rFonts w:eastAsia="Times New Roman" w:cs="Times New Roman"/>
      <w:sz w:val="20"/>
      <w:szCs w:val="20"/>
      <w:lang w:eastAsia="ru-RU"/>
    </w:rPr>
  </w:style>
  <w:style w:type="paragraph" w:styleId="14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5" w:customStyle="1">
    <w:name w:val="Название1"/>
    <w:basedOn w:val="Normal"/>
    <w:link w:val="Style10"/>
    <w:qFormat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pPr>
      <w:tabs>
        <w:tab w:val="clear" w:pos="720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pPr>
      <w:tabs>
        <w:tab w:val="clear" w:pos="720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6" w:customStyle="1">
    <w:name w:val="Подпункт"/>
    <w:basedOn w:val="Normal"/>
    <w:link w:val="11"/>
    <w:qFormat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pPr>
      <w:ind w:left="280" w:hanging="0"/>
    </w:pPr>
    <w:rPr>
      <w:rFonts w:eastAsia="Times New Roman" w:cs="Calibri"/>
      <w:sz w:val="20"/>
      <w:szCs w:val="20"/>
      <w:lang w:eastAsia="ru-RU"/>
    </w:rPr>
  </w:style>
  <w:style w:type="paragraph" w:styleId="Style27" w:customStyle="1">
    <w:name w:val="Раздел регламента"/>
    <w:basedOn w:val="Normal"/>
    <w:qFormat/>
    <w:pPr/>
    <w:rPr>
      <w:rFonts w:eastAsia="Times New Roman" w:cs="Times New Roman"/>
      <w:sz w:val="28"/>
      <w:szCs w:val="28"/>
      <w:lang w:eastAsia="ru-RU"/>
    </w:rPr>
  </w:style>
  <w:style w:type="paragraph" w:styleId="Style28" w:customStyle="1">
    <w:name w:val="Приложение к регламенту"/>
    <w:basedOn w:val="Normal"/>
    <w:qFormat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pPr>
      <w:spacing w:before="240" w:after="0"/>
    </w:pPr>
    <w:rPr>
      <w:rFonts w:eastAsia="Times New Roman" w:cs="Calibr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qFormat/>
    <w:pPr/>
    <w:rPr>
      <w:rFonts w:ascii="Tahoma" w:hAnsi="Tahoma" w:eastAsia="Times New Roman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pPr/>
    <w:rPr>
      <w:b/>
      <w:bCs/>
    </w:rPr>
  </w:style>
  <w:style w:type="paragraph" w:styleId="16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pPr>
      <w:ind w:left="560" w:hanging="0"/>
    </w:pPr>
    <w:rPr>
      <w:rFonts w:eastAsia="Times New Roman" w:cs="Calibr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29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NoSpacing">
    <w:name w:val="No Spacing"/>
    <w:basedOn w:val="Normal"/>
    <w:qFormat/>
    <w:pPr>
      <w:spacing w:lineRule="auto" w:line="360"/>
    </w:pPr>
    <w:rPr>
      <w:rFonts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qFormat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qFormat/>
    <w:pPr>
      <w:spacing w:before="0" w:after="0"/>
      <w:ind w:left="720" w:hanging="0"/>
      <w:contextualSpacing/>
    </w:pPr>
    <w:rPr>
      <w:rFonts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qFormat/>
    <w:pPr/>
    <w:rPr>
      <w:rFonts w:ascii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qFormat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qFormat/>
    <w:pPr/>
    <w:rPr>
      <w:rFonts w:cs="Times New Roman"/>
      <w:szCs w:val="24"/>
      <w:lang w:val="x-none" w:eastAsia="x-none"/>
    </w:rPr>
  </w:style>
  <w:style w:type="paragraph" w:styleId="Style30" w:customStyle="1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pPr>
      <w:numPr>
        <w:ilvl w:val="2"/>
        <w:numId w:val="3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pPr>
      <w:numPr>
        <w:ilvl w:val="0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pPr>
      <w:numPr>
        <w:ilvl w:val="1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1" w:customStyle="1">
    <w:name w:val="Пункт"/>
    <w:basedOn w:val="Normal"/>
    <w:qFormat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2" w:customStyle="1">
    <w:name w:val="Таблица"/>
    <w:basedOn w:val="Normal"/>
    <w:qFormat/>
    <w:pPr>
      <w:keepNext w:val="true"/>
      <w:spacing w:before="60" w:after="60"/>
      <w:jc w:val="center"/>
    </w:pPr>
    <w:rPr>
      <w:rFonts w:cs="Times New Roman"/>
      <w:b/>
      <w:szCs w:val="24"/>
      <w:lang w:val="x-none" w:eastAsia="x-none"/>
    </w:rPr>
  </w:style>
  <w:style w:type="paragraph" w:styleId="Style33" w:customStyle="1">
    <w:name w:val="Подподпункт"/>
    <w:basedOn w:val="Style26"/>
    <w:link w:val="Style15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4" w:customStyle="1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ind w:left="1728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ind w:left="2232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ind w:left="3240" w:hanging="108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5" w:customStyle="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ind w:left="2736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6" w:customStyle="1">
    <w:name w:val="Таблица текст"/>
    <w:basedOn w:val="Normal"/>
    <w:qFormat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19" w:customStyle="1">
    <w:name w:val="УРОВЕНЬ_1."/>
    <w:basedOn w:val="ListParagraph"/>
    <w:link w:val="12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Style37" w:customStyle="1">
    <w:name w:val="Знак Знак Знак Знак"/>
    <w:basedOn w:val="Normal"/>
    <w:qFormat/>
    <w:pPr>
      <w:suppressAutoHyphens w:val="false"/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pPr>
      <w:keepNext w:val="true"/>
      <w:keepLines/>
      <w:tabs>
        <w:tab w:val="clear" w:pos="720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pPr>
      <w:tabs>
        <w:tab w:val="clear" w:pos="720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0" w:customStyle="1">
    <w:name w:val="Обычный1"/>
    <w:qFormat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8" w:customStyle="1">
    <w:name w:val="Пункт договора"/>
    <w:basedOn w:val="Normal"/>
    <w:qFormat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39" w:customStyle="1">
    <w:name w:val="Подпункт договора"/>
    <w:basedOn w:val="Normal"/>
    <w:qFormat/>
    <w:pPr>
      <w:tabs>
        <w:tab w:val="clear" w:pos="720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40" w:customStyle="1">
    <w:name w:val="Обычный+ без отступа"/>
    <w:basedOn w:val="Normal"/>
    <w:qFormat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111" w:customStyle="1">
    <w:name w:val="Знак Знак Знак Знак1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211" w:customStyle="1">
    <w:name w:val="Обычный2"/>
    <w:qFormat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Jss308" w:customStyle="1">
    <w:name w:val="jss308"/>
    <w:basedOn w:val="Normal"/>
    <w:qFormat/>
    <w:pPr>
      <w:suppressAutoHyphens w:val="false"/>
      <w:spacing w:before="280" w:after="280"/>
    </w:pPr>
    <w:rPr>
      <w:rFonts w:eastAsia="Times New Roman" w:cs="Times New Roman"/>
      <w:szCs w:val="24"/>
      <w:lang w:eastAsia="ru-RU"/>
    </w:rPr>
  </w:style>
  <w:style w:type="paragraph" w:styleId="Style4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2" w:customStyle="1">
    <w:name w:val="Заголовок таблицы"/>
    <w:basedOn w:val="Style41"/>
    <w:qFormat/>
    <w:pPr>
      <w:jc w:val="center"/>
    </w:pPr>
    <w:rPr>
      <w:b/>
      <w:bCs/>
    </w:rPr>
  </w:style>
  <w:style w:type="paragraph" w:styleId="Style43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qFormat/>
  </w:style>
  <w:style w:type="numbering" w:styleId="212" w:customStyle="1">
    <w:name w:val="Стиль2"/>
    <w:qFormat/>
  </w:style>
  <w:style w:type="numbering" w:styleId="113" w:customStyle="1">
    <w:name w:val="Нет списка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header" Target="header1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10190</TotalTime>
  <Application>AlterOffice/3.4.0.9$Linux_X86_64 LibreOffice_project/b8daf9e823b1a5463a2f48435ddc2e8696e7d4fc</Application>
  <AppVersion>15.0000</AppVersion>
  <Pages>5</Pages>
  <Words>986</Words>
  <Characters>7349</Characters>
  <CharactersWithSpaces>8240</CharactersWithSpaces>
  <Paragraphs>96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2023-12-07T22:27:00Z</dcterms:created>
  <dc:creator>Вашкевич Ольга Владимировна</dc:creator>
  <dc:description/>
  <dc:language>ru-RU</dc:language>
  <cp:lastModifiedBy>sinelnikovakp@corp.gidroogk.com</cp:lastModifiedBy>
  <cp:lastPrinted>2024-10-29T11:16:00Z</cp:lastPrinted>
  <dcterms:modified xsi:type="dcterms:W3CDTF">2026-08-10T11:25:07Z</dcterms:modified>
  <cp:revision>1221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