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1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er10.xml" ContentType="application/vnd.openxmlformats-officedocument.wordprocessingml.footer+xml"/>
  <Override PartName="/word/footer1.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footer5.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header9.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проведенной закупки у единственного поставщика (исполнителя, подрядчика) на право заключения договора «ОКПД2 ______» по лоту №_____, что подтверждается Решением № ______ от ______,</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и Техническим требованиям </w:t>
      </w:r>
      <w:r>
        <w:rPr>
          <w:b/>
          <w:bCs/>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Производственный участок АО «Гидроремонт-ВКК» в г. Новосибирск, Российская Федерация, г. Новосибирск, ул. Новоморская, д. 4/1.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в течение 210 календарный дней с даты подписания Договора.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(22 %)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50% от стоимости продукции согласно Спецификации (Приложение№ 1) производится Покупателем в течении 10 календарных дней с момента подписания договора,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Платеж в размере 40% от стоимости продукции согласно Спецификации (Приложение № 1) производится Покупателем в срок не более 30 (тридцати) календарных дней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2.5.3. Обеспечительный платеж в размере 10% (десяти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 xml:space="preserve"> </w:t>
      </w: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0"/>
          <w:numId w:val="0"/>
        </w:numPr>
        <w:tabs>
          <w:tab w:val="clear" w:pos="720"/>
          <w:tab w:val="left" w:pos="0" w:leader="none"/>
          <w:tab w:val="left" w:pos="851" w:leader="none"/>
        </w:tabs>
        <w:spacing w:before="0" w:after="120"/>
        <w:ind w:left="0" w:hanging="0"/>
        <w:contextualSpacing w:val="false"/>
        <w:jc w:val="both"/>
        <w:rPr/>
      </w:pPr>
      <w: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w:t>
      </w:r>
      <w:r>
        <w:rPr>
          <w:sz w:val="24"/>
          <w:szCs w:val="24"/>
          <w:shd w:fill="auto" w:val="clear"/>
        </w:rPr>
        <w:t xml:space="preserve">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2">
        <w:r>
          <w:rPr>
            <w:rStyle w:val="Hyperlink"/>
            <w:rFonts w:cs="Times New Roman"/>
            <w:color w:val="000000"/>
            <w:sz w:val="24"/>
            <w:szCs w:val="24"/>
            <w:u w:val="none"/>
            <w:shd w:fill="auto" w:val="clear"/>
          </w:rPr>
          <w:t>Постановления Правительства РФ от 21.12.2020 № 2200 (ред. от 30.12.2022</w:t>
        </w:r>
      </w:hyperlink>
      <w:r>
        <w:rPr>
          <w:rFonts w:cs="Times New Roman"/>
          <w:sz w:val="24"/>
          <w:szCs w:val="24"/>
          <w:shd w:fill="auto" w:val="clear"/>
        </w:rPr>
        <w:t>))</w:t>
      </w:r>
      <w:r>
        <w:rPr>
          <w:sz w:val="24"/>
          <w:szCs w:val="24"/>
          <w:shd w:fill="auto"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 xml:space="preserve">товарно-транспортную накладную формы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auto" w:val="clear"/>
        </w:rPr>
        <w:t xml:space="preserve">(в ред. </w:t>
      </w:r>
      <w:hyperlink r:id="rId3">
        <w:r>
          <w:rPr>
            <w:rStyle w:val="Hyperlink"/>
            <w:rFonts w:cs="Times New Roman"/>
            <w:color w:val="000000"/>
            <w:sz w:val="24"/>
            <w:szCs w:val="24"/>
            <w:u w:val="none"/>
            <w:shd w:fill="auto" w:val="clear"/>
          </w:rPr>
          <w:t>Постановления Правительства РФ от 21.12.2020 № 2200 (ред. от 30.12.2022</w:t>
        </w:r>
      </w:hyperlink>
      <w:r>
        <w:rPr>
          <w:rFonts w:cs="Times New Roman"/>
          <w:color w:val="000000"/>
          <w:sz w:val="24"/>
          <w:szCs w:val="24"/>
          <w:shd w:fill="auto"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4">
        <w:r>
          <w:rPr>
            <w:rStyle w:val="Hyperlink"/>
            <w:rFonts w:cs="Times New Roman"/>
            <w:color w:val="000000"/>
            <w:sz w:val="24"/>
            <w:szCs w:val="24"/>
            <w:u w:val="none"/>
            <w:shd w:fill="auto" w:val="clear"/>
          </w:rPr>
          <w:t>Постановления Правительства РФ от 21.12.2020 № 2200 (ред. от 30.12.2022</w:t>
        </w:r>
      </w:hyperlink>
      <w:r>
        <w:rPr>
          <w:rFonts w:cs="Times New Roman"/>
          <w:sz w:val="24"/>
          <w:szCs w:val="24"/>
          <w:shd w:fill="auto" w:val="clear"/>
        </w:rPr>
        <w:t>))</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w:t>
      </w:r>
      <w:r>
        <w:rPr>
          <w:sz w:val="24"/>
          <w:szCs w:val="24"/>
        </w:rPr>
        <w:t>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более 24 (двадцать четырех)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2" w:name="_Hlk130023773"/>
      <w:r>
        <w:rPr>
          <w:sz w:val="24"/>
          <w:szCs w:val="24"/>
          <w:shd w:fill="auto" w:val="clear"/>
        </w:rPr>
        <w:t xml:space="preserve">В случае </w:t>
      </w:r>
      <w:bookmarkStart w:id="3" w:name="_Hlk130023740"/>
      <w:r>
        <w:rPr>
          <w:sz w:val="24"/>
          <w:szCs w:val="24"/>
          <w:shd w:fill="auto" w:val="clear"/>
        </w:rPr>
        <w:t xml:space="preserve">нарушения </w:t>
      </w:r>
      <w:bookmarkEnd w:id="3"/>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2"/>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4"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4"/>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numPr>
          <w:ilvl w:val="0"/>
          <w:numId w:val="0"/>
        </w:numPr>
        <w:tabs>
          <w:tab w:val="clear" w:pos="720"/>
          <w:tab w:val="left" w:pos="567" w:leader="none"/>
        </w:tabs>
        <w:spacing w:before="0" w:after="120"/>
        <w:ind w:left="0" w:firstLine="567"/>
        <w:jc w:val="both"/>
        <w:outlineLvl w:val="0"/>
        <w:rPr/>
      </w:pPr>
      <w:r>
        <w:rPr>
          <w:sz w:val="24"/>
          <w:szCs w:val="24"/>
          <w:shd w:fill="auto" w:val="clear"/>
        </w:rPr>
        <w:t>6.14. Максимальный совокупный размер ответственности Поставщика по всем видам ответственности (в том числе неустойки (штрафы, пени)), обязательствам по возмещению убытков, не может превышать 20% от цены Договора. При этом ответственность Поставщика за убытки, причиненные Покупателю, ограничивается возмещением фактически понесенного документально подтвержденного реального ущерба с учетом ограничения, установленного в настоящем пункте. Упущенная выгода Поставщиком не возмещается.</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5" w:name="Par2"/>
      <w:bookmarkEnd w:id="5"/>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tabs>
          <w:tab w:val="clear" w:pos="720"/>
        </w:tabs>
        <w:overflowPunct w:val="false"/>
        <w:spacing w:before="0" w:after="120"/>
        <w:ind w:left="567" w:hanging="0"/>
        <w:jc w:val="both"/>
        <w:textAlignment w:val="baseline"/>
        <w:rPr>
          <w:b w:val="false"/>
          <w:sz w:val="24"/>
          <w:szCs w:val="24"/>
        </w:rPr>
      </w:pPr>
      <w:r>
        <w:rPr>
          <w:b w:val="false"/>
          <w:sz w:val="24"/>
          <w:szCs w:val="24"/>
        </w:rPr>
        <w:t>- Приложение № 2 — Технические требования.</w:t>
      </w:r>
    </w:p>
    <w:p>
      <w:pPr>
        <w:pStyle w:val="Normal"/>
        <w:spacing w:before="0" w:after="120"/>
        <w:ind w:left="567" w:hanging="567"/>
        <w:rPr>
          <w:sz w:val="24"/>
          <w:szCs w:val="24"/>
        </w:rPr>
      </w:pPr>
      <w:bookmarkStart w:id="6" w:name="sub_1"/>
      <w:r>
        <w:rPr>
          <w:sz w:val="24"/>
          <w:szCs w:val="24"/>
        </w:rPr>
        <w:tab/>
      </w:r>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p>
            <w:pPr>
              <w:pStyle w:val="Normal"/>
              <w:widowControl w:val="false"/>
              <w:rPr>
                <w:b/>
                <w:sz w:val="24"/>
                <w:szCs w:val="24"/>
                <w:u w:val="single"/>
              </w:rPr>
            </w:pPr>
            <w:r>
              <w:rPr>
                <w:b/>
                <w:sz w:val="24"/>
                <w:szCs w:val="24"/>
                <w:u w:val="single"/>
              </w:rPr>
            </w:r>
          </w:p>
        </w:tc>
      </w:tr>
      <w:tr>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Грузополучатель: Производственный участок АО «Гидроремонт-ВКК» в г. Новосибирск</w:t>
            </w:r>
          </w:p>
          <w:p>
            <w:pPr>
              <w:pStyle w:val="Normal"/>
              <w:widowControl w:val="false"/>
              <w:rPr>
                <w:sz w:val="24"/>
                <w:szCs w:val="24"/>
              </w:rPr>
            </w:pPr>
            <w:r>
              <w:rPr>
                <w:sz w:val="24"/>
                <w:szCs w:val="24"/>
              </w:rPr>
              <w:t>Место нахождения: 630056, Новосибирская обл., г. Новосибирск, ул. Новоморская, 4</w:t>
            </w:r>
          </w:p>
          <w:p>
            <w:pPr>
              <w:pStyle w:val="Normal"/>
              <w:widowControl w:val="false"/>
              <w:rPr>
                <w:sz w:val="24"/>
                <w:szCs w:val="24"/>
              </w:rPr>
            </w:pPr>
            <w:r>
              <w:rPr>
                <w:sz w:val="24"/>
                <w:szCs w:val="24"/>
              </w:rPr>
              <w:t>ИНН 6345012488 КПП 540845001</w:t>
            </w:r>
          </w:p>
          <w:p>
            <w:pPr>
              <w:pStyle w:val="Normal"/>
              <w:widowControl w:val="false"/>
              <w:rPr>
                <w:sz w:val="24"/>
                <w:szCs w:val="24"/>
              </w:rPr>
            </w:pPr>
            <w:r>
              <w:rPr>
                <w:sz w:val="24"/>
                <w:szCs w:val="24"/>
              </w:rPr>
              <w:t>Почтовый адрес: 655619, Российская Федерация, Республика Хакасия,</w:t>
            </w:r>
          </w:p>
          <w:p>
            <w:pPr>
              <w:pStyle w:val="Normal"/>
              <w:widowControl w:val="false"/>
              <w:rPr>
                <w:sz w:val="24"/>
                <w:szCs w:val="24"/>
              </w:rPr>
            </w:pPr>
            <w:r>
              <w:rPr>
                <w:sz w:val="24"/>
                <w:szCs w:val="24"/>
              </w:rPr>
              <w:t>г. Саяногорск, рп. Черемушки, д. 103, а/я 31</w:t>
            </w:r>
          </w:p>
          <w:p>
            <w:pPr>
              <w:pStyle w:val="Normal"/>
              <w:widowControl w:val="false"/>
              <w:rPr>
                <w:sz w:val="24"/>
                <w:szCs w:val="24"/>
              </w:rPr>
            </w:pPr>
            <w:r>
              <w:rPr>
                <w:sz w:val="24"/>
                <w:szCs w:val="24"/>
              </w:rPr>
              <w:t>ИНН 6345012488 КПП 190243001</w:t>
            </w:r>
          </w:p>
          <w:p>
            <w:pPr>
              <w:pStyle w:val="Normal"/>
              <w:widowControl w:val="false"/>
              <w:rPr>
                <w:sz w:val="24"/>
                <w:szCs w:val="24"/>
              </w:rPr>
            </w:pPr>
            <w:r>
              <w:rPr>
                <w:sz w:val="24"/>
                <w:szCs w:val="24"/>
              </w:rPr>
              <w:t>ОГРН 1036301733005 ОКПО 23337446</w:t>
            </w:r>
          </w:p>
          <w:p>
            <w:pPr>
              <w:pStyle w:val="Normal"/>
              <w:widowControl w:val="false"/>
              <w:rPr>
                <w:sz w:val="24"/>
              </w:rPr>
            </w:pPr>
            <w:r>
              <w:rPr>
                <w:sz w:val="24"/>
              </w:rPr>
              <w:t>Плательщик: Саяно-Шушенский филиал</w:t>
            </w:r>
          </w:p>
          <w:p>
            <w:pPr>
              <w:pStyle w:val="Normal"/>
              <w:widowControl w:val="false"/>
              <w:rPr>
                <w:sz w:val="24"/>
              </w:rPr>
            </w:pPr>
            <w:r>
              <w:rPr>
                <w:sz w:val="24"/>
              </w:rPr>
              <w:t>АО «Гидроремонт-ВКК» в п. Черемушки</w:t>
            </w:r>
          </w:p>
          <w:p>
            <w:pPr>
              <w:pStyle w:val="Normal"/>
              <w:widowControl w:val="false"/>
              <w:rPr>
                <w:sz w:val="24"/>
              </w:rPr>
            </w:pPr>
            <w:r>
              <w:rPr>
                <w:sz w:val="24"/>
              </w:rPr>
              <w:t>Р/с 40702810300000092489</w:t>
            </w:r>
          </w:p>
          <w:p>
            <w:pPr>
              <w:pStyle w:val="Normal"/>
              <w:widowControl w:val="false"/>
              <w:rPr>
                <w:sz w:val="24"/>
              </w:rPr>
            </w:pPr>
            <w:r>
              <w:rPr>
                <w:sz w:val="24"/>
              </w:rPr>
              <w:t>Наименование банка: Банк ГПБ (АО), г.Москва</w:t>
            </w:r>
          </w:p>
          <w:p>
            <w:pPr>
              <w:pStyle w:val="Normal"/>
              <w:widowControl w:val="false"/>
              <w:rPr>
                <w:sz w:val="24"/>
              </w:rPr>
            </w:pPr>
            <w:r>
              <w:rPr>
                <w:sz w:val="24"/>
              </w:rPr>
              <w:t>К/с 30101810200000000823</w:t>
            </w:r>
          </w:p>
          <w:p>
            <w:pPr>
              <w:pStyle w:val="Normal"/>
              <w:widowControl w:val="false"/>
              <w:rPr>
                <w:sz w:val="24"/>
              </w:rPr>
            </w:pPr>
            <w:r>
              <w:rPr>
                <w:sz w:val="24"/>
                <w:szCs w:val="24"/>
              </w:rPr>
              <w:t>БИК 044525823</w:t>
            </w:r>
          </w:p>
          <w:p>
            <w:pPr>
              <w:pStyle w:val="Normal"/>
              <w:widowControl w:val="false"/>
              <w:rPr>
                <w:sz w:val="24"/>
                <w:szCs w:val="24"/>
              </w:rPr>
            </w:pPr>
            <w:r>
              <w:rPr>
                <w:sz w:val="24"/>
                <w:szCs w:val="24"/>
              </w:rPr>
              <w:t>Тел. 8 (39042) 7-17-01</w:t>
            </w:r>
          </w:p>
          <w:p>
            <w:pPr>
              <w:pStyle w:val="Normal"/>
              <w:widowControl w:val="false"/>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8">
              <w:r>
                <w:rPr>
                  <w:sz w:val="24"/>
                  <w:szCs w:val="24"/>
                  <w:lang w:val="en-US"/>
                </w:rPr>
                <w:t>sayany</w:t>
              </w:r>
              <w:r>
                <w:rPr>
                  <w:sz w:val="24"/>
                  <w:szCs w:val="24"/>
                </w:rPr>
                <w:t>@</w:t>
              </w:r>
              <w:r>
                <w:rPr>
                  <w:sz w:val="24"/>
                  <w:szCs w:val="24"/>
                  <w:lang w:val="en-US"/>
                </w:rPr>
                <w:t>rushydro</w:t>
              </w:r>
              <w:r>
                <w:rPr>
                  <w:sz w:val="24"/>
                  <w:szCs w:val="24"/>
                </w:rPr>
                <w:t>.</w:t>
              </w:r>
              <w:r>
                <w:rPr>
                  <w:sz w:val="24"/>
                  <w:szCs w:val="24"/>
                  <w:lang w:val="en-US"/>
                </w:rPr>
                <w:t>ru</w:t>
              </w:r>
            </w:hyperlink>
          </w:p>
        </w:tc>
        <w:tc>
          <w:tcPr>
            <w:tcW w:w="4786" w:type="dxa"/>
            <w:tcBorders/>
          </w:tcPr>
          <w:p>
            <w:pPr>
              <w:pStyle w:val="Normal"/>
              <w:widowControl w:val="false"/>
              <w:rPr>
                <w:b/>
                <w:sz w:val="24"/>
                <w:szCs w:val="24"/>
              </w:rPr>
            </w:pPr>
            <w:r>
              <w:rPr>
                <w:b/>
                <w:sz w:val="24"/>
                <w:szCs w:val="24"/>
              </w:rPr>
              <w:t>НПО «ЭЛСИБ» ПАО</w:t>
            </w:r>
          </w:p>
          <w:p>
            <w:pPr>
              <w:pStyle w:val="Normal"/>
              <w:widowControl w:val="false"/>
              <w:rPr>
                <w:sz w:val="24"/>
                <w:szCs w:val="24"/>
              </w:rPr>
            </w:pPr>
            <w:r>
              <w:rPr>
                <w:sz w:val="24"/>
                <w:szCs w:val="24"/>
              </w:rPr>
              <w:t>Юридический адрес: 630088, Российская Федерация, г. Новосибирск, ул. Сибиряков-Гвардейцев, д. 56</w:t>
            </w:r>
          </w:p>
          <w:p>
            <w:pPr>
              <w:pStyle w:val="Normal"/>
              <w:widowControl w:val="false"/>
              <w:rPr>
                <w:sz w:val="24"/>
                <w:szCs w:val="24"/>
              </w:rPr>
            </w:pPr>
            <w:r>
              <w:rPr>
                <w:sz w:val="24"/>
                <w:szCs w:val="24"/>
              </w:rPr>
              <w:t>Почтовый адрес: 630088, Российская Федерация, г. Новосибирск, ул. Сибиряков-Гвардейцев, д. 56</w:t>
            </w:r>
          </w:p>
          <w:p>
            <w:pPr>
              <w:pStyle w:val="Normal"/>
              <w:widowControl w:val="false"/>
              <w:rPr>
                <w:sz w:val="24"/>
                <w:szCs w:val="24"/>
              </w:rPr>
            </w:pPr>
            <w:r>
              <w:rPr>
                <w:sz w:val="24"/>
                <w:szCs w:val="24"/>
              </w:rPr>
              <w:t>ИНН/КПП 5403102702/540301001</w:t>
            </w:r>
          </w:p>
          <w:p>
            <w:pPr>
              <w:pStyle w:val="Normal"/>
              <w:widowControl w:val="false"/>
              <w:rPr>
                <w:sz w:val="24"/>
                <w:szCs w:val="24"/>
              </w:rPr>
            </w:pPr>
            <w:r>
              <w:rPr>
                <w:sz w:val="24"/>
                <w:szCs w:val="24"/>
              </w:rPr>
              <w:t>ОГРН 1025401300748</w:t>
            </w:r>
          </w:p>
          <w:p>
            <w:pPr>
              <w:pStyle w:val="Normal"/>
              <w:widowControl w:val="false"/>
              <w:rPr>
                <w:sz w:val="24"/>
                <w:szCs w:val="24"/>
              </w:rPr>
            </w:pPr>
            <w:r>
              <w:rPr>
                <w:sz w:val="24"/>
                <w:szCs w:val="24"/>
              </w:rPr>
              <w:t>ОКПО 05757937</w:t>
            </w:r>
          </w:p>
          <w:p>
            <w:pPr>
              <w:pStyle w:val="Normal"/>
              <w:widowControl w:val="false"/>
              <w:rPr>
                <w:sz w:val="24"/>
                <w:szCs w:val="24"/>
              </w:rPr>
            </w:pPr>
            <w:r>
              <w:rPr>
                <w:sz w:val="24"/>
                <w:szCs w:val="24"/>
              </w:rPr>
              <w:t>ОКАТО/ОКТМО 50401374000/50701000</w:t>
            </w:r>
          </w:p>
          <w:p>
            <w:pPr>
              <w:pStyle w:val="Normal"/>
              <w:widowControl w:val="false"/>
              <w:rPr>
                <w:sz w:val="24"/>
                <w:szCs w:val="24"/>
              </w:rPr>
            </w:pPr>
            <w:r>
              <w:rPr>
                <w:sz w:val="24"/>
                <w:szCs w:val="24"/>
              </w:rPr>
              <w:t>Р/с: 40702810800000028827</w:t>
            </w:r>
          </w:p>
          <w:p>
            <w:pPr>
              <w:pStyle w:val="Normal"/>
              <w:widowControl w:val="false"/>
              <w:rPr>
                <w:sz w:val="24"/>
                <w:szCs w:val="24"/>
              </w:rPr>
            </w:pPr>
            <w:r>
              <w:rPr>
                <w:sz w:val="24"/>
                <w:szCs w:val="24"/>
              </w:rPr>
              <w:t>Банк ГПБ (АО) в г. Москве</w:t>
            </w:r>
          </w:p>
          <w:p>
            <w:pPr>
              <w:pStyle w:val="Normal"/>
              <w:widowControl w:val="false"/>
              <w:rPr>
                <w:sz w:val="24"/>
                <w:szCs w:val="24"/>
              </w:rPr>
            </w:pPr>
            <w:r>
              <w:rPr>
                <w:sz w:val="24"/>
                <w:szCs w:val="24"/>
              </w:rPr>
              <w:t>К/с: 30101810200000000823 в ГУ Банка России по ЦФО</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Тел/факс: +7 (383) 298-92-80</w:t>
            </w:r>
          </w:p>
          <w:p>
            <w:pPr>
              <w:pStyle w:val="Normal"/>
              <w:widowControl w:val="false"/>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9">
              <w:r>
                <w:rPr>
                  <w:sz w:val="24"/>
                  <w:szCs w:val="24"/>
                  <w:lang w:val="en-US"/>
                </w:rPr>
                <w:t>elsib</w:t>
              </w:r>
              <w:r>
                <w:rPr>
                  <w:sz w:val="24"/>
                  <w:szCs w:val="24"/>
                </w:rPr>
                <w:t>@</w:t>
              </w:r>
              <w:r>
                <w:rPr>
                  <w:sz w:val="24"/>
                  <w:szCs w:val="24"/>
                  <w:lang w:val="en-US"/>
                </w:rPr>
                <w:t>elsib</w:t>
              </w:r>
              <w:r>
                <w:rPr>
                  <w:sz w:val="24"/>
                  <w:szCs w:val="24"/>
                </w:rPr>
                <w:t>.</w:t>
              </w:r>
              <w:r>
                <w:rPr>
                  <w:sz w:val="24"/>
                  <w:szCs w:val="24"/>
                  <w:lang w:val="en-US"/>
                </w:rPr>
                <w:t>ru</w:t>
              </w:r>
            </w:hyperlink>
          </w:p>
          <w:p>
            <w:pPr>
              <w:pStyle w:val="Normal"/>
              <w:widowControl w:val="false"/>
              <w:rPr>
                <w:sz w:val="24"/>
                <w:szCs w:val="24"/>
              </w:rPr>
            </w:pPr>
            <w:r>
              <w:rPr>
                <w:sz w:val="24"/>
                <w:szCs w:val="24"/>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10"/>
          <w:footerReference w:type="even" r:id="rId11"/>
          <w:footerReference w:type="default" r:id="rId12"/>
          <w:footerReference w:type="first" r:id="rId13"/>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№1</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069" w:type="dxa"/>
        <w:jc w:val="left"/>
        <w:tblInd w:w="-62" w:type="dxa"/>
        <w:tblLayout w:type="fixed"/>
        <w:tblCellMar>
          <w:top w:w="0" w:type="dxa"/>
          <w:left w:w="108" w:type="dxa"/>
          <w:bottom w:w="0" w:type="dxa"/>
          <w:right w:w="108" w:type="dxa"/>
        </w:tblCellMar>
        <w:tblLook w:val="04a0" w:noVBand="1" w:noHBand="0" w:lastColumn="0" w:firstColumn="1" w:lastRow="0" w:firstRow="1"/>
      </w:tblPr>
      <w:tblGrid>
        <w:gridCol w:w="679"/>
        <w:gridCol w:w="4142"/>
        <w:gridCol w:w="852"/>
        <w:gridCol w:w="990"/>
        <w:gridCol w:w="1703"/>
        <w:gridCol w:w="1702"/>
      </w:tblGrid>
      <w:tr>
        <w:trPr>
          <w:trHeight w:val="510" w:hRule="atLeast"/>
        </w:trPr>
        <w:tc>
          <w:tcPr>
            <w:tcW w:w="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4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Наименование Продукции</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Ед. изм.</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Кол-во</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Цена (руб.) за единицу</w:t>
            </w:r>
          </w:p>
          <w:p>
            <w:pPr>
              <w:pStyle w:val="Normal"/>
              <w:widowControl w:val="false"/>
              <w:jc w:val="center"/>
              <w:rPr>
                <w:b/>
                <w:bCs/>
              </w:rPr>
            </w:pPr>
            <w:r>
              <w:rPr>
                <w:b/>
                <w:bCs/>
                <w:sz w:val="24"/>
                <w:szCs w:val="24"/>
              </w:rPr>
              <w:t>без НДС</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Сумма (руб.) без НДС</w:t>
            </w:r>
          </w:p>
        </w:tc>
      </w:tr>
      <w:tr>
        <w:trPr>
          <w:trHeight w:val="319" w:hRule="atLeast"/>
        </w:trPr>
        <w:tc>
          <w:tcPr>
            <w:tcW w:w="67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pPr>
            <w:r>
              <w:rPr/>
            </w:r>
          </w:p>
        </w:tc>
        <w:tc>
          <w:tcPr>
            <w:tcW w:w="41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overflowPunct w:val="true"/>
              <w:rPr>
                <w:sz w:val="24"/>
                <w:szCs w:val="24"/>
              </w:rPr>
            </w:pPr>
            <w:r>
              <w:rPr>
                <w:sz w:val="24"/>
                <w:szCs w:val="24"/>
              </w:rPr>
            </w:r>
          </w:p>
        </w:tc>
        <w:tc>
          <w:tcPr>
            <w:tcW w:w="8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7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31"/>
              <w:widowControl w:val="false"/>
              <w:jc w:val="center"/>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31"/>
              <w:widowControl w:val="false"/>
              <w:jc w:val="center"/>
              <w:rPr>
                <w:sz w:val="24"/>
                <w:szCs w:val="24"/>
              </w:rPr>
            </w:pPr>
            <w:r>
              <w:rPr>
                <w:sz w:val="24"/>
                <w:szCs w:val="24"/>
              </w:rPr>
            </w:r>
          </w:p>
        </w:tc>
      </w:tr>
      <w:tr>
        <w:trPr>
          <w:trHeight w:val="237" w:hRule="atLeast"/>
        </w:trPr>
        <w:tc>
          <w:tcPr>
            <w:tcW w:w="836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sz w:val="24"/>
                <w:szCs w:val="24"/>
              </w:rPr>
            </w:pPr>
            <w:r>
              <w:rPr>
                <w:b/>
                <w:bCs/>
                <w:sz w:val="24"/>
                <w:szCs w:val="24"/>
              </w:rPr>
              <w:t>ИТОГО без учета НДС</w:t>
            </w:r>
          </w:p>
        </w:tc>
        <w:tc>
          <w:tcPr>
            <w:tcW w:w="170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bCs/>
                <w:sz w:val="24"/>
                <w:szCs w:val="24"/>
              </w:rPr>
            </w:pPr>
            <w:r>
              <w:rPr>
                <w:b/>
                <w:bCs/>
                <w:sz w:val="24"/>
                <w:szCs w:val="24"/>
              </w:rPr>
            </w:r>
          </w:p>
        </w:tc>
      </w:tr>
      <w:tr>
        <w:trPr>
          <w:trHeight w:val="237" w:hRule="atLeast"/>
        </w:trPr>
        <w:tc>
          <w:tcPr>
            <w:tcW w:w="8366" w:type="dxa"/>
            <w:gridSpan w:val="5"/>
            <w:tcBorders>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bCs/>
                <w:sz w:val="24"/>
                <w:szCs w:val="24"/>
              </w:rPr>
            </w:pPr>
            <w:r>
              <w:rPr>
                <w:b/>
                <w:bCs/>
                <w:sz w:val="24"/>
                <w:szCs w:val="24"/>
              </w:rPr>
              <w:t>Итого сумма НДС</w:t>
            </w:r>
          </w:p>
        </w:tc>
        <w:tc>
          <w:tcPr>
            <w:tcW w:w="1702" w:type="dxa"/>
            <w:tcBorders>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bCs/>
                <w:sz w:val="24"/>
                <w:szCs w:val="24"/>
              </w:rPr>
            </w:pPr>
            <w:r>
              <w:rPr>
                <w:b/>
                <w:bCs/>
                <w:sz w:val="24"/>
                <w:szCs w:val="24"/>
              </w:rPr>
            </w:r>
          </w:p>
        </w:tc>
      </w:tr>
      <w:tr>
        <w:trPr>
          <w:trHeight w:val="237" w:hRule="atLeast"/>
        </w:trPr>
        <w:tc>
          <w:tcPr>
            <w:tcW w:w="8366" w:type="dxa"/>
            <w:gridSpan w:val="5"/>
            <w:tcBorders>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bCs/>
                <w:sz w:val="24"/>
                <w:szCs w:val="24"/>
              </w:rPr>
            </w:pPr>
            <w:r>
              <w:rPr>
                <w:b/>
                <w:bCs/>
                <w:sz w:val="24"/>
                <w:szCs w:val="24"/>
              </w:rPr>
              <w:t>Всего с учетом НДС 22%</w:t>
            </w:r>
          </w:p>
        </w:tc>
        <w:tc>
          <w:tcPr>
            <w:tcW w:w="1702" w:type="dxa"/>
            <w:tcBorders>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bCs/>
                <w:sz w:val="24"/>
                <w:szCs w:val="24"/>
              </w:rPr>
            </w:pPr>
            <w:r>
              <w:rPr>
                <w:b/>
                <w:bCs/>
                <w:sz w:val="24"/>
                <w:szCs w:val="24"/>
              </w:rPr>
            </w:r>
          </w:p>
        </w:tc>
      </w:tr>
    </w:tbl>
    <w:p>
      <w:pPr>
        <w:pStyle w:val="Normal"/>
        <w:rPr/>
      </w:pPr>
      <w:r>
        <w:rPr/>
      </w:r>
    </w:p>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2"/>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Срок поставки Продукции: в течение 210 календарный дней с даты подписания Договора.</w:t>
      </w:r>
    </w:p>
    <w:p>
      <w:pPr>
        <w:pStyle w:val="Normal"/>
        <w:widowControl w:val="false"/>
        <w:numPr>
          <w:ilvl w:val="0"/>
          <w:numId w:val="24"/>
        </w:numPr>
        <w:tabs>
          <w:tab w:val="left" w:pos="720" w:leader="none"/>
        </w:tabs>
        <w:spacing w:before="0" w:after="120"/>
        <w:ind w:left="0" w:firstLine="284"/>
        <w:jc w:val="both"/>
        <w:rPr>
          <w:sz w:val="24"/>
          <w:szCs w:val="24"/>
        </w:rPr>
      </w:pPr>
      <w:r>
        <w:rPr>
          <w:sz w:val="24"/>
          <w:szCs w:val="24"/>
        </w:rPr>
        <w:t xml:space="preserve">На поставляемую Продукцию Поставщик предоставляет следующие документы: счёт-фактура, ТОРГ-12 (УПД), транспортная накладная, сертификат о происхождении Продукции нормативные документы (ГОСТ, ОСТ, ТУ и т.п.), применимые к Продукции. </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2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2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2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2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2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4"/>
          <w:headerReference w:type="first" r:id="rId15"/>
          <w:footerReference w:type="even" r:id="rId16"/>
          <w:footerReference w:type="default" r:id="rId17"/>
          <w:footerReference w:type="first" r:id="rId18"/>
          <w:type w:val="nextPage"/>
          <w:pgSz w:w="11906" w:h="16838"/>
          <w:pgMar w:left="1134" w:right="1416"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к договору поставки</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numPr>
          <w:ilvl w:val="0"/>
          <w:numId w:val="0"/>
        </w:numPr>
        <w:spacing w:before="0" w:after="0"/>
        <w:ind w:left="0" w:right="0" w:hanging="0"/>
        <w:jc w:val="center"/>
        <w:rPr>
          <w:b/>
          <w:bCs/>
          <w:sz w:val="24"/>
          <w:szCs w:val="24"/>
        </w:rPr>
      </w:pPr>
      <w:r>
        <w:rPr>
          <w:b/>
          <w:bCs/>
          <w:i w:val="false"/>
          <w:iCs w:val="false"/>
          <w:color w:val="000000"/>
          <w:sz w:val="24"/>
          <w:szCs w:val="24"/>
          <w:lang w:val="ru-RU" w:eastAsia="x-none"/>
        </w:rPr>
        <w:t>ТЕХНИЧЕСКИЕ ТРЕБОВАНИЯ</w:t>
      </w:r>
    </w:p>
    <w:p>
      <w:pPr>
        <w:pStyle w:val="BodyText"/>
        <w:numPr>
          <w:ilvl w:val="0"/>
          <w:numId w:val="0"/>
        </w:numPr>
        <w:spacing w:before="0" w:after="0"/>
        <w:ind w:left="0" w:right="0" w:hanging="0"/>
        <w:jc w:val="center"/>
        <w:rPr>
          <w:i w:val="false"/>
          <w:i w:val="false"/>
          <w:iCs w:val="false"/>
          <w:color w:val="000000"/>
          <w:lang w:val="ru-RU" w:eastAsia="x-none"/>
        </w:rPr>
      </w:pPr>
      <w:r>
        <w:rPr>
          <w:i w:val="false"/>
          <w:iCs w:val="false"/>
          <w:color w:val="000000"/>
          <w:lang w:val="ru-RU" w:eastAsia="x-none"/>
        </w:rPr>
      </w:r>
    </w:p>
    <w:p>
      <w:pPr>
        <w:pStyle w:val="BodyText"/>
        <w:numPr>
          <w:ilvl w:val="0"/>
          <w:numId w:val="15"/>
        </w:numPr>
        <w:spacing w:before="0" w:after="0"/>
        <w:ind w:left="0" w:right="0" w:hanging="0"/>
        <w:jc w:val="center"/>
        <w:rPr>
          <w:sz w:val="24"/>
          <w:szCs w:val="24"/>
        </w:rPr>
      </w:pPr>
      <w:r>
        <w:rPr>
          <w:b/>
          <w:bCs/>
          <w:i w:val="false"/>
          <w:iCs w:val="false"/>
          <w:color w:val="000000"/>
          <w:sz w:val="24"/>
          <w:szCs w:val="24"/>
          <w:lang w:val="ru-RU" w:eastAsia="x-none"/>
        </w:rPr>
        <w:t>О</w:t>
      </w:r>
      <w:r>
        <w:rPr>
          <w:b/>
          <w:bCs/>
          <w:color w:val="000000"/>
          <w:sz w:val="24"/>
          <w:szCs w:val="24"/>
        </w:rPr>
        <w:t>бщие сведения</w:t>
      </w:r>
    </w:p>
    <w:p>
      <w:pPr>
        <w:pStyle w:val="Heading4"/>
        <w:numPr>
          <w:ilvl w:val="1"/>
          <w:numId w:val="16"/>
        </w:numPr>
        <w:tabs>
          <w:tab w:val="clear" w:pos="720"/>
          <w:tab w:val="left" w:pos="0" w:leader="none"/>
          <w:tab w:val="left" w:pos="709" w:leader="none"/>
        </w:tabs>
        <w:rPr>
          <w:sz w:val="24"/>
          <w:szCs w:val="24"/>
        </w:rPr>
      </w:pPr>
      <w:bookmarkStart w:id="7" w:name="_Toc75446569"/>
      <w:bookmarkStart w:id="8" w:name="_Toc75446568"/>
      <w:bookmarkEnd w:id="7"/>
      <w:bookmarkEnd w:id="8"/>
      <w:r>
        <w:rPr>
          <w:color w:val="000000"/>
          <w:sz w:val="24"/>
          <w:szCs w:val="24"/>
        </w:rPr>
        <w:t>Наименование закупаемой продукции</w:t>
      </w:r>
      <w:bookmarkStart w:id="9" w:name="_Toc46743506"/>
    </w:p>
    <w:p>
      <w:pPr>
        <w:pStyle w:val="Normal"/>
        <w:ind w:left="0" w:right="0" w:firstLine="419"/>
        <w:jc w:val="both"/>
        <w:rPr>
          <w:sz w:val="24"/>
          <w:szCs w:val="24"/>
        </w:rPr>
      </w:pPr>
      <w:r>
        <w:rPr>
          <w:rFonts w:cs="Times New Roman"/>
          <w:color w:val="000000"/>
          <w:sz w:val="24"/>
          <w:szCs w:val="24"/>
        </w:rPr>
        <w:t>ОКПД2 27.11.61.120 Поставка крышки верхнего генераторного подшипника для выполнения работ на Новосибирской ГЭС (далее — продукция).</w:t>
      </w:r>
    </w:p>
    <w:p>
      <w:pPr>
        <w:pStyle w:val="Normal"/>
        <w:ind w:left="0" w:right="0" w:firstLine="419"/>
        <w:rPr>
          <w:rFonts w:cs="Times New Roman"/>
          <w:color w:val="000000"/>
          <w:sz w:val="24"/>
          <w:szCs w:val="24"/>
        </w:rPr>
      </w:pPr>
      <w:r>
        <w:rPr>
          <w:rFonts w:cs="Times New Roman"/>
          <w:color w:val="000000"/>
          <w:sz w:val="24"/>
          <w:szCs w:val="24"/>
        </w:rPr>
      </w:r>
    </w:p>
    <w:p>
      <w:pPr>
        <w:pStyle w:val="Heading4"/>
        <w:numPr>
          <w:ilvl w:val="1"/>
          <w:numId w:val="16"/>
        </w:numPr>
        <w:tabs>
          <w:tab w:val="clear" w:pos="720"/>
          <w:tab w:val="left" w:pos="0" w:leader="none"/>
          <w:tab w:val="left" w:pos="709" w:leader="none"/>
        </w:tabs>
        <w:rPr>
          <w:sz w:val="24"/>
          <w:szCs w:val="24"/>
        </w:rPr>
      </w:pPr>
      <w:bookmarkStart w:id="10" w:name="_Toc75446569_Копия_1"/>
      <w:bookmarkEnd w:id="10"/>
      <w:r>
        <w:rPr>
          <w:color w:val="000000"/>
          <w:sz w:val="24"/>
          <w:szCs w:val="24"/>
        </w:rPr>
        <w:t xml:space="preserve">Цель использования закупаемой продукции </w:t>
      </w:r>
      <w:bookmarkStart w:id="11" w:name="_Toc46743507"/>
    </w:p>
    <w:p>
      <w:pPr>
        <w:pStyle w:val="Heading4"/>
        <w:numPr>
          <w:ilvl w:val="0"/>
          <w:numId w:val="0"/>
        </w:numPr>
        <w:tabs>
          <w:tab w:val="clear" w:pos="720"/>
          <w:tab w:val="left" w:pos="0" w:leader="none"/>
          <w:tab w:val="left" w:pos="709" w:leader="none"/>
        </w:tabs>
        <w:ind w:left="0" w:right="0" w:hanging="0"/>
        <w:rPr/>
      </w:pPr>
      <w:r>
        <w:rPr>
          <w:rStyle w:val="Style7"/>
          <w:b/>
          <w:i w:val="false"/>
          <w:color w:val="000000"/>
          <w:sz w:val="24"/>
          <w:szCs w:val="24"/>
          <w:shd w:fill="FFFFFF" w:val="clear"/>
        </w:rPr>
        <w:t>Исполнение договоров:</w:t>
      </w:r>
    </w:p>
    <w:p>
      <w:pPr>
        <w:pStyle w:val="Normal"/>
        <w:ind w:left="0" w:right="0" w:firstLine="708"/>
        <w:jc w:val="both"/>
        <w:rPr>
          <w:sz w:val="24"/>
          <w:szCs w:val="24"/>
        </w:rPr>
      </w:pPr>
      <w:r>
        <w:rPr>
          <w:color w:val="000000"/>
          <w:sz w:val="24"/>
          <w:szCs w:val="24"/>
        </w:rPr>
        <w:t xml:space="preserve">- </w:t>
      </w:r>
      <w:r>
        <w:rPr>
          <w:rFonts w:cs="Times New Roman"/>
          <w:color w:val="000000"/>
          <w:sz w:val="24"/>
          <w:szCs w:val="24"/>
        </w:rPr>
        <w:t>№4-РЕМ-2023 от 11.10.2023 «Капитальный и текущий ремонт основного и вспомогательного оборудования, зданий и сооружений Филиала ПАО «РусГидро»-«Новосибирская ГЭС».</w:t>
      </w:r>
    </w:p>
    <w:p>
      <w:pPr>
        <w:pStyle w:val="Heading1"/>
        <w:keepNext w:val="true"/>
        <w:widowControl/>
        <w:numPr>
          <w:ilvl w:val="0"/>
          <w:numId w:val="15"/>
        </w:numPr>
        <w:suppressAutoHyphens w:val="true"/>
        <w:bidi w:val="0"/>
        <w:spacing w:before="0" w:after="0"/>
        <w:ind w:left="0" w:right="0" w:hanging="0"/>
        <w:jc w:val="center"/>
        <w:rPr>
          <w:b/>
          <w:bCs/>
          <w:sz w:val="24"/>
          <w:szCs w:val="24"/>
        </w:rPr>
      </w:pPr>
      <w:bookmarkStart w:id="12" w:name="_Toc51339693"/>
      <w:bookmarkStart w:id="13" w:name="_Toc75446573"/>
      <w:bookmarkEnd w:id="12"/>
      <w:bookmarkEnd w:id="13"/>
      <w:r>
        <w:rPr>
          <w:b/>
          <w:bCs/>
          <w:color w:val="000000"/>
          <w:sz w:val="24"/>
          <w:szCs w:val="24"/>
        </w:rPr>
        <w:t>Требования к продукции</w:t>
      </w:r>
    </w:p>
    <w:p>
      <w:pPr>
        <w:pStyle w:val="Normal"/>
        <w:rPr>
          <w:rFonts w:cs="Times New Roman"/>
          <w:color w:val="000000"/>
          <w:sz w:val="24"/>
          <w:szCs w:val="24"/>
          <w:lang w:eastAsia="x-none"/>
        </w:rPr>
      </w:pPr>
      <w:r>
        <w:rPr>
          <w:rFonts w:cs="Times New Roman"/>
          <w:color w:val="000000"/>
          <w:sz w:val="24"/>
          <w:szCs w:val="24"/>
          <w:lang w:eastAsia="x-none"/>
        </w:rPr>
      </w:r>
    </w:p>
    <w:p>
      <w:pPr>
        <w:pStyle w:val="Heading4"/>
        <w:keepNext w:val="true"/>
        <w:widowControl/>
        <w:numPr>
          <w:ilvl w:val="1"/>
          <w:numId w:val="15"/>
        </w:numPr>
        <w:suppressAutoHyphens w:val="true"/>
        <w:bidi w:val="0"/>
        <w:spacing w:before="0" w:after="0"/>
        <w:ind w:left="340" w:right="0" w:hanging="340"/>
        <w:jc w:val="left"/>
        <w:rPr>
          <w:sz w:val="24"/>
          <w:szCs w:val="24"/>
        </w:rPr>
      </w:pPr>
      <w:bookmarkStart w:id="14" w:name="_Toc75446574"/>
      <w:bookmarkEnd w:id="14"/>
      <w:r>
        <w:rPr>
          <w:color w:val="000000"/>
          <w:sz w:val="24"/>
          <w:szCs w:val="24"/>
        </w:rPr>
        <w:t xml:space="preserve">Требования к объемам и срокам </w:t>
      </w:r>
      <w:r>
        <w:rPr>
          <w:color w:val="000000"/>
          <w:sz w:val="24"/>
          <w:szCs w:val="24"/>
          <w:lang w:val="ru-RU"/>
        </w:rPr>
        <w:t>поставки</w:t>
      </w:r>
    </w:p>
    <w:p>
      <w:pPr>
        <w:pStyle w:val="Heading3"/>
        <w:keepNext w:val="true"/>
        <w:widowControl/>
        <w:numPr>
          <w:ilvl w:val="2"/>
          <w:numId w:val="15"/>
        </w:numPr>
        <w:suppressAutoHyphens w:val="true"/>
        <w:bidi w:val="0"/>
        <w:spacing w:before="0" w:after="0"/>
        <w:ind w:left="737" w:right="0" w:hanging="737"/>
        <w:jc w:val="left"/>
        <w:rPr>
          <w:sz w:val="24"/>
          <w:szCs w:val="24"/>
        </w:rPr>
      </w:pPr>
      <w:bookmarkStart w:id="15" w:name="_Toc75446575"/>
      <w:bookmarkEnd w:id="15"/>
      <w:r>
        <w:rPr>
          <w:color w:val="000000"/>
          <w:sz w:val="24"/>
          <w:szCs w:val="24"/>
        </w:rPr>
        <w:t>Перечень и объем закупаемой продукции</w:t>
      </w:r>
    </w:p>
    <w:p>
      <w:pPr>
        <w:pStyle w:val="Normal"/>
        <w:rPr>
          <w:rFonts w:cs="Times New Roman"/>
          <w:color w:val="000000"/>
          <w:sz w:val="24"/>
          <w:szCs w:val="24"/>
          <w:lang w:val="x-none" w:eastAsia="x-none"/>
        </w:rPr>
      </w:pPr>
      <w:r>
        <w:rPr>
          <w:rFonts w:cs="Times New Roman"/>
          <w:color w:val="000000"/>
          <w:sz w:val="24"/>
          <w:szCs w:val="24"/>
          <w:lang w:val="x-none" w:eastAsia="x-none"/>
        </w:rPr>
      </w:r>
    </w:p>
    <w:p>
      <w:pPr>
        <w:pStyle w:val="Normal"/>
        <w:jc w:val="both"/>
        <w:rPr>
          <w:sz w:val="24"/>
          <w:szCs w:val="24"/>
        </w:rPr>
      </w:pPr>
      <w:bookmarkStart w:id="16" w:name="_Toc51339695"/>
      <w:bookmarkStart w:id="17" w:name="_Toc75446576"/>
      <w:bookmarkEnd w:id="16"/>
      <w:bookmarkEnd w:id="17"/>
      <w:r>
        <w:rPr>
          <w:rFonts w:cs="Times New Roman"/>
          <w:color w:val="000000"/>
          <w:sz w:val="24"/>
          <w:szCs w:val="24"/>
        </w:rPr>
        <w:t>Таблица 2.1 Перечень и объем закупаемой продукции</w:t>
      </w:r>
    </w:p>
    <w:tbl>
      <w:tblPr>
        <w:tblW w:w="9336" w:type="dxa"/>
        <w:jc w:val="center"/>
        <w:tblInd w:w="0" w:type="dxa"/>
        <w:tblLayout w:type="fixed"/>
        <w:tblCellMar>
          <w:top w:w="0" w:type="dxa"/>
          <w:left w:w="108" w:type="dxa"/>
          <w:bottom w:w="0" w:type="dxa"/>
          <w:right w:w="108" w:type="dxa"/>
        </w:tblCellMar>
      </w:tblPr>
      <w:tblGrid>
        <w:gridCol w:w="741"/>
        <w:gridCol w:w="5825"/>
        <w:gridCol w:w="1301"/>
        <w:gridCol w:w="1467"/>
      </w:tblGrid>
      <w:tr>
        <w:trPr/>
        <w:tc>
          <w:tcPr>
            <w:tcW w:w="74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720"/>
              </w:tabs>
              <w:jc w:val="center"/>
              <w:rPr>
                <w:sz w:val="24"/>
                <w:szCs w:val="24"/>
              </w:rPr>
            </w:pPr>
            <w:r>
              <w:rPr>
                <w:rFonts w:cs="Times New Roman"/>
                <w:color w:val="000000"/>
                <w:sz w:val="24"/>
                <w:szCs w:val="24"/>
              </w:rPr>
              <w:t>№</w:t>
            </w:r>
          </w:p>
          <w:p>
            <w:pPr>
              <w:pStyle w:val="Normal"/>
              <w:widowControl w:val="false"/>
              <w:tabs>
                <w:tab w:val="clear" w:pos="720"/>
              </w:tabs>
              <w:jc w:val="center"/>
              <w:rPr>
                <w:sz w:val="24"/>
                <w:szCs w:val="24"/>
              </w:rPr>
            </w:pPr>
            <w:r>
              <w:rPr>
                <w:rFonts w:cs="Times New Roman"/>
                <w:color w:val="000000"/>
                <w:sz w:val="24"/>
                <w:szCs w:val="24"/>
              </w:rPr>
              <w:t>п/п</w:t>
            </w:r>
          </w:p>
          <w:p>
            <w:pPr>
              <w:pStyle w:val="Normal"/>
              <w:widowControl w:val="false"/>
              <w:tabs>
                <w:tab w:val="clear" w:pos="720"/>
              </w:tabs>
              <w:spacing w:before="0" w:after="0"/>
              <w:jc w:val="center"/>
              <w:rPr>
                <w:rFonts w:cs="Times New Roman"/>
                <w:color w:val="000000"/>
                <w:sz w:val="24"/>
                <w:szCs w:val="24"/>
                <w:lang w:eastAsia="x-none"/>
              </w:rPr>
            </w:pPr>
            <w:r>
              <w:rPr>
                <w:rFonts w:cs="Times New Roman"/>
                <w:color w:val="000000"/>
                <w:sz w:val="24"/>
                <w:szCs w:val="24"/>
                <w:lang w:eastAsia="x-none"/>
              </w:rPr>
            </w:r>
          </w:p>
        </w:tc>
        <w:tc>
          <w:tcPr>
            <w:tcW w:w="5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Наименование продукции</w:t>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Единица измерения</w:t>
            </w:r>
          </w:p>
          <w:p>
            <w:pPr>
              <w:pStyle w:val="Normal"/>
              <w:widowControl w:val="false"/>
              <w:tabs>
                <w:tab w:val="clear" w:pos="720"/>
              </w:tabs>
              <w:spacing w:before="0" w:after="0"/>
              <w:jc w:val="center"/>
              <w:rPr>
                <w:rFonts w:cs="Times New Roman"/>
                <w:color w:val="000000"/>
                <w:sz w:val="24"/>
                <w:szCs w:val="24"/>
                <w:lang w:eastAsia="x-none"/>
              </w:rPr>
            </w:pPr>
            <w:r>
              <w:rPr>
                <w:rFonts w:cs="Times New Roman"/>
                <w:color w:val="000000"/>
                <w:sz w:val="24"/>
                <w:szCs w:val="24"/>
                <w:lang w:eastAsia="x-none"/>
              </w:rPr>
            </w:r>
          </w:p>
        </w:tc>
        <w:tc>
          <w:tcPr>
            <w:tcW w:w="1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Количество</w:t>
            </w:r>
          </w:p>
          <w:p>
            <w:pPr>
              <w:pStyle w:val="Normal"/>
              <w:widowControl w:val="false"/>
              <w:tabs>
                <w:tab w:val="clear" w:pos="720"/>
              </w:tabs>
              <w:spacing w:before="0" w:after="0"/>
              <w:jc w:val="center"/>
              <w:rPr>
                <w:rFonts w:cs="Times New Roman"/>
                <w:color w:val="000000"/>
                <w:sz w:val="24"/>
                <w:szCs w:val="24"/>
                <w:lang w:eastAsia="x-none"/>
              </w:rPr>
            </w:pPr>
            <w:r>
              <w:rPr>
                <w:rFonts w:cs="Times New Roman"/>
                <w:color w:val="000000"/>
                <w:sz w:val="24"/>
                <w:szCs w:val="24"/>
                <w:lang w:eastAsia="x-none"/>
              </w:rPr>
            </w:r>
          </w:p>
        </w:tc>
      </w:tr>
      <w:tr>
        <w:trPr/>
        <w:tc>
          <w:tcPr>
            <w:tcW w:w="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1</w:t>
            </w:r>
          </w:p>
        </w:tc>
        <w:tc>
          <w:tcPr>
            <w:tcW w:w="58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2</w:t>
            </w:r>
          </w:p>
        </w:tc>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3</w:t>
            </w:r>
          </w:p>
        </w:tc>
        <w:tc>
          <w:tcPr>
            <w:tcW w:w="14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4</w:t>
            </w:r>
          </w:p>
        </w:tc>
      </w:tr>
      <w:tr>
        <w:trPr>
          <w:trHeight w:val="333" w:hRule="atLeast"/>
        </w:trPr>
        <w:tc>
          <w:tcPr>
            <w:tcW w:w="7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ind w:left="57" w:right="0" w:hanging="0"/>
              <w:jc w:val="center"/>
              <w:rPr>
                <w:sz w:val="24"/>
                <w:szCs w:val="24"/>
              </w:rPr>
            </w:pPr>
            <w:r>
              <w:rPr>
                <w:rFonts w:cs="Times New Roman"/>
                <w:color w:val="000000"/>
                <w:sz w:val="24"/>
                <w:szCs w:val="24"/>
              </w:rPr>
              <w:t>1.1</w:t>
            </w:r>
          </w:p>
        </w:tc>
        <w:tc>
          <w:tcPr>
            <w:tcW w:w="5825" w:type="dxa"/>
            <w:tcBorders>
              <w:top w:val="single" w:sz="4" w:space="0" w:color="000000"/>
              <w:left w:val="single" w:sz="4" w:space="0" w:color="000000"/>
              <w:bottom w:val="single" w:sz="4" w:space="0" w:color="000000"/>
              <w:right w:val="single" w:sz="4" w:space="0" w:color="000000"/>
            </w:tcBorders>
            <w:shd w:color="auto" w:fill="FFFFFF"/>
            <w:vAlign w:val="center"/>
          </w:tcPr>
          <w:p>
            <w:pPr>
              <w:pStyle w:val="Normal"/>
              <w:widowControl w:val="false"/>
              <w:tabs>
                <w:tab w:val="clear" w:pos="720"/>
              </w:tabs>
              <w:rPr>
                <w:sz w:val="24"/>
                <w:szCs w:val="24"/>
              </w:rPr>
            </w:pPr>
            <w:r>
              <w:rPr>
                <w:sz w:val="24"/>
                <w:szCs w:val="24"/>
              </w:rPr>
              <w:t>Крышка с уплотнением верхнего генераторного подшипника 1М52722</w:t>
            </w:r>
          </w:p>
        </w:tc>
        <w:tc>
          <w:tcPr>
            <w:tcW w:w="1301" w:type="dxa"/>
            <w:tcBorders>
              <w:top w:val="single" w:sz="4" w:space="0" w:color="000000"/>
              <w:bottom w:val="single" w:sz="4" w:space="0" w:color="000000"/>
              <w:right w:val="single" w:sz="4" w:space="0" w:color="000000"/>
            </w:tcBorders>
            <w:shd w:color="auto" w:fill="FFFFFF"/>
            <w:vAlign w:val="center"/>
          </w:tcPr>
          <w:p>
            <w:pPr>
              <w:pStyle w:val="Normal"/>
              <w:widowControl w:val="false"/>
              <w:tabs>
                <w:tab w:val="clear" w:pos="720"/>
              </w:tabs>
              <w:jc w:val="center"/>
              <w:rPr>
                <w:sz w:val="24"/>
                <w:szCs w:val="24"/>
              </w:rPr>
            </w:pPr>
            <w:r>
              <w:rPr>
                <w:color w:val="000000"/>
                <w:sz w:val="24"/>
                <w:szCs w:val="24"/>
              </w:rPr>
              <w:t>шт.</w:t>
            </w:r>
          </w:p>
        </w:tc>
        <w:tc>
          <w:tcPr>
            <w:tcW w:w="1467" w:type="dxa"/>
            <w:tcBorders>
              <w:top w:val="single" w:sz="4" w:space="0" w:color="000000"/>
              <w:bottom w:val="single" w:sz="4" w:space="0" w:color="000000"/>
              <w:right w:val="single" w:sz="4" w:space="0" w:color="000000"/>
            </w:tcBorders>
            <w:shd w:color="auto" w:fill="FFFFFF"/>
            <w:vAlign w:val="center"/>
          </w:tcPr>
          <w:p>
            <w:pPr>
              <w:pStyle w:val="Normal"/>
              <w:widowControl w:val="false"/>
              <w:tabs>
                <w:tab w:val="clear" w:pos="720"/>
              </w:tabs>
              <w:jc w:val="center"/>
              <w:rPr>
                <w:sz w:val="24"/>
                <w:szCs w:val="24"/>
              </w:rPr>
            </w:pPr>
            <w:r>
              <w:rPr>
                <w:color w:val="000000"/>
                <w:sz w:val="24"/>
                <w:szCs w:val="24"/>
              </w:rPr>
              <w:t>1</w:t>
            </w:r>
          </w:p>
        </w:tc>
      </w:tr>
    </w:tbl>
    <w:p>
      <w:pPr>
        <w:pStyle w:val="Normal"/>
        <w:widowControl w:val="false"/>
        <w:rPr>
          <w:rFonts w:cs="Times New Roman"/>
          <w:color w:val="000000"/>
          <w:sz w:val="24"/>
          <w:szCs w:val="24"/>
        </w:rPr>
      </w:pPr>
      <w:r>
        <w:rPr>
          <w:rFonts w:cs="Times New Roman"/>
          <w:color w:val="000000"/>
          <w:sz w:val="24"/>
          <w:szCs w:val="24"/>
        </w:rPr>
      </w:r>
    </w:p>
    <w:p>
      <w:pPr>
        <w:pStyle w:val="Heading3"/>
        <w:keepNext w:val="true"/>
        <w:widowControl/>
        <w:numPr>
          <w:ilvl w:val="2"/>
          <w:numId w:val="15"/>
        </w:numPr>
        <w:suppressAutoHyphens w:val="true"/>
        <w:bidi w:val="0"/>
        <w:spacing w:before="0" w:after="0"/>
        <w:ind w:left="0" w:right="0" w:hanging="0"/>
        <w:jc w:val="left"/>
        <w:rPr>
          <w:sz w:val="24"/>
          <w:szCs w:val="24"/>
        </w:rPr>
      </w:pPr>
      <w:bookmarkStart w:id="18" w:name="_Toc51339696"/>
      <w:bookmarkStart w:id="19" w:name="_Toc75446578"/>
      <w:bookmarkEnd w:id="18"/>
      <w:bookmarkEnd w:id="19"/>
      <w:r>
        <w:rPr>
          <w:color w:val="000000"/>
          <w:sz w:val="24"/>
          <w:szCs w:val="24"/>
        </w:rPr>
        <w:t xml:space="preserve">Требования к срокам поставки продукции </w:t>
      </w:r>
    </w:p>
    <w:p>
      <w:pPr>
        <w:pStyle w:val="Normal"/>
        <w:rPr>
          <w:rFonts w:cs="Times New Roman"/>
          <w:color w:val="000000"/>
          <w:sz w:val="24"/>
          <w:szCs w:val="24"/>
          <w:lang w:val="x-none" w:eastAsia="x-none"/>
        </w:rPr>
      </w:pPr>
      <w:r>
        <w:rPr>
          <w:rFonts w:cs="Times New Roman"/>
          <w:color w:val="000000"/>
          <w:sz w:val="24"/>
          <w:szCs w:val="24"/>
          <w:lang w:val="x-none" w:eastAsia="x-none"/>
        </w:rPr>
      </w:r>
    </w:p>
    <w:p>
      <w:pPr>
        <w:pStyle w:val="Normal"/>
        <w:rPr>
          <w:sz w:val="24"/>
          <w:szCs w:val="24"/>
        </w:rPr>
      </w:pPr>
      <w:bookmarkStart w:id="20" w:name="_Hlk50465284"/>
      <w:bookmarkStart w:id="21" w:name="_Toc75446579"/>
      <w:bookmarkStart w:id="22" w:name="_Toc50125127"/>
      <w:bookmarkEnd w:id="20"/>
      <w:bookmarkEnd w:id="21"/>
      <w:bookmarkEnd w:id="22"/>
      <w:r>
        <w:rPr>
          <w:rFonts w:cs="Times New Roman"/>
          <w:color w:val="000000"/>
          <w:sz w:val="24"/>
          <w:szCs w:val="24"/>
          <w:lang w:eastAsia="x-none"/>
        </w:rPr>
        <w:t xml:space="preserve">Таблица 2.2 </w:t>
      </w:r>
      <w:bookmarkStart w:id="23" w:name="_Toc51339697"/>
      <w:r>
        <w:rPr>
          <w:rFonts w:cs="Times New Roman"/>
          <w:color w:val="000000"/>
          <w:sz w:val="24"/>
          <w:szCs w:val="24"/>
          <w:lang w:eastAsia="x-none"/>
        </w:rPr>
        <w:t xml:space="preserve">Требования по срокам поставки продукции </w:t>
      </w:r>
    </w:p>
    <w:tbl>
      <w:tblPr>
        <w:tblW w:w="9352" w:type="dxa"/>
        <w:jc w:val="left"/>
        <w:tblInd w:w="118" w:type="dxa"/>
        <w:tblLayout w:type="fixed"/>
        <w:tblCellMar>
          <w:top w:w="0" w:type="dxa"/>
          <w:left w:w="108" w:type="dxa"/>
          <w:bottom w:w="0" w:type="dxa"/>
          <w:right w:w="108" w:type="dxa"/>
        </w:tblCellMar>
      </w:tblPr>
      <w:tblGrid>
        <w:gridCol w:w="839"/>
        <w:gridCol w:w="4595"/>
        <w:gridCol w:w="1928"/>
        <w:gridCol w:w="1990"/>
      </w:tblGrid>
      <w:tr>
        <w:trPr/>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 xml:space="preserve">№ </w:t>
            </w:r>
            <w:r>
              <w:rPr>
                <w:rFonts w:cs="Times New Roman"/>
                <w:color w:val="000000"/>
                <w:sz w:val="24"/>
                <w:szCs w:val="24"/>
              </w:rPr>
              <w:t>п/п</w:t>
            </w:r>
          </w:p>
        </w:tc>
        <w:tc>
          <w:tcPr>
            <w:tcW w:w="4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Наименование продукции / партии продукции</w:t>
            </w:r>
          </w:p>
        </w:tc>
        <w:tc>
          <w:tcPr>
            <w:tcW w:w="19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color w:val="000000"/>
                <w:sz w:val="24"/>
                <w:szCs w:val="24"/>
              </w:rPr>
              <w:t>Требования к началу срока поставки продукции</w:t>
            </w:r>
          </w:p>
        </w:tc>
        <w:tc>
          <w:tcPr>
            <w:tcW w:w="1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sz w:val="24"/>
                <w:szCs w:val="24"/>
              </w:rPr>
            </w:pPr>
            <w:r>
              <w:rPr>
                <w:rFonts w:cs="Times New Roman"/>
                <w:color w:val="000000"/>
                <w:sz w:val="24"/>
                <w:szCs w:val="24"/>
              </w:rPr>
              <w:t>Требования к окончанию срока поставки продукции</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1</w:t>
            </w:r>
          </w:p>
        </w:tc>
        <w:tc>
          <w:tcPr>
            <w:tcW w:w="45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2</w:t>
            </w:r>
          </w:p>
        </w:tc>
        <w:tc>
          <w:tcPr>
            <w:tcW w:w="19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3</w:t>
            </w:r>
          </w:p>
        </w:tc>
        <w:tc>
          <w:tcPr>
            <w:tcW w:w="19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center"/>
              <w:rPr>
                <w:sz w:val="24"/>
                <w:szCs w:val="24"/>
              </w:rPr>
            </w:pPr>
            <w:r>
              <w:rPr>
                <w:rFonts w:cs="Times New Roman"/>
                <w:b/>
                <w:color w:val="000000"/>
                <w:sz w:val="24"/>
                <w:szCs w:val="24"/>
              </w:rPr>
              <w:t>4</w:t>
            </w:r>
          </w:p>
        </w:tc>
      </w:tr>
      <w:tr>
        <w:trPr>
          <w:trHeight w:val="1124" w:hRule="atLeast"/>
        </w:trPr>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ind w:left="0" w:right="170" w:hanging="0"/>
              <w:jc w:val="center"/>
              <w:rPr>
                <w:sz w:val="24"/>
                <w:szCs w:val="24"/>
              </w:rPr>
            </w:pPr>
            <w:r>
              <w:rPr>
                <w:color w:val="000000"/>
                <w:sz w:val="24"/>
                <w:szCs w:val="24"/>
              </w:rPr>
              <w:t>1.1.</w:t>
            </w:r>
          </w:p>
        </w:tc>
        <w:tc>
          <w:tcPr>
            <w:tcW w:w="4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auto"/>
                <w:kern w:val="0"/>
                <w:sz w:val="24"/>
                <w:szCs w:val="24"/>
                <w:lang w:val="ru-RU" w:eastAsia="ru-RU" w:bidi="ar-SA"/>
              </w:rPr>
            </w:pPr>
            <w:bookmarkStart w:id="24" w:name="_GoBack"/>
            <w:bookmarkEnd w:id="24"/>
            <w:r>
              <w:rPr>
                <w:rFonts w:eastAsia="Times New Roman" w:cs="Times New Roman"/>
                <w:color w:val="auto"/>
                <w:kern w:val="0"/>
                <w:sz w:val="24"/>
                <w:szCs w:val="24"/>
                <w:lang w:val="ru-RU" w:eastAsia="ru-RU" w:bidi="ar-SA"/>
              </w:rPr>
              <w:t>ОКПД2 27.11.61.120 Поставка крышки верхнего генераторного подшипника для выполнения работ на Новосибирской ГЭС</w:t>
            </w:r>
          </w:p>
        </w:tc>
        <w:tc>
          <w:tcPr>
            <w:tcW w:w="1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4"/>
                <w:szCs w:val="24"/>
                <w:lang w:val="ru-RU" w:eastAsia="ru-RU" w:bidi="ar-SA"/>
              </w:rPr>
            </w:pPr>
            <w:r>
              <w:rPr>
                <w:rFonts w:eastAsia="Times New Roman" w:cs="Times New Roman"/>
                <w:color w:val="000000"/>
                <w:kern w:val="0"/>
                <w:sz w:val="24"/>
                <w:szCs w:val="24"/>
                <w:lang w:val="ru-RU" w:eastAsia="ru-RU" w:bidi="ar-SA"/>
              </w:rPr>
              <w:t>С даты подписания договора</w:t>
            </w:r>
          </w:p>
        </w:tc>
        <w:tc>
          <w:tcPr>
            <w:tcW w:w="1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4"/>
                <w:szCs w:val="24"/>
                <w:lang w:val="ru-RU" w:eastAsia="ru-RU" w:bidi="ar-SA"/>
              </w:rPr>
            </w:pPr>
            <w:r>
              <w:rPr>
                <w:rFonts w:eastAsia="Times New Roman" w:cs="Times New Roman"/>
                <w:color w:val="000000"/>
                <w:kern w:val="0"/>
                <w:sz w:val="24"/>
                <w:szCs w:val="24"/>
                <w:lang w:val="ru-RU" w:eastAsia="ru-RU" w:bidi="ar-SA"/>
              </w:rPr>
              <w:t>230 календарных дней с подписания договора</w:t>
            </w:r>
          </w:p>
        </w:tc>
      </w:tr>
    </w:tbl>
    <w:p>
      <w:pPr>
        <w:pStyle w:val="Normal"/>
        <w:widowControl w:val="false"/>
        <w:rPr>
          <w:sz w:val="24"/>
          <w:szCs w:val="24"/>
          <w:lang w:val="x-none" w:eastAsia="x-none"/>
        </w:rPr>
      </w:pPr>
      <w:r>
        <w:rPr>
          <w:sz w:val="24"/>
          <w:szCs w:val="24"/>
          <w:lang w:val="x-none" w:eastAsia="x-none"/>
        </w:rPr>
      </w:r>
    </w:p>
    <w:p>
      <w:pPr>
        <w:pStyle w:val="ListParagraph"/>
        <w:widowControl w:val="false"/>
        <w:numPr>
          <w:ilvl w:val="1"/>
          <w:numId w:val="15"/>
        </w:numPr>
        <w:suppressAutoHyphens w:val="true"/>
        <w:bidi w:val="0"/>
        <w:spacing w:before="0" w:after="0"/>
        <w:ind w:left="0" w:right="0" w:hanging="0"/>
        <w:contextualSpacing/>
        <w:jc w:val="left"/>
        <w:rPr>
          <w:sz w:val="24"/>
          <w:szCs w:val="24"/>
        </w:rPr>
      </w:pPr>
      <w:r>
        <w:rPr>
          <w:b/>
          <w:color w:val="000000"/>
          <w:sz w:val="24"/>
          <w:szCs w:val="24"/>
          <w:lang w:eastAsia="x-none"/>
        </w:rPr>
        <w:t xml:space="preserve">Требования к качеству продукции </w:t>
      </w:r>
      <w:bookmarkStart w:id="25" w:name="_Toc75446569_Копия_1_Копия_1"/>
      <w:bookmarkStart w:id="26" w:name="_Toc75446568_Копия_1"/>
      <w:bookmarkStart w:id="27" w:name="_Toc75446569_Копия_1_Копия_1"/>
      <w:bookmarkStart w:id="28" w:name="_Toc51339693_Копия_1"/>
      <w:bookmarkStart w:id="29" w:name="_Toc75446573_Копия_1"/>
      <w:bookmarkStart w:id="30" w:name="_Toc75446574_Копия_1"/>
      <w:bookmarkStart w:id="31" w:name="_Toc75446575_Копия_1"/>
      <w:bookmarkStart w:id="32" w:name="_Toc51339695_Копия_1"/>
      <w:bookmarkStart w:id="33" w:name="_Toc75446576_Копия_1"/>
      <w:bookmarkStart w:id="34" w:name="_Toc51339696_Копия_1"/>
      <w:bookmarkStart w:id="35" w:name="_Toc75446578_Копия_1"/>
      <w:bookmarkStart w:id="36" w:name="_Hlk50465284_Копия_1"/>
      <w:bookmarkStart w:id="37" w:name="_Toc75446579_Копия_1"/>
      <w:bookmarkStart w:id="38" w:name="_Toc50125127_Копия_1"/>
      <w:bookmarkEnd w:id="9"/>
      <w:bookmarkEnd w:id="11"/>
      <w:bookmarkEnd w:id="23"/>
      <w:bookmarkEnd w:id="25"/>
      <w:bookmarkEnd w:id="26"/>
      <w:bookmarkEnd w:id="27"/>
      <w:bookmarkEnd w:id="28"/>
      <w:bookmarkEnd w:id="29"/>
      <w:bookmarkEnd w:id="30"/>
      <w:bookmarkEnd w:id="31"/>
      <w:bookmarkEnd w:id="32"/>
      <w:bookmarkEnd w:id="33"/>
      <w:bookmarkEnd w:id="34"/>
      <w:bookmarkEnd w:id="35"/>
      <w:bookmarkEnd w:id="36"/>
      <w:bookmarkEnd w:id="37"/>
      <w:bookmarkEnd w:id="38"/>
    </w:p>
    <w:p>
      <w:pPr>
        <w:sectPr>
          <w:headerReference w:type="default" r:id="rId19"/>
          <w:headerReference w:type="first" r:id="rId20"/>
          <w:footerReference w:type="even" r:id="rId21"/>
          <w:footerReference w:type="default" r:id="rId22"/>
          <w:footerReference w:type="first" r:id="rId23"/>
          <w:type w:val="nextPage"/>
          <w:pgSz w:w="11906" w:h="16838"/>
          <w:pgMar w:left="1701" w:right="849" w:gutter="0" w:header="720" w:top="1134" w:footer="720" w:bottom="1134"/>
          <w:pgNumType w:fmt="decimal"/>
          <w:formProt w:val="false"/>
          <w:textDirection w:val="lrTb"/>
          <w:docGrid w:type="default" w:linePitch="100" w:charSpace="8192"/>
        </w:sectPr>
        <w:pStyle w:val="Normal"/>
        <w:spacing w:before="0" w:after="120"/>
        <w:ind w:firstLine="567"/>
        <w:jc w:val="both"/>
        <w:rPr>
          <w:sz w:val="24"/>
          <w:szCs w:val="24"/>
        </w:rPr>
      </w:pPr>
      <w:r>
        <w:rPr>
          <w:bCs/>
          <w:i w:val="false"/>
          <w:iCs w:val="false"/>
          <w:sz w:val="24"/>
          <w:szCs w:val="24"/>
          <w:lang w:eastAsia="x-none"/>
        </w:rPr>
        <w:t>Продукция должна соответствовать обязательным требованиям, установленными нормативными документами, действующими в РФ. Продукция обязательно должна быть укомплектована документами, удостоверяющими качество продукции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p>
      <w:pPr>
        <w:pStyle w:val="Normal"/>
        <w:rPr>
          <w:sz w:val="24"/>
          <w:szCs w:val="24"/>
        </w:rPr>
      </w:pPr>
      <w:bookmarkStart w:id="39" w:name="_Toc75446582"/>
      <w:r>
        <w:rPr>
          <w:rFonts w:cs="Times New Roman"/>
          <w:color w:val="000000"/>
          <w:sz w:val="24"/>
          <w:szCs w:val="24"/>
          <w:lang w:eastAsia="x-none"/>
        </w:rPr>
        <w:t>Таблица 2.3. Требования к продукции</w:t>
      </w:r>
      <w:bookmarkEnd w:id="39"/>
    </w:p>
    <w:p>
      <w:pPr>
        <w:pStyle w:val="Normal"/>
        <w:rPr/>
      </w:pPr>
      <w:r>
        <w:rPr/>
      </w:r>
    </w:p>
    <w:tbl>
      <w:tblPr>
        <w:tblW w:w="14878"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828"/>
        <w:gridCol w:w="2177"/>
        <w:gridCol w:w="1506"/>
        <w:gridCol w:w="3176"/>
        <w:gridCol w:w="7191"/>
      </w:tblGrid>
      <w:tr>
        <w:trPr>
          <w:trHeight w:val="424" w:hRule="atLeast"/>
        </w:trPr>
        <w:tc>
          <w:tcPr>
            <w:tcW w:w="14878"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textAlignment w:val="baseline"/>
              <w:rPr>
                <w:rFonts w:eastAsia="Times New Roman" w:cs="Times New Roman"/>
                <w:b/>
                <w:bCs/>
                <w:color w:val="000000"/>
                <w:szCs w:val="24"/>
              </w:rPr>
            </w:pPr>
            <w:r>
              <w:rPr>
                <w:rFonts w:eastAsia="Times New Roman" w:cs="Times New Roman"/>
                <w:b/>
                <w:bCs/>
                <w:color w:val="000000"/>
                <w:szCs w:val="24"/>
              </w:rPr>
              <w:t>Наименование продукции (позиция № 1.1 Таблицы 2.3): ОКПД2 27.11.61.120 Поставка крышки верхнего генераторного подшипника для выполнения работ на Новосибирской ГЭС</w:t>
            </w:r>
          </w:p>
        </w:tc>
      </w:tr>
      <w:tr>
        <w:trPr>
          <w:trHeight w:val="544" w:hRule="atLeast"/>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rPr>
              <w:t xml:space="preserve">№ </w:t>
            </w:r>
            <w:r>
              <w:rPr>
                <w:b/>
                <w:bCs/>
              </w:rPr>
              <w:t>п/п</w:t>
            </w:r>
          </w:p>
        </w:tc>
        <w:tc>
          <w:tcPr>
            <w:tcW w:w="368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rPr>
              <w:t>Наименование продукции</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rPr>
              <w:t>Наименование параметра</w:t>
            </w:r>
          </w:p>
        </w:tc>
        <w:tc>
          <w:tcPr>
            <w:tcW w:w="7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rPr>
              <w:t>Требование заказчика</w:t>
            </w:r>
          </w:p>
        </w:tc>
      </w:tr>
      <w:tr>
        <w:trPr>
          <w:trHeight w:val="273" w:hRule="atLeast"/>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rPr>
              <w:t>1</w:t>
            </w:r>
          </w:p>
        </w:tc>
        <w:tc>
          <w:tcPr>
            <w:tcW w:w="368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rPr>
              <w:t>2</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rPr>
              <w:t>3</w:t>
            </w:r>
          </w:p>
        </w:tc>
        <w:tc>
          <w:tcPr>
            <w:tcW w:w="7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rPr>
              <w:t>4</w:t>
            </w:r>
          </w:p>
        </w:tc>
      </w:tr>
      <w:tr>
        <w:trPr>
          <w:trHeight w:val="465" w:hRule="atLeast"/>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rPr>
              <w:t>1.</w:t>
            </w:r>
          </w:p>
        </w:tc>
        <w:tc>
          <w:tcPr>
            <w:tcW w:w="1405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
                <w:bCs/>
              </w:rPr>
              <w:t>Требования к техническим и функциональным характеристикам (включая гарантируемые показатели)</w:t>
            </w:r>
          </w:p>
        </w:tc>
      </w:tr>
      <w:tr>
        <w:trPr>
          <w:trHeight w:val="90" w:hRule="atLeast"/>
        </w:trPr>
        <w:tc>
          <w:tcPr>
            <w:tcW w:w="828" w:type="dxa"/>
            <w:vMerge w:val="restart"/>
            <w:tcBorders>
              <w:left w:val="single" w:sz="4" w:space="0" w:color="000000"/>
              <w:bottom w:val="single" w:sz="4" w:space="0" w:color="000000"/>
              <w:right w:val="single" w:sz="4" w:space="0" w:color="000000"/>
            </w:tcBorders>
            <w:vAlign w:val="center"/>
          </w:tcPr>
          <w:p>
            <w:pPr>
              <w:pStyle w:val="Normal"/>
              <w:widowControl w:val="false"/>
              <w:rPr/>
            </w:pPr>
            <w:r>
              <w:rPr/>
              <w:t>1.1</w:t>
            </w:r>
          </w:p>
        </w:tc>
        <w:tc>
          <w:tcPr>
            <w:tcW w:w="3683"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rPr/>
            </w:pPr>
            <w:r>
              <w:rPr>
                <w:color w:val="000000"/>
                <w:szCs w:val="24"/>
              </w:rPr>
              <w:t>Крышка с уплотнениями верхнего генераторного подшипника</w:t>
            </w:r>
          </w:p>
        </w:tc>
        <w:tc>
          <w:tcPr>
            <w:tcW w:w="3176" w:type="dxa"/>
            <w:tcBorders>
              <w:left w:val="single" w:sz="4" w:space="0" w:color="000000"/>
              <w:bottom w:val="single" w:sz="4" w:space="0" w:color="000000"/>
              <w:right w:val="single" w:sz="4" w:space="0" w:color="000000"/>
            </w:tcBorders>
            <w:vAlign w:val="center"/>
          </w:tcPr>
          <w:p>
            <w:pPr>
              <w:pStyle w:val="Normal"/>
              <w:widowControl w:val="false"/>
              <w:rPr>
                <w:szCs w:val="24"/>
                <w:lang w:val="en-US"/>
              </w:rPr>
            </w:pPr>
            <w:r>
              <w:rPr>
                <w:szCs w:val="24"/>
                <w:lang w:val="en-US"/>
              </w:rPr>
              <w:t>Конструкция</w:t>
            </w:r>
          </w:p>
        </w:tc>
        <w:tc>
          <w:tcPr>
            <w:tcW w:w="7191" w:type="dxa"/>
            <w:tcBorders>
              <w:left w:val="single" w:sz="4" w:space="0" w:color="000000"/>
              <w:bottom w:val="single" w:sz="4" w:space="0" w:color="000000"/>
              <w:right w:val="single" w:sz="4" w:space="0" w:color="000000"/>
            </w:tcBorders>
            <w:vAlign w:val="center"/>
          </w:tcPr>
          <w:p>
            <w:pPr>
              <w:pStyle w:val="Normal"/>
              <w:widowControl w:val="false"/>
              <w:rPr>
                <w:color w:val="000000"/>
                <w:szCs w:val="24"/>
              </w:rPr>
            </w:pPr>
            <w:r>
              <w:rPr>
                <w:color w:val="000000"/>
                <w:szCs w:val="24"/>
              </w:rPr>
              <w:t>В соответствии с чертежом 1М52722 “Уплотнение наружное” допускается доработка конструкции с целью улучшения конструкции и облегчения сборки.</w:t>
            </w:r>
          </w:p>
        </w:tc>
      </w:tr>
      <w:tr>
        <w:trPr>
          <w:trHeight w:val="90" w:hRule="atLeast"/>
        </w:trPr>
        <w:tc>
          <w:tcPr>
            <w:tcW w:w="828" w:type="dxa"/>
            <w:vMerge w:val="continue"/>
            <w:tcBorders>
              <w:left w:val="single" w:sz="4" w:space="0" w:color="000000"/>
              <w:bottom w:val="single" w:sz="4" w:space="0" w:color="000000"/>
              <w:right w:val="single" w:sz="4" w:space="0" w:color="000000"/>
            </w:tcBorders>
            <w:vAlign w:val="center"/>
          </w:tcPr>
          <w:p>
            <w:pPr>
              <w:pStyle w:val="Normal"/>
              <w:widowControl w:val="false"/>
              <w:rPr/>
            </w:pPr>
            <w:r>
              <w:rPr/>
            </w:r>
          </w:p>
        </w:tc>
        <w:tc>
          <w:tcPr>
            <w:tcW w:w="3683"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rPr/>
            </w:pPr>
            <w:r>
              <w:rPr/>
            </w:r>
          </w:p>
        </w:tc>
        <w:tc>
          <w:tcPr>
            <w:tcW w:w="3176" w:type="dxa"/>
            <w:tcBorders>
              <w:left w:val="single" w:sz="4" w:space="0" w:color="000000"/>
              <w:bottom w:val="single" w:sz="4" w:space="0" w:color="000000"/>
              <w:right w:val="single" w:sz="4" w:space="0" w:color="000000"/>
            </w:tcBorders>
            <w:vAlign w:val="center"/>
          </w:tcPr>
          <w:p>
            <w:pPr>
              <w:pStyle w:val="Normal"/>
              <w:widowControl w:val="false"/>
              <w:rPr>
                <w:szCs w:val="24"/>
                <w:lang w:val="en-US"/>
              </w:rPr>
            </w:pPr>
            <w:r>
              <w:rPr>
                <w:szCs w:val="24"/>
                <w:lang w:val="en-US"/>
              </w:rPr>
              <w:t>Материал</w:t>
            </w:r>
          </w:p>
        </w:tc>
        <w:tc>
          <w:tcPr>
            <w:tcW w:w="7191" w:type="dxa"/>
            <w:tcBorders>
              <w:left w:val="single" w:sz="4" w:space="0" w:color="000000"/>
              <w:bottom w:val="single" w:sz="4" w:space="0" w:color="000000"/>
              <w:right w:val="single" w:sz="4" w:space="0" w:color="000000"/>
            </w:tcBorders>
            <w:vAlign w:val="center"/>
          </w:tcPr>
          <w:p>
            <w:pPr>
              <w:pStyle w:val="Normal"/>
              <w:widowControl w:val="false"/>
              <w:rPr>
                <w:color w:val="000000"/>
                <w:szCs w:val="24"/>
              </w:rPr>
            </w:pPr>
            <w:r>
              <w:rPr>
                <w:color w:val="000000"/>
                <w:szCs w:val="24"/>
              </w:rPr>
              <w:t>В соответствии с чертежом 1М52722 “Уплотнение наружное” допускается изменение материалов с целью улучшения конструкции.</w:t>
            </w:r>
          </w:p>
        </w:tc>
      </w:tr>
      <w:tr>
        <w:trPr/>
        <w:tc>
          <w:tcPr>
            <w:tcW w:w="828" w:type="dxa"/>
            <w:tcBorders>
              <w:left w:val="single" w:sz="4" w:space="0" w:color="000000"/>
              <w:bottom w:val="single" w:sz="4" w:space="0" w:color="000000"/>
              <w:right w:val="single" w:sz="4" w:space="0" w:color="000000"/>
            </w:tcBorders>
            <w:vAlign w:val="center"/>
          </w:tcPr>
          <w:p>
            <w:pPr>
              <w:pStyle w:val="Normal"/>
              <w:widowControl w:val="false"/>
              <w:jc w:val="center"/>
              <w:rPr/>
            </w:pPr>
            <w:r>
              <w:rPr>
                <w:b/>
              </w:rPr>
              <w:t>2.</w:t>
            </w:r>
          </w:p>
        </w:tc>
        <w:tc>
          <w:tcPr>
            <w:tcW w:w="14050" w:type="dxa"/>
            <w:gridSpan w:val="4"/>
            <w:tcBorders>
              <w:left w:val="single" w:sz="4" w:space="0" w:color="000000"/>
              <w:bottom w:val="single" w:sz="4" w:space="0" w:color="000000"/>
              <w:right w:val="single" w:sz="4" w:space="0" w:color="000000"/>
            </w:tcBorders>
            <w:vAlign w:val="center"/>
          </w:tcPr>
          <w:p>
            <w:pPr>
              <w:pStyle w:val="Normal"/>
              <w:widowControl w:val="false"/>
              <w:rPr/>
            </w:pPr>
            <w:r>
              <w:rPr>
                <w:b/>
                <w:bCs/>
              </w:rPr>
              <w:t>Требования к доставке,  маркировке, упаковке, транспортировке, перемещению, условиям хранения, приемке и испытаниям</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2.1</w:t>
            </w:r>
          </w:p>
        </w:tc>
        <w:tc>
          <w:tcPr>
            <w:tcW w:w="2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Место поставки</w:t>
            </w:r>
          </w:p>
        </w:tc>
        <w:tc>
          <w:tcPr>
            <w:tcW w:w="1187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Производственный участок АО «Гидроремонт-ВКК» в г. Новосибирск, 630056, Новосибирская обл., г. Новосибирск, ул. Новоморская, д. 4/1.</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2.2</w:t>
            </w:r>
          </w:p>
        </w:tc>
        <w:tc>
          <w:tcPr>
            <w:tcW w:w="2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Приемка продукции</w:t>
            </w:r>
          </w:p>
        </w:tc>
        <w:tc>
          <w:tcPr>
            <w:tcW w:w="1187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Приемка продукции осуществляется только в рабочие дни с 9-00 до 11-00 и с 13-00 до 16-00.</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2.3</w:t>
            </w:r>
          </w:p>
        </w:tc>
        <w:tc>
          <w:tcPr>
            <w:tcW w:w="1405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szCs w:val="24"/>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 379-07-74</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3.</w:t>
            </w:r>
          </w:p>
        </w:tc>
        <w:tc>
          <w:tcPr>
            <w:tcW w:w="14050" w:type="dxa"/>
            <w:gridSpan w:val="4"/>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andard"/>
              <w:widowControl w:val="false"/>
              <w:rPr/>
            </w:pPr>
            <w:r>
              <w:rPr>
                <w:b/>
                <w:szCs w:val="24"/>
                <w:lang w:eastAsia="ru-RU"/>
              </w:rPr>
              <w:t>Требования к гарантиям, гарантийному и послегарантийному обслуживанию</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3.1</w:t>
            </w:r>
          </w:p>
        </w:tc>
        <w:tc>
          <w:tcPr>
            <w:tcW w:w="2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Сроки гарантии</w:t>
            </w:r>
          </w:p>
        </w:tc>
        <w:tc>
          <w:tcPr>
            <w:tcW w:w="1187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Не более 24 (двадцать четырех)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4.</w:t>
            </w:r>
          </w:p>
        </w:tc>
        <w:tc>
          <w:tcPr>
            <w:tcW w:w="1405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
              </w:rPr>
              <w:t>Требования к комплектации и документам, поставляемым вместе с продукцией</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4.1</w:t>
            </w:r>
          </w:p>
        </w:tc>
        <w:tc>
          <w:tcPr>
            <w:tcW w:w="2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szCs w:val="24"/>
              </w:rPr>
              <w:t>Документы, передаваемые вместе с продукцией</w:t>
            </w:r>
          </w:p>
        </w:tc>
        <w:tc>
          <w:tcPr>
            <w:tcW w:w="1187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szCs w:val="24"/>
              </w:rPr>
              <w:t xml:space="preserve">Поставщик обязан одновременно с передачей продукции передать Покупателю относящиеся к нему документы, оформленные надлежащим образом: сертификаты качества; технические паспорта; руководства по эксплуатации </w:t>
            </w:r>
            <w:r>
              <w:rPr/>
              <w:t>со штампом отдела технического контроля (ОТК) изготовителя.</w:t>
            </w:r>
            <w:r>
              <w:rPr>
                <w:szCs w:val="24"/>
              </w:rPr>
              <w:t>; товарную накладную унифицированной формы ТОРГ-12(УПД) в 2 экз.</w:t>
            </w:r>
            <w:r>
              <w:rPr>
                <w:bCs/>
                <w:szCs w:val="24"/>
              </w:rPr>
              <w:t>, транспортную накладную</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5.</w:t>
            </w:r>
          </w:p>
        </w:tc>
        <w:tc>
          <w:tcPr>
            <w:tcW w:w="1405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
                <w:szCs w:val="24"/>
                <w:lang w:eastAsia="ru-RU"/>
              </w:rPr>
              <w:t>Прочие (дополнительные) требования к продукции</w:t>
            </w:r>
          </w:p>
        </w:tc>
      </w:tr>
      <w:tr>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5.1</w:t>
            </w:r>
          </w:p>
        </w:tc>
        <w:tc>
          <w:tcPr>
            <w:tcW w:w="14050"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Продукция должна быть новой, ранее не использовавшейся.</w:t>
            </w:r>
          </w:p>
          <w:p>
            <w:pPr>
              <w:pStyle w:val="Normal"/>
              <w:widowControl w:val="false"/>
              <w:jc w:val="both"/>
              <w:rPr/>
            </w:pPr>
            <w:r>
              <w:rPr>
                <w:bCs/>
                <w:szCs w:val="24"/>
                <w:lang w:eastAsia="x-none"/>
              </w:rPr>
              <w:t>Продукция должна соответствовать обязательным требованиям, установленными нормативными документами, действующими в РФ.</w:t>
            </w:r>
          </w:p>
          <w:p>
            <w:pPr>
              <w:pStyle w:val="Normal"/>
              <w:widowControl w:val="false"/>
              <w:jc w:val="both"/>
              <w:rPr/>
            </w:pPr>
            <w:r>
              <w:rPr>
                <w:bCs/>
                <w:szCs w:val="24"/>
                <w:lang w:eastAsia="x-none"/>
              </w:rPr>
              <w:t>Продукция обязательно должна быть укомплектована документами, удостоверяющими качество продукции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p>
            <w:pPr>
              <w:pStyle w:val="Normal"/>
              <w:widowControl w:val="false"/>
              <w:jc w:val="both"/>
              <w:rPr/>
            </w:pPr>
            <w:r>
              <w:rPr>
                <w:rFonts w:eastAsia="Times New Roman" w:cs="Times New Roman"/>
                <w:bCs/>
                <w:szCs w:val="24"/>
                <w:lang w:eastAsia="ru-RU"/>
              </w:rPr>
              <w:t>Продукция поставщика должна быть пригодна для ремонта гидроагрегатов Филиала ПАО «РусГидро» - «Новосибирская ГЭС» и соответствовать техническим параметрам, стандартам и требованиям для данной продукции, в том числе общеизвестным техническим параметрам, а также соответствовать стандартам и требованиям для данной продукции, установленных нормативными регламентами и законодательством Российской Федерации. В случае наличия особенностей производства продукции, особенности технических параметров продукции или отступления от стандартов, поставщик обязан согласовывать это с Покупателем.</w:t>
            </w:r>
          </w:p>
        </w:tc>
      </w:tr>
    </w:tbl>
    <w:p>
      <w:pPr>
        <w:sectPr>
          <w:headerReference w:type="default" r:id="rId24"/>
          <w:headerReference w:type="first" r:id="rId25"/>
          <w:footerReference w:type="default" r:id="rId26"/>
          <w:footerReference w:type="first" r:id="rId27"/>
          <w:type w:val="nextPage"/>
          <w:pgSz w:orient="landscape" w:w="16838" w:h="11906"/>
          <w:pgMar w:left="597" w:right="767" w:gutter="0" w:header="0" w:top="367" w:footer="409" w:bottom="1192"/>
          <w:pgNumType w:start="21" w:fmt="decimal"/>
          <w:formProt w:val="false"/>
          <w:textDirection w:val="lrTb"/>
          <w:docGrid w:type="default" w:linePitch="100" w:charSpace="0"/>
        </w:sectPr>
        <w:pStyle w:val="Normal"/>
        <w:rPr/>
      </w:pPr>
      <w:r>
        <w:rPr/>
      </w:r>
    </w:p>
    <w:p>
      <w:pPr>
        <w:pStyle w:val="Heading1"/>
        <w:numPr>
          <w:ilvl w:val="0"/>
          <w:numId w:val="0"/>
        </w:numPr>
        <w:ind w:left="1353" w:hanging="0"/>
        <w:jc w:val="both"/>
        <w:rPr/>
      </w:pPr>
      <w:r>
        <w:rPr>
          <w:color w:val="000000"/>
          <w:sz w:val="24"/>
        </w:rPr>
        <w:t>3. Требования к документации по ценообразованию на этапе закупки</w:t>
      </w:r>
    </w:p>
    <w:p>
      <w:pPr>
        <w:pStyle w:val="Normal"/>
        <w:jc w:val="both"/>
        <w:rPr>
          <w:color w:val="000000"/>
          <w:sz w:val="24"/>
        </w:rPr>
      </w:pPr>
      <w:r>
        <w:rPr>
          <w:color w:val="000000"/>
          <w:sz w:val="24"/>
        </w:rPr>
      </w:r>
    </w:p>
    <w:p>
      <w:pPr>
        <w:pStyle w:val="ListParagraph"/>
        <w:widowControl w:val="false"/>
        <w:numPr>
          <w:ilvl w:val="1"/>
          <w:numId w:val="17"/>
        </w:numPr>
        <w:suppressAutoHyphens w:val="true"/>
        <w:bidi w:val="0"/>
        <w:spacing w:before="0" w:after="0"/>
        <w:ind w:left="0" w:right="0" w:firstLine="737"/>
        <w:contextualSpacing/>
        <w:jc w:val="both"/>
        <w:rPr>
          <w:sz w:val="24"/>
          <w:szCs w:val="24"/>
        </w:rPr>
      </w:pPr>
      <w:r>
        <w:rPr>
          <w:i w:val="false"/>
          <w:iCs w:val="false"/>
          <w:color w:val="000000"/>
          <w:sz w:val="24"/>
          <w:szCs w:val="24"/>
          <w:lang w:eastAsia="x-none"/>
        </w:rPr>
        <w:t>Продукция должна соответствовать обязательным требованиям, установленными нормативными документами, действующими в РФ. Продукция обязательно должна быть укомплектована документами, удостоверяющими качество продукции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p>
      <w:pPr>
        <w:pStyle w:val="ListParagraph"/>
        <w:widowControl w:val="false"/>
        <w:numPr>
          <w:ilvl w:val="1"/>
          <w:numId w:val="17"/>
        </w:numPr>
        <w:suppressAutoHyphens w:val="true"/>
        <w:bidi w:val="0"/>
        <w:spacing w:before="0" w:after="0"/>
        <w:ind w:left="0" w:right="0" w:firstLine="737"/>
        <w:contextualSpacing/>
        <w:jc w:val="both"/>
        <w:rPr>
          <w:sz w:val="24"/>
          <w:szCs w:val="24"/>
        </w:rPr>
      </w:pPr>
      <w:r>
        <w:rPr>
          <w:i w:val="false"/>
          <w:iCs w:val="false"/>
          <w:color w:val="000000"/>
          <w:sz w:val="24"/>
          <w:szCs w:val="24"/>
          <w:lang w:eastAsia="x-none"/>
        </w:rPr>
        <w:t>Продукция поставщика должна быть пригодна для ремонта гидроагрегатов Филиала ПАО «РусГидро» - «Новосибирская ГЭС» и соответствовать техническим параметрам, стандартам и требованиям для данной продукции, в том числе общеизвестным техническим параметрам, а также соответствовать стандартам и требованиям для данной продукции, установленных нормативными регламентами и законодательством Российской Федерации. В случае наличия особенностей производства продукции, особенности технических параметров продукции или отступления от стандартов, поставщик обязан согласовывать это с Покупателем.</w:t>
      </w:r>
    </w:p>
    <w:p>
      <w:pPr>
        <w:pStyle w:val="ListParagraph"/>
        <w:widowControl w:val="false"/>
        <w:numPr>
          <w:ilvl w:val="1"/>
          <w:numId w:val="17"/>
        </w:numPr>
        <w:suppressAutoHyphens w:val="true"/>
        <w:bidi w:val="0"/>
        <w:spacing w:before="0" w:after="0"/>
        <w:ind w:left="0" w:right="0" w:firstLine="737"/>
        <w:contextualSpacing/>
        <w:jc w:val="both"/>
        <w:rPr>
          <w:sz w:val="24"/>
          <w:szCs w:val="24"/>
        </w:rPr>
      </w:pPr>
      <w:r>
        <w:rPr>
          <w:i w:val="false"/>
          <w:iCs w:val="false"/>
          <w:color w:val="000000"/>
          <w:sz w:val="24"/>
          <w:szCs w:val="24"/>
          <w:lang w:eastAsia="x-none"/>
        </w:rPr>
        <w:t>Покупателем чертежи и конструкторская документация на продукцию не предоставляются.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 Продукция должна не нарушать права третьих лиц на охраняемые результат интеллектуальной деятельности и на средства индивидуализации</w:t>
      </w:r>
    </w:p>
    <w:p>
      <w:pPr>
        <w:pStyle w:val="ListParagraph"/>
        <w:widowControl w:val="false"/>
        <w:numPr>
          <w:ilvl w:val="1"/>
          <w:numId w:val="17"/>
        </w:numPr>
        <w:suppressAutoHyphens w:val="true"/>
        <w:bidi w:val="0"/>
        <w:spacing w:before="0" w:after="0"/>
        <w:ind w:left="0" w:right="0" w:firstLine="737"/>
        <w:contextualSpacing/>
        <w:jc w:val="both"/>
        <w:rPr>
          <w:sz w:val="24"/>
          <w:szCs w:val="24"/>
        </w:rPr>
      </w:pPr>
      <w:r>
        <w:rPr>
          <w:i w:val="false"/>
          <w:iCs w:val="false"/>
          <w:color w:val="000000"/>
          <w:sz w:val="24"/>
          <w:szCs w:val="24"/>
          <w:lang w:eastAsia="x-none"/>
        </w:rPr>
        <w:t>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средства индивидуализации все вопросы связанные с использованием  прав третьих лиц на охраняемые  результаты интеллектуальной деятельности и средства индивидуализации в случае необходимости их использования при производстве продукции Победителем, а также по первому требованию Покупателя в течение 3 (трех) рабочих дней предоставить документы, подтверждающие соблюдение прав третьих лиц на охраняемые результаты интеллектуальной деятельности и на средства индивидуализации, а равно документы, подтверждающие законность использования Победителем прав третьих лиц на охраняемые результаты интеллектуальной деятельности и на средства индивидуализации при производстве и введении в гражданский оборот продукции, произведенной Победителем.</w:t>
      </w:r>
    </w:p>
    <w:p>
      <w:pPr>
        <w:pStyle w:val="ListParagraph"/>
        <w:widowControl w:val="false"/>
        <w:numPr>
          <w:ilvl w:val="1"/>
          <w:numId w:val="17"/>
        </w:numPr>
        <w:suppressAutoHyphens w:val="true"/>
        <w:bidi w:val="0"/>
        <w:spacing w:before="0" w:after="0"/>
        <w:ind w:left="0" w:right="0" w:firstLine="737"/>
        <w:contextualSpacing/>
        <w:jc w:val="both"/>
        <w:rPr>
          <w:sz w:val="24"/>
          <w:szCs w:val="24"/>
        </w:rPr>
      </w:pPr>
      <w:r>
        <w:rPr>
          <w:bCs/>
          <w:i w:val="false"/>
          <w:iCs w:val="false"/>
          <w:color w:val="000000"/>
          <w:sz w:val="24"/>
          <w:szCs w:val="24"/>
          <w:lang w:eastAsia="x-none"/>
        </w:rPr>
        <w:t>В случае поступления каких-либо претензий, требований, исков в адрес Покупателя от любых третьих лиц в отношении результатов интеллектуальной деятельности и средств индивидуализации, в том числе от любых иных лиц чьи права на результаты интеллектуальной деятельности были нарушены и (или) могли быть нарушены Победитель обязуется незамедлительно после получения соответствующего сообщения от Покупателя в полном объёме урегулировать с этими третьими лицами все вышеуказанные претензии, требования, исковые требования своими силами и за свой счет. В случае нарушения данного условия Победитель обязан возместить Покупателю в полном объеме все понесенные Покупателем убытки в течение 3 (трех) рабочих дней с момента предъявления соответствующего требования Покупателя.</w:t>
      </w:r>
    </w:p>
    <w:sectPr>
      <w:headerReference w:type="default" r:id="rId28"/>
      <w:headerReference w:type="first" r:id="rId29"/>
      <w:footerReference w:type="even" r:id="rId30"/>
      <w:footerReference w:type="default" r:id="rId31"/>
      <w:footerReference w:type="first" r:id="rId32"/>
      <w:type w:val="nextPage"/>
      <w:pgSz w:w="11906" w:h="16838"/>
      <w:pgMar w:left="1701" w:right="849"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Cambria">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Garamond">
    <w:charset w:val="01"/>
    <w:family w:val="roman"/>
    <w:pitch w:val="variable"/>
  </w:font>
  <w:font w:name="Arial Unicode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14605" cy="14605"/>
              <wp:effectExtent l="0" t="0" r="0" b="0"/>
              <wp:wrapSquare wrapText="bothSides"/>
              <wp:docPr id="19"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10">
              <wp:simplePos x="0" y="0"/>
              <wp:positionH relativeFrom="margin">
                <wp:align>right</wp:align>
              </wp:positionH>
              <wp:positionV relativeFrom="paragraph">
                <wp:posOffset>635</wp:posOffset>
              </wp:positionV>
              <wp:extent cx="127635" cy="145415"/>
              <wp:effectExtent l="0" t="0" r="0" b="0"/>
              <wp:wrapSquare wrapText="bothSides"/>
              <wp:docPr id="21"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v:textbox>
              <w10:wrap type="squar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10">
              <wp:simplePos x="0" y="0"/>
              <wp:positionH relativeFrom="margin">
                <wp:align>right</wp:align>
              </wp:positionH>
              <wp:positionV relativeFrom="paragraph">
                <wp:posOffset>635</wp:posOffset>
              </wp:positionV>
              <wp:extent cx="127635" cy="145415"/>
              <wp:effectExtent l="0" t="0" r="0" b="0"/>
              <wp:wrapSquare wrapText="bothSides"/>
              <wp:docPr id="2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3"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27635" cy="145415"/>
              <wp:effectExtent l="0" t="0" r="0" b="0"/>
              <wp:wrapSquare wrapText="bothSides"/>
              <wp:docPr id="1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27635" cy="145415"/>
              <wp:effectExtent l="0" t="0" r="0" b="0"/>
              <wp:wrapSquare wrapText="bothSides"/>
              <wp:docPr id="17"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3"/>
      <w:numFmt w:val="decimal"/>
      <w:lvlText w:val="%1."/>
      <w:lvlJc w:val="left"/>
      <w:pPr>
        <w:tabs>
          <w:tab w:val="num" w:pos="1353"/>
        </w:tabs>
        <w:ind w:left="1353" w:hanging="360"/>
      </w:pPr>
      <w:rPr>
        <w:b/>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1800" w:hanging="360"/>
      </w:pPr>
      <w:rPr>
        <w:b/>
        <w:bCs/>
      </w:rPr>
    </w:lvl>
    <w:lvl w:ilvl="1">
      <w:start w:val="1"/>
      <w:numFmt w:val="decimal"/>
      <w:lvlText w:val="%1.%2."/>
      <w:lvlJc w:val="left"/>
      <w:pPr>
        <w:tabs>
          <w:tab w:val="num" w:pos="0"/>
        </w:tabs>
        <w:ind w:left="1800" w:hanging="360"/>
      </w:pPr>
      <w:rPr>
        <w:b/>
        <w:bCs/>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520" w:hanging="1080"/>
      </w:pPr>
      <w:rPr/>
    </w:lvl>
    <w:lvl w:ilvl="6">
      <w:start w:val="1"/>
      <w:numFmt w:val="decimal"/>
      <w:lvlText w:val="%1.%2.%3.%4.%5.%6.%7."/>
      <w:lvlJc w:val="left"/>
      <w:pPr>
        <w:tabs>
          <w:tab w:val="num" w:pos="0"/>
        </w:tabs>
        <w:ind w:left="2880" w:hanging="1440"/>
      </w:pPr>
      <w:rPr/>
    </w:lvl>
    <w:lvl w:ilvl="7">
      <w:start w:val="1"/>
      <w:numFmt w:val="decimal"/>
      <w:lvlText w:val="%1.%2.%3.%4.%5.%6.%7.%8."/>
      <w:lvlJc w:val="left"/>
      <w:pPr>
        <w:tabs>
          <w:tab w:val="num" w:pos="0"/>
        </w:tabs>
        <w:ind w:left="2880" w:hanging="1440"/>
      </w:pPr>
      <w:rPr/>
    </w:lvl>
    <w:lvl w:ilvl="8">
      <w:start w:val="1"/>
      <w:numFmt w:val="decimal"/>
      <w:lvlText w:val="%1.%2.%3.%4.%5.%6.%7.%8.%9."/>
      <w:lvlJc w:val="left"/>
      <w:pPr>
        <w:tabs>
          <w:tab w:val="num" w:pos="0"/>
        </w:tabs>
        <w:ind w:left="3240" w:hanging="1800"/>
      </w:pPr>
      <w:rPr/>
    </w:lvl>
  </w:abstractNum>
  <w:abstractNum w:abstractNumId="16">
    <w:lvl w:ilvl="0">
      <w:start w:val="1"/>
      <w:numFmt w:val="decimal"/>
      <w:lvlText w:val="%1."/>
      <w:lvlJc w:val="left"/>
      <w:pPr>
        <w:tabs>
          <w:tab w:val="num" w:pos="0"/>
        </w:tabs>
        <w:ind w:left="3196" w:hanging="360"/>
      </w:pPr>
      <w:rPr>
        <w:smallCaps w:val="false"/>
        <w:caps w:val="false"/>
        <w:dstrike w:val="false"/>
        <w:strike w:val="false"/>
        <w:sz w:val="24"/>
        <w:spacing w:val="0"/>
        <w:i w:val="false"/>
        <w:b/>
        <w:kern w:val="0"/>
        <w:szCs w:val="28"/>
        <w:iCs w:val="false"/>
        <w:bCs w:val="false"/>
        <w:vanish w:val="false"/>
        <w:rFonts w:ascii="Times New Roman" w:hAnsi="Times New Roman" w:cs="Times New Roman"/>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3"/>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0">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18"/>
    <w:lvlOverride w:ilvl="0">
      <w:startOverride w:val="1"/>
    </w:lvlOverride>
  </w:num>
  <w:num w:numId="23">
    <w:abstractNumId w:val="18"/>
  </w:num>
  <w:num w:numId="24">
    <w:abstractNumId w:val="18"/>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6"/>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Label">
    <w:name w:val="label"/>
    <w:qFormat/>
    <w:rPr>
      <w:rFonts w:ascii="Times New Roman" w:hAnsi="Times New Roman" w:eastAsia="Times New Roman" w:cs="Times New Roman"/>
      <w:color w:val="000000"/>
      <w:sz w:val="24"/>
      <w:szCs w:val="24"/>
    </w:rPr>
  </w:style>
  <w:style w:type="character" w:styleId="C-gruppedpropsprop-value">
    <w:name w:val="c-gruppedprops__prop-value"/>
    <w:qFormat/>
    <w:rPr>
      <w:rFonts w:ascii="Times New Roman" w:hAnsi="Times New Roman" w:eastAsia="Times New Roman" w:cs="Times New Roman"/>
      <w:color w:val="000000"/>
      <w:sz w:val="24"/>
      <w:szCs w:val="24"/>
    </w:rPr>
  </w:style>
  <w:style w:type="character" w:styleId="Value">
    <w:name w:val="value"/>
    <w:qFormat/>
    <w:rPr/>
  </w:style>
  <w:style w:type="character" w:styleId="Text">
    <w:name w:val="text"/>
    <w:qFormat/>
    <w:rPr/>
  </w:style>
  <w:style w:type="character" w:styleId="FontStyle16">
    <w:name w:val="Font Style16"/>
    <w:qFormat/>
    <w:rPr>
      <w:rFonts w:ascii="Times New Roman" w:hAnsi="Times New Roman" w:cs="Times New Roman"/>
      <w:sz w:val="22"/>
      <w:szCs w:val="22"/>
    </w:rPr>
  </w:style>
  <w:style w:type="character" w:styleId="11">
    <w:name w:val="Неразрешенное упоминание1"/>
    <w:qFormat/>
    <w:rPr>
      <w:rFonts w:ascii="Times New Roman" w:hAnsi="Times New Roman" w:eastAsia="Times New Roman" w:cs="Times New Roman"/>
      <w:color w:val="605E5C"/>
      <w:sz w:val="24"/>
      <w:szCs w:val="24"/>
      <w:shd w:fill="E1DFDD" w:val="clear"/>
    </w:rPr>
  </w:style>
  <w:style w:type="character" w:styleId="12">
    <w:name w:val="УРОВЕНЬ_1. Знак"/>
    <w:qFormat/>
    <w:rPr>
      <w:rFonts w:ascii="Times New Roman" w:hAnsi="Times New Roman" w:eastAsia="Calibri" w:cs="Times New Roman"/>
      <w:caps/>
      <w:sz w:val="28"/>
      <w:szCs w:val="28"/>
    </w:rPr>
  </w:style>
  <w:style w:type="character" w:styleId="21">
    <w:name w:val="Пункт2 Знак"/>
    <w:qFormat/>
    <w:rPr>
      <w:rFonts w:ascii="Times New Roman" w:hAnsi="Times New Roman" w:eastAsia="Times New Roman" w:cs="Times New Roman"/>
      <w:b/>
      <w:sz w:val="28"/>
      <w:szCs w:val="20"/>
      <w:lang w:eastAsia="ru-RU"/>
    </w:rPr>
  </w:style>
  <w:style w:type="character" w:styleId="EndnoteCharacters">
    <w:name w:val="Endnote Characters"/>
    <w:qFormat/>
    <w:rPr>
      <w:rFonts w:ascii="Times New Roman" w:hAnsi="Times New Roman" w:eastAsia="Times New Roman" w:cs="Times New Roman"/>
      <w:color w:val="000000"/>
      <w:sz w:val="24"/>
      <w:szCs w:val="24"/>
      <w:vertAlign w:val="superscript"/>
    </w:rPr>
  </w:style>
  <w:style w:type="character" w:styleId="Style14">
    <w:name w:val="Текст концевой сноски Знак"/>
    <w:qFormat/>
    <w:rPr>
      <w:rFonts w:eastAsia="Times New Roman" w:cs="Times New Roman"/>
      <w:color w:val="000000"/>
      <w:sz w:val="20"/>
      <w:szCs w:val="20"/>
      <w:lang w:eastAsia="ru-RU"/>
    </w:rPr>
  </w:style>
  <w:style w:type="character" w:styleId="32">
    <w:name w:val="УРОВЕНЬ_Абзац_тип3 Знак"/>
    <w:qFormat/>
    <w:rPr>
      <w:rFonts w:ascii="Times New Roman" w:hAnsi="Times New Roman" w:eastAsia="Calibri" w:cs="Times New Roman"/>
      <w:sz w:val="26"/>
      <w:szCs w:val="28"/>
    </w:rPr>
  </w:style>
  <w:style w:type="character" w:styleId="Style15">
    <w:name w:val="Подподпункт Знак"/>
    <w:qFormat/>
    <w:rPr>
      <w:rFonts w:ascii="Times New Roman" w:hAnsi="Times New Roman" w:eastAsia="Times New Roman" w:cs="Times New Roman"/>
      <w:sz w:val="26"/>
      <w:szCs w:val="26"/>
      <w:lang w:eastAsia="ru-RU"/>
    </w:rPr>
  </w:style>
  <w:style w:type="character" w:styleId="Blk">
    <w:name w:val="blk"/>
    <w:qFormat/>
    <w:rPr/>
  </w:style>
  <w:style w:type="character" w:styleId="13">
    <w:name w:val="Подпункт Знак1"/>
    <w:qFormat/>
    <w:rPr>
      <w:rFonts w:ascii="Times New Roman" w:hAnsi="Times New Roman" w:eastAsia="Times New Roman" w:cs="Times New Roman"/>
      <w:sz w:val="28"/>
      <w:szCs w:val="20"/>
      <w:lang w:val="x-none" w:eastAsia="x-none"/>
    </w:rPr>
  </w:style>
  <w:style w:type="character" w:styleId="Style16">
    <w:name w:val="Электронная подпись Знак"/>
    <w:qFormat/>
    <w:rPr>
      <w:rFonts w:cs="Times New Roman"/>
      <w:color w:val="000000"/>
      <w:szCs w:val="24"/>
      <w:lang w:val="x-none" w:eastAsia="x-none"/>
    </w:rPr>
  </w:style>
  <w:style w:type="character" w:styleId="BookTitle">
    <w:name w:val="Book Title"/>
    <w:qFormat/>
    <w:rPr>
      <w:b/>
      <w:bCs/>
      <w:smallCaps/>
      <w:spacing w:val="5"/>
    </w:rPr>
  </w:style>
  <w:style w:type="character" w:styleId="IntenseReference">
    <w:name w:val="Intense Reference"/>
    <w:qFormat/>
    <w:rPr>
      <w:b/>
      <w:bCs/>
      <w:smallCaps/>
      <w:color w:val="C0504D"/>
      <w:spacing w:val="5"/>
      <w:u w:val="single"/>
    </w:rPr>
  </w:style>
  <w:style w:type="character" w:styleId="SubtleReference">
    <w:name w:val="Subtle Reference"/>
    <w:qFormat/>
    <w:rPr>
      <w:smallCaps/>
      <w:color w:val="C0504D"/>
      <w:u w:val="single"/>
    </w:rPr>
  </w:style>
  <w:style w:type="character" w:styleId="IntenseEmphasis">
    <w:name w:val="Intense Emphasis"/>
    <w:qFormat/>
    <w:rPr>
      <w:b/>
      <w:bCs/>
      <w:i/>
      <w:iCs/>
      <w:color w:val="4F81BD"/>
    </w:rPr>
  </w:style>
  <w:style w:type="character" w:styleId="SubtleEmphasis">
    <w:name w:val="Subtle Emphasis"/>
    <w:qFormat/>
    <w:rPr>
      <w:i/>
      <w:iCs/>
      <w:color w:val="808080"/>
    </w:rPr>
  </w:style>
  <w:style w:type="character" w:styleId="Style17">
    <w:name w:val="Выделенная цитата Знак"/>
    <w:qFormat/>
    <w:rPr>
      <w:rFonts w:ascii="Calibri" w:hAnsi="Calibri" w:cs="Times New Roman"/>
      <w:b/>
      <w:bCs/>
      <w:i/>
      <w:iCs/>
      <w:color w:val="4F81BD"/>
      <w:sz w:val="20"/>
      <w:szCs w:val="20"/>
      <w:lang w:val="x-none" w:eastAsia="x-none"/>
    </w:rPr>
  </w:style>
  <w:style w:type="character" w:styleId="22">
    <w:name w:val="Цитата 2 Знак"/>
    <w:qFormat/>
    <w:rPr>
      <w:rFonts w:ascii="Calibri" w:hAnsi="Calibri" w:cs="Times New Roman"/>
      <w:i/>
      <w:iCs/>
      <w:color w:val="000000"/>
      <w:sz w:val="20"/>
      <w:szCs w:val="20"/>
      <w:lang w:val="x-none" w:eastAsia="x-none"/>
    </w:rPr>
  </w:style>
  <w:style w:type="character" w:styleId="Style18">
    <w:name w:val="Подзаголовок Знак"/>
    <w:qFormat/>
    <w:rPr>
      <w:rFonts w:ascii="Cambria" w:hAnsi="Cambria" w:eastAsia="Times New Roman" w:cs="Times New Roman"/>
      <w:i/>
      <w:iCs/>
      <w:color w:val="4F81BD"/>
      <w:spacing w:val="15"/>
      <w:szCs w:val="24"/>
      <w:lang w:val="x-none" w:eastAsia="x-none"/>
    </w:rPr>
  </w:style>
  <w:style w:type="character" w:styleId="Style19">
    <w:name w:val="Название Знак"/>
    <w:qFormat/>
    <w:rPr>
      <w:rFonts w:ascii="Times New Roman" w:hAnsi="Times New Roman" w:eastAsia="Times New Roman" w:cs="Times New Roman"/>
      <w:sz w:val="28"/>
      <w:szCs w:val="20"/>
      <w:lang w:val="x-none" w:eastAsia="x-none"/>
    </w:rPr>
  </w:style>
  <w:style w:type="character" w:styleId="Strong">
    <w:name w:val="Strong"/>
    <w:qFormat/>
    <w:rPr>
      <w:b/>
      <w:bCs/>
    </w:rPr>
  </w:style>
  <w:style w:type="character" w:styleId="23">
    <w:name w:val="Основной текст 2 Знак"/>
    <w:qFormat/>
    <w:rPr>
      <w:rFonts w:eastAsia="Times New Roman" w:cs="Times New Roman"/>
      <w:color w:val="000000"/>
      <w:sz w:val="28"/>
      <w:szCs w:val="28"/>
      <w:lang w:eastAsia="ru-RU"/>
    </w:rPr>
  </w:style>
  <w:style w:type="character" w:styleId="33">
    <w:name w:val="Основной текст с отступом 3 Знак"/>
    <w:qFormat/>
    <w:rPr>
      <w:rFonts w:eastAsia="Times New Roman" w:cs="Times New Roman"/>
      <w:color w:val="000000"/>
      <w:sz w:val="16"/>
      <w:szCs w:val="16"/>
      <w:lang w:eastAsia="ru-RU"/>
    </w:rPr>
  </w:style>
  <w:style w:type="character" w:styleId="Style20">
    <w:name w:val="Нижний колонтитул Знак"/>
    <w:qFormat/>
    <w:rPr>
      <w:rFonts w:eastAsia="Times New Roman" w:cs="Times New Roman"/>
      <w:color w:val="000000"/>
      <w:sz w:val="28"/>
      <w:szCs w:val="28"/>
      <w:lang w:eastAsia="ru-RU"/>
    </w:rPr>
  </w:style>
  <w:style w:type="character" w:styleId="FootnoteCharacters">
    <w:name w:val="Footnote Characters"/>
    <w:qFormat/>
    <w:rPr>
      <w:vertAlign w:val="superscript"/>
    </w:rPr>
  </w:style>
  <w:style w:type="character" w:styleId="9">
    <w:name w:val="Заголовок 9 Знак"/>
    <w:qFormat/>
    <w:rPr>
      <w:rFonts w:ascii="Arial" w:hAnsi="Arial" w:eastAsia="Times New Roman" w:cs="Times New Roman"/>
      <w:color w:val="000000"/>
      <w:sz w:val="24"/>
      <w:szCs w:val="24"/>
      <w:lang w:val="x-none" w:eastAsia="x-none"/>
    </w:rPr>
  </w:style>
  <w:style w:type="character" w:styleId="8">
    <w:name w:val="Заголовок 8 Знак"/>
    <w:qFormat/>
    <w:rPr>
      <w:rFonts w:ascii="Cambria" w:hAnsi="Cambria" w:eastAsia="Times New Roman" w:cs="Times New Roman"/>
      <w:color w:val="4F81BD"/>
      <w:sz w:val="20"/>
      <w:szCs w:val="20"/>
      <w:lang w:val="x-none" w:eastAsia="x-none"/>
    </w:rPr>
  </w:style>
  <w:style w:type="character" w:styleId="7">
    <w:name w:val="Заголовок 7 Знак"/>
    <w:qFormat/>
    <w:rPr>
      <w:rFonts w:ascii="Cambria" w:hAnsi="Cambria" w:eastAsia="Times New Roman" w:cs="Times New Roman"/>
      <w:i/>
      <w:iCs/>
      <w:color w:val="404040"/>
      <w:sz w:val="20"/>
      <w:szCs w:val="20"/>
      <w:lang w:val="x-none" w:eastAsia="x-none"/>
    </w:rPr>
  </w:style>
  <w:style w:type="character" w:styleId="6">
    <w:name w:val="Заголовок 6 Знак"/>
    <w:qFormat/>
    <w:rPr>
      <w:rFonts w:ascii="Cambria" w:hAnsi="Cambria" w:eastAsia="Times New Roman" w:cs="Times New Roman"/>
      <w:i/>
      <w:iCs/>
      <w:color w:val="243F60"/>
      <w:sz w:val="20"/>
      <w:szCs w:val="20"/>
      <w:lang w:val="x-none" w:eastAsia="x-none"/>
    </w:rPr>
  </w:style>
  <w:style w:type="character" w:styleId="5">
    <w:name w:val="Заголовок 5 Знак"/>
    <w:qFormat/>
    <w:rPr>
      <w:rFonts w:eastAsia="Times New Roman" w:cs="Times New Roman"/>
      <w:b/>
      <w:bCs/>
      <w:i/>
      <w:iCs/>
      <w:color w:val="000000"/>
      <w:sz w:val="26"/>
      <w:szCs w:val="26"/>
      <w:lang w:val="x-none" w:eastAsia="x-none"/>
    </w:rPr>
  </w:style>
  <w:style w:type="character" w:styleId="24">
    <w:name w:val="Заголовок 2 Знак"/>
    <w:qFormat/>
    <w:rPr>
      <w:rFonts w:cs="Times New Roman"/>
      <w:b/>
      <w:bCs/>
      <w:color w:val="000000"/>
      <w:szCs w:val="24"/>
      <w:lang w:val="x-none" w:eastAsia="x-none"/>
    </w:rPr>
  </w:style>
  <w:style w:type="character" w:styleId="4">
    <w:name w:val="Заголовок 4 Знак"/>
    <w:qFormat/>
    <w:rPr>
      <w:rFonts w:cs="Times New Roman"/>
      <w:b/>
      <w:bCs/>
      <w:color w:val="000000"/>
      <w:szCs w:val="24"/>
      <w:lang w:val="x-none" w:eastAsia="x-none"/>
    </w:rPr>
  </w:style>
  <w:style w:type="character" w:styleId="14">
    <w:name w:val="Заголовок 1 Знак"/>
    <w:qFormat/>
    <w:rPr>
      <w:rFonts w:cs="Times New Roman"/>
      <w:b/>
      <w:color w:val="000000"/>
      <w:sz w:val="28"/>
      <w:szCs w:val="28"/>
      <w:lang w:val="x-none" w:eastAsia="x-none"/>
    </w:rPr>
  </w:style>
  <w:style w:type="character" w:styleId="Style21">
    <w:name w:val="Символ нумерации"/>
    <w:qFormat/>
    <w:rPr>
      <w:b/>
      <w:bCs/>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25">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5"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2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2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6"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5"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4"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30">
    <w:name w:val="Содержимое врезки"/>
    <w:basedOn w:val="Normal"/>
    <w:qFormat/>
    <w:pPr/>
    <w:rPr/>
  </w:style>
  <w:style w:type="paragraph" w:styleId="Style31">
    <w:name w:val="Содержимое таблицы"/>
    <w:basedOn w:val="Normal"/>
    <w:qFormat/>
    <w:pPr>
      <w:widowControl w:val="false"/>
      <w:suppressLineNumbers/>
    </w:pPr>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4"/>
      <w:szCs w:val="22"/>
      <w:lang w:val="ru-RU" w:eastAsia="en-US" w:bidi="ar-SA"/>
    </w:rPr>
  </w:style>
  <w:style w:type="paragraph" w:styleId="Jss308">
    <w:name w:val="jss308"/>
    <w:basedOn w:val="Normal"/>
    <w:qFormat/>
    <w:pPr>
      <w:suppressAutoHyphens w:val="false"/>
      <w:spacing w:before="280" w:after="280"/>
    </w:pPr>
    <w:rPr>
      <w:rFonts w:eastAsia="Times New Roman" w:cs="Times New Roman"/>
      <w:szCs w:val="24"/>
      <w:lang w:eastAsia="ru-RU"/>
    </w:rPr>
  </w:style>
  <w:style w:type="paragraph" w:styleId="26">
    <w:name w:val="Обычный2"/>
    <w:qFormat/>
    <w:pPr>
      <w:widowControl w:val="false"/>
      <w:suppressAutoHyphens w:val="true"/>
      <w:bidi w:val="0"/>
      <w:spacing w:lineRule="auto" w:line="300" w:before="0" w:after="0"/>
      <w:ind w:left="600" w:hanging="0"/>
      <w:jc w:val="left"/>
    </w:pPr>
    <w:rPr>
      <w:rFonts w:ascii="Times New Roman" w:hAnsi="Times New Roman" w:eastAsia="Times New Roman" w:cs="Times New Roman"/>
      <w:color w:val="auto"/>
      <w:kern w:val="0"/>
      <w:sz w:val="28"/>
      <w:szCs w:val="20"/>
      <w:lang w:val="ru-RU" w:eastAsia="ru-RU" w:bidi="ar-SA"/>
    </w:rPr>
  </w:style>
  <w:style w:type="paragraph" w:styleId="17">
    <w:name w:val="Знак Знак Знак Знак1"/>
    <w:basedOn w:val="Normal"/>
    <w:qFormat/>
    <w:pPr>
      <w:spacing w:lineRule="exact" w:line="240" w:before="0" w:after="160"/>
    </w:pPr>
    <w:rPr>
      <w:rFonts w:ascii="Verdana" w:hAnsi="Verdana" w:eastAsia="Times New Roman" w:cs="Verdana"/>
      <w:sz w:val="20"/>
      <w:szCs w:val="20"/>
      <w:lang w:val="en-US"/>
    </w:rPr>
  </w:style>
  <w:style w:type="paragraph" w:styleId="Style32">
    <w:name w:val="Обычный+ без отступа"/>
    <w:basedOn w:val="Normal"/>
    <w:qFormat/>
    <w:pPr>
      <w:spacing w:lineRule="auto" w:line="360" w:before="120" w:after="0"/>
      <w:jc w:val="both"/>
    </w:pPr>
    <w:rPr>
      <w:rFonts w:eastAsia="MS Mincho" w:cs="Times New Roman"/>
      <w:sz w:val="28"/>
      <w:szCs w:val="28"/>
      <w:lang w:eastAsia="ru-RU"/>
    </w:rPr>
  </w:style>
  <w:style w:type="paragraph" w:styleId="BodyText21">
    <w:name w:val="Body Text 21"/>
    <w:basedOn w:val="Normal"/>
    <w:qFormat/>
    <w:pPr>
      <w:ind w:firstLine="709"/>
      <w:jc w:val="both"/>
    </w:pPr>
    <w:rPr>
      <w:rFonts w:eastAsia="Times New Roman" w:cs="Times New Roman"/>
      <w:szCs w:val="20"/>
      <w:lang w:eastAsia="ru-RU"/>
    </w:rPr>
  </w:style>
  <w:style w:type="paragraph" w:styleId="Style33">
    <w:name w:val="Пункт договора"/>
    <w:basedOn w:val="Normal"/>
    <w:qFormat/>
    <w:pPr>
      <w:widowControl w:val="false"/>
      <w:jc w:val="both"/>
    </w:pPr>
    <w:rPr>
      <w:rFonts w:ascii="Arial" w:hAnsi="Arial" w:eastAsia="Times New Roman" w:cs="Times New Roman"/>
      <w:sz w:val="20"/>
      <w:szCs w:val="20"/>
      <w:lang w:eastAsia="ru-RU"/>
    </w:rPr>
  </w:style>
  <w:style w:type="paragraph" w:styleId="18">
    <w:name w:val="Обычный1"/>
    <w:qFormat/>
    <w:pPr>
      <w:widowControl w:val="false"/>
      <w:suppressAutoHyphens w:val="true"/>
      <w:bidi w:val="0"/>
      <w:spacing w:lineRule="auto" w:line="300" w:before="0" w:after="0"/>
      <w:ind w:left="600" w:hanging="0"/>
      <w:jc w:val="left"/>
    </w:pPr>
    <w:rPr>
      <w:rFonts w:ascii="Times New Roman" w:hAnsi="Times New Roman" w:eastAsia="Times New Roman" w:cs="Times New Roman"/>
      <w:color w:val="auto"/>
      <w:kern w:val="0"/>
      <w:sz w:val="28"/>
      <w:szCs w:val="20"/>
      <w:lang w:val="ru-RU" w:eastAsia="ru-RU" w:bidi="ar-SA"/>
    </w:rPr>
  </w:style>
  <w:style w:type="paragraph" w:styleId="-1">
    <w:name w:val="Контракт-раздел"/>
    <w:basedOn w:val="Normal"/>
    <w:qFormat/>
    <w:pPr>
      <w:keepNext w:val="true"/>
      <w:keepLines/>
      <w:tabs>
        <w:tab w:val="clear" w:pos="720"/>
        <w:tab w:val="left" w:pos="0" w:leader="none"/>
        <w:tab w:val="left" w:pos="567" w:leader="none"/>
      </w:tabs>
      <w:spacing w:before="240" w:after="120"/>
      <w:jc w:val="center"/>
    </w:pPr>
    <w:rPr>
      <w:rFonts w:eastAsia="Times New Roman" w:cs="Times New Roman"/>
      <w:b/>
      <w:bCs/>
      <w:caps/>
      <w:szCs w:val="28"/>
      <w:lang w:eastAsia="ru-RU"/>
    </w:rPr>
  </w:style>
  <w:style w:type="paragraph" w:styleId="Style34">
    <w:name w:val="Знак Знак Знак Знак"/>
    <w:basedOn w:val="Normal"/>
    <w:qFormat/>
    <w:pPr>
      <w:suppressAutoHyphens w:val="false"/>
      <w:spacing w:lineRule="exact" w:line="240" w:before="0" w:after="160"/>
    </w:pPr>
    <w:rPr>
      <w:rFonts w:ascii="Verdana" w:hAnsi="Verdana" w:eastAsia="Times New Roman" w:cs="Verdana"/>
      <w:sz w:val="20"/>
      <w:szCs w:val="20"/>
      <w:lang w:val="en-US"/>
    </w:rPr>
  </w:style>
  <w:style w:type="paragraph" w:styleId="19">
    <w:name w:val="УРОВЕНЬ_1."/>
    <w:qFormat/>
    <w:pPr>
      <w:keepNext w:val="true"/>
      <w:keepLines/>
      <w:widowControl/>
      <w:suppressAutoHyphens w:val="true"/>
      <w:bidi w:val="0"/>
      <w:spacing w:lineRule="auto" w:line="276" w:before="240" w:after="120"/>
      <w:jc w:val="both"/>
    </w:pPr>
    <w:rPr>
      <w:rFonts w:ascii="Times New Roman" w:hAnsi="Times New Roman" w:eastAsia="Times New Roman" w:cs="Times New Roman"/>
      <w:caps/>
      <w:color w:val="auto"/>
      <w:kern w:val="0"/>
      <w:sz w:val="28"/>
      <w:szCs w:val="28"/>
      <w:lang w:val="ru-RU" w:eastAsia="ru-RU" w:bidi="ar-SA"/>
    </w:rPr>
  </w:style>
  <w:style w:type="paragraph" w:styleId="Style35">
    <w:name w:val="Таблица текст"/>
    <w:basedOn w:val="Normal"/>
    <w:qFormat/>
    <w:pPr>
      <w:spacing w:before="40" w:after="40"/>
      <w:ind w:left="57" w:right="57" w:hanging="0"/>
    </w:pPr>
    <w:rPr>
      <w:rFonts w:eastAsia="Times New Roman" w:cs="Times New Roman"/>
      <w:szCs w:val="26"/>
      <w:lang w:eastAsia="ru-RU"/>
    </w:rPr>
  </w:style>
  <w:style w:type="paragraph" w:styleId="27">
    <w:name w:val="Заголовок 2 КВВ"/>
    <w:basedOn w:val="Normal"/>
    <w:qFormat/>
    <w:pPr>
      <w:keepNext w:val="true"/>
      <w:spacing w:before="120" w:after="120"/>
      <w:jc w:val="both"/>
    </w:pPr>
    <w:rPr>
      <w:rFonts w:eastAsia="Times New Roman" w:cs="Times New Roman"/>
      <w:b/>
      <w:kern w:val="2"/>
      <w:szCs w:val="20"/>
      <w:lang w:eastAsia="x-none"/>
    </w:rPr>
  </w:style>
  <w:style w:type="paragraph" w:styleId="110">
    <w:name w:val="Стиль Заголовок 1 + по ширине"/>
    <w:basedOn w:val="Heading1"/>
    <w:qFormat/>
    <w:pPr>
      <w:keepNext w:val="true"/>
      <w:keepLines/>
      <w:tabs>
        <w:tab w:val="clear" w:pos="720"/>
        <w:tab w:val="left" w:pos="567" w:leader="none"/>
        <w:tab w:val="left" w:pos="709" w:leader="none"/>
      </w:tabs>
      <w:spacing w:before="480" w:after="240"/>
      <w:ind w:left="567" w:hanging="567"/>
      <w:jc w:val="both"/>
    </w:pPr>
    <w:rPr>
      <w:rFonts w:ascii="Arial" w:hAnsi="Arial" w:eastAsia="Times New Roman" w:cs="Times New Roman"/>
      <w:b/>
      <w:bCs/>
      <w:kern w:val="2"/>
      <w:sz w:val="40"/>
      <w:szCs w:val="20"/>
      <w:lang w:eastAsia="ru-RU"/>
    </w:rPr>
  </w:style>
  <w:style w:type="paragraph" w:styleId="Style36">
    <w:name w:val="УРОВЕНЬ_Подпись"/>
    <w:qFormat/>
    <w:pPr>
      <w:keepNext w:val="true"/>
      <w:widowControl/>
      <w:suppressAutoHyphens w:val="true"/>
      <w:bidi w:val="0"/>
      <w:spacing w:lineRule="exact" w:line="360" w:before="120" w:after="120"/>
      <w:ind w:left="2736" w:hanging="936"/>
      <w:jc w:val="right"/>
    </w:pPr>
    <w:rPr>
      <w:rFonts w:ascii="Times New Roman" w:hAnsi="Times New Roman" w:eastAsia="Times New Roman" w:cs="Times New Roman"/>
      <w:color w:val="auto"/>
      <w:kern w:val="0"/>
      <w:sz w:val="26"/>
      <w:szCs w:val="28"/>
      <w:lang w:val="ru-RU" w:eastAsia="ru-RU" w:bidi="ar-SA"/>
    </w:rPr>
  </w:style>
  <w:style w:type="paragraph" w:styleId="35">
    <w:name w:val="УРОВЕНЬ_Абзац_тип3"/>
    <w:qFormat/>
    <w:pPr>
      <w:widowControl/>
      <w:suppressAutoHyphens w:val="true"/>
      <w:bidi w:val="0"/>
      <w:spacing w:lineRule="exact" w:line="360" w:before="120" w:after="0"/>
      <w:ind w:left="708" w:hanging="0"/>
      <w:jc w:val="both"/>
    </w:pPr>
    <w:rPr>
      <w:rFonts w:ascii="Times New Roman" w:hAnsi="Times New Roman" w:eastAsia="Times New Roman" w:cs="Times New Roman"/>
      <w:color w:val="auto"/>
      <w:kern w:val="0"/>
      <w:sz w:val="26"/>
      <w:szCs w:val="28"/>
      <w:lang w:val="ru-RU" w:eastAsia="ru-RU" w:bidi="ar-SA"/>
    </w:rPr>
  </w:style>
  <w:style w:type="paragraph" w:styleId="28">
    <w:name w:val="УРОВЕНЬ_Абзац_тип2"/>
    <w:qFormat/>
    <w:pPr>
      <w:widowControl/>
      <w:suppressAutoHyphens w:val="true"/>
      <w:bidi w:val="0"/>
      <w:spacing w:lineRule="exact" w:line="360" w:before="120" w:after="0"/>
      <w:ind w:left="3240" w:hanging="1080"/>
      <w:jc w:val="both"/>
    </w:pPr>
    <w:rPr>
      <w:rFonts w:ascii="Times New Roman" w:hAnsi="Times New Roman" w:eastAsia="Times New Roman" w:cs="Times New Roman"/>
      <w:color w:val="auto"/>
      <w:kern w:val="0"/>
      <w:sz w:val="26"/>
      <w:szCs w:val="28"/>
      <w:lang w:val="ru-RU" w:eastAsia="ru-RU" w:bidi="ar-SA"/>
    </w:rPr>
  </w:style>
  <w:style w:type="paragraph" w:styleId="-2">
    <w:name w:val="УРОВЕНЬ_-"/>
    <w:qFormat/>
    <w:pPr>
      <w:widowControl/>
      <w:suppressAutoHyphens w:val="true"/>
      <w:bidi w:val="0"/>
      <w:spacing w:lineRule="exact" w:line="360" w:before="120" w:after="0"/>
      <w:ind w:left="2232" w:hanging="792"/>
      <w:jc w:val="both"/>
    </w:pPr>
    <w:rPr>
      <w:rFonts w:ascii="Times New Roman" w:hAnsi="Times New Roman" w:eastAsia="Times New Roman" w:cs="Times New Roman"/>
      <w:color w:val="auto"/>
      <w:kern w:val="0"/>
      <w:sz w:val="26"/>
      <w:szCs w:val="28"/>
      <w:lang w:val="ru-RU" w:eastAsia="ru-RU" w:bidi="ar-SA"/>
    </w:rPr>
  </w:style>
  <w:style w:type="paragraph" w:styleId="Style37">
    <w:name w:val="УРОВЕНЬ_(а)"/>
    <w:qFormat/>
    <w:pPr>
      <w:widowControl/>
      <w:suppressAutoHyphens w:val="true"/>
      <w:bidi w:val="0"/>
      <w:spacing w:lineRule="exact" w:line="360" w:before="120" w:after="0"/>
      <w:ind w:left="1728" w:hanging="648"/>
      <w:jc w:val="both"/>
    </w:pPr>
    <w:rPr>
      <w:rFonts w:ascii="Times New Roman" w:hAnsi="Times New Roman" w:eastAsia="Times New Roman" w:cs="Times New Roman"/>
      <w:color w:val="auto"/>
      <w:kern w:val="0"/>
      <w:sz w:val="26"/>
      <w:szCs w:val="28"/>
      <w:lang w:val="ru-RU" w:eastAsia="ru-RU" w:bidi="ar-SA"/>
    </w:rPr>
  </w:style>
  <w:style w:type="paragraph" w:styleId="Style38">
    <w:name w:val="Подподпункт"/>
    <w:qFormat/>
    <w:pPr>
      <w:widowControl/>
      <w:tabs>
        <w:tab w:val="clear" w:pos="720"/>
        <w:tab w:val="left" w:pos="5104" w:leader="none"/>
      </w:tabs>
      <w:suppressAutoHyphens w:val="true"/>
      <w:bidi w:val="0"/>
      <w:spacing w:lineRule="auto" w:line="240" w:before="120" w:after="0"/>
      <w:ind w:left="5104" w:hanging="567"/>
      <w:jc w:val="both"/>
    </w:pPr>
    <w:rPr>
      <w:rFonts w:ascii="Times New Roman" w:hAnsi="Times New Roman" w:eastAsia="Times New Roman" w:cs="Times New Roman"/>
      <w:color w:val="auto"/>
      <w:kern w:val="0"/>
      <w:sz w:val="26"/>
      <w:szCs w:val="26"/>
      <w:lang w:val="ru-RU" w:eastAsia="ru-RU" w:bidi="ar-SA"/>
    </w:rPr>
  </w:style>
  <w:style w:type="paragraph" w:styleId="111">
    <w:name w:val="Абзац списка1"/>
    <w:basedOn w:val="Normal"/>
    <w:qFormat/>
    <w:pPr>
      <w:spacing w:lineRule="auto" w:line="276" w:before="0" w:after="200"/>
      <w:ind w:left="720" w:hanging="0"/>
      <w:contextualSpacing/>
    </w:pPr>
    <w:rPr>
      <w:rFonts w:ascii="Calibri" w:hAnsi="Calibri" w:eastAsia="Times New Roman" w:cs="Times New Roman"/>
      <w:sz w:val="22"/>
    </w:rPr>
  </w:style>
  <w:style w:type="paragraph" w:styleId="Style39">
    <w:name w:val="Пункт"/>
    <w:basedOn w:val="Normal"/>
    <w:qFormat/>
    <w:pPr>
      <w:widowControl w:val="false"/>
      <w:tabs>
        <w:tab w:val="clear" w:pos="720"/>
        <w:tab w:val="left" w:pos="1134" w:leader="none"/>
      </w:tabs>
      <w:spacing w:lineRule="auto" w:line="360" w:before="120" w:after="0"/>
      <w:ind w:left="1134" w:right="800" w:hanging="1134"/>
      <w:jc w:val="both"/>
    </w:pPr>
    <w:rPr>
      <w:rFonts w:ascii="Arial" w:hAnsi="Arial" w:eastAsia="Times New Roman" w:cs="Times New Roman"/>
      <w:b/>
      <w:i/>
      <w:sz w:val="28"/>
      <w:szCs w:val="20"/>
      <w:lang w:eastAsia="ru-RU"/>
    </w:rPr>
  </w:style>
  <w:style w:type="paragraph" w:styleId="36">
    <w:name w:val="Знак Знак3 Знак Знак"/>
    <w:basedOn w:val="Normal"/>
    <w:qFormat/>
    <w:pPr>
      <w:spacing w:lineRule="exact" w:line="240" w:before="0" w:after="160"/>
      <w:jc w:val="both"/>
    </w:pPr>
    <w:rPr>
      <w:rFonts w:ascii="Verdana" w:hAnsi="Verdana" w:eastAsia="Times New Roman" w:cs="Verdana"/>
      <w:sz w:val="22"/>
      <w:lang w:val="en-US"/>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29">
    <w:name w:val="Нумерованный список ур2"/>
    <w:basedOn w:val="Normal"/>
    <w:qFormat/>
    <w:pPr>
      <w:spacing w:before="120" w:after="0"/>
      <w:jc w:val="both"/>
    </w:pPr>
    <w:rPr>
      <w:rFonts w:ascii="Garamond" w:hAnsi="Garamond" w:eastAsia="Times New Roman" w:cs="Times New Roman"/>
      <w:szCs w:val="20"/>
      <w:lang w:eastAsia="ru-RU"/>
    </w:rPr>
  </w:style>
  <w:style w:type="paragraph" w:styleId="311">
    <w:name w:val="Список 31"/>
    <w:basedOn w:val="Normal"/>
    <w:qFormat/>
    <w:pPr>
      <w:spacing w:before="120" w:after="0"/>
      <w:jc w:val="both"/>
    </w:pPr>
    <w:rPr>
      <w:rFonts w:ascii="Garamond" w:hAnsi="Garamond" w:eastAsia="Times New Roman" w:cs="Times New Roman"/>
      <w:szCs w:val="20"/>
      <w:lang w:eastAsia="ru-RU"/>
    </w:rPr>
  </w:style>
  <w:style w:type="paragraph" w:styleId="37">
    <w:name w:val="Нумерованный список ур3"/>
    <w:basedOn w:val="Normal"/>
    <w:qFormat/>
    <w:pPr>
      <w:jc w:val="both"/>
    </w:pPr>
    <w:rPr>
      <w:rFonts w:ascii="Garamond" w:hAnsi="Garamond" w:eastAsia="Times New Roman" w:cs="Times New Roman"/>
      <w:szCs w:val="20"/>
      <w:lang w:eastAsia="ru-RU"/>
    </w:rPr>
  </w:style>
  <w:style w:type="paragraph" w:styleId="E-mailSignature">
    <w:name w:val="E-mail Signature"/>
    <w:basedOn w:val="Normal"/>
    <w:qFormat/>
    <w:pPr/>
    <w:rPr>
      <w:rFonts w:cs="Times New Roman"/>
      <w:szCs w:val="24"/>
      <w:lang w:val="x-none" w:eastAsia="x-none"/>
    </w:rPr>
  </w:style>
  <w:style w:type="paragraph" w:styleId="IntenseQuote">
    <w:name w:val="Intense Quote"/>
    <w:basedOn w:val="Normal"/>
    <w:next w:val="Normal"/>
    <w:qFormat/>
    <w:pPr>
      <w:pBdr>
        <w:bottom w:val="single" w:sz="4" w:space="4" w:color="4F81BD"/>
      </w:pBdr>
      <w:spacing w:before="200" w:after="280"/>
      <w:ind w:left="936" w:right="936" w:hanging="0"/>
    </w:pPr>
    <w:rPr>
      <w:rFonts w:ascii="Calibri" w:hAnsi="Calibri" w:cs="Times New Roman"/>
      <w:b/>
      <w:bCs/>
      <w:i/>
      <w:iCs/>
      <w:color w:val="4F81BD"/>
      <w:sz w:val="20"/>
      <w:szCs w:val="20"/>
      <w:lang w:val="x-none" w:eastAsia="x-none"/>
    </w:rPr>
  </w:style>
  <w:style w:type="paragraph" w:styleId="Quote">
    <w:name w:val="Quote"/>
    <w:basedOn w:val="Normal"/>
    <w:next w:val="Normal"/>
    <w:qFormat/>
    <w:pPr/>
    <w:rPr>
      <w:rFonts w:ascii="Calibri" w:hAnsi="Calibri" w:cs="Times New Roman"/>
      <w:i/>
      <w:iCs/>
      <w:color w:val="000000"/>
      <w:sz w:val="20"/>
      <w:szCs w:val="20"/>
      <w:lang w:val="x-none" w:eastAsia="x-none"/>
    </w:rPr>
  </w:style>
  <w:style w:type="paragraph" w:styleId="NoSpacing">
    <w:name w:val="No Spacing"/>
    <w:basedOn w:val="Normal"/>
    <w:qFormat/>
    <w:pPr>
      <w:spacing w:lineRule="auto" w:line="360"/>
    </w:pPr>
    <w:rPr>
      <w:rFonts w:cs="Times New Roman"/>
      <w:szCs w:val="24"/>
      <w:lang w:eastAsia="ru-RU"/>
    </w:rPr>
  </w:style>
  <w:style w:type="paragraph" w:styleId="210">
    <w:name w:val="Раздел положения 2"/>
    <w:basedOn w:val="Normal"/>
    <w:qFormat/>
    <w:pPr>
      <w:jc w:val="both"/>
    </w:pPr>
    <w:rPr>
      <w:rFonts w:eastAsia="Times New Roman" w:cs="Times New Roman"/>
      <w:b/>
      <w:sz w:val="28"/>
      <w:szCs w:val="28"/>
      <w:lang w:eastAsia="ru-RU"/>
    </w:rPr>
  </w:style>
  <w:style w:type="paragraph" w:styleId="112">
    <w:name w:val="Обычный (веб)1"/>
    <w:basedOn w:val="Normal"/>
    <w:qFormat/>
    <w:pPr>
      <w:spacing w:before="280" w:after="280"/>
    </w:pPr>
    <w:rPr>
      <w:rFonts w:ascii="Arial Unicode MS" w:hAnsi="Arial Unicode MS" w:eastAsia="Arial Unicode MS" w:cs="Arial Unicode MS"/>
      <w:szCs w:val="24"/>
      <w:lang w:eastAsia="ru-RU"/>
    </w:rPr>
  </w:style>
  <w:style w:type="paragraph" w:styleId="Style40">
    <w:name w:val="Приложение к регламенту"/>
    <w:basedOn w:val="Normal"/>
    <w:qFormat/>
    <w:pPr>
      <w:jc w:val="right"/>
    </w:pPr>
    <w:rPr>
      <w:rFonts w:eastAsia="Times New Roman" w:cs="Times New Roman"/>
      <w:sz w:val="28"/>
      <w:szCs w:val="28"/>
      <w:lang w:eastAsia="ru-RU"/>
    </w:rPr>
  </w:style>
  <w:style w:type="paragraph" w:styleId="Style41">
    <w:name w:val="Раздел регламента"/>
    <w:basedOn w:val="Normal"/>
    <w:qFormat/>
    <w:pPr/>
    <w:rPr>
      <w:rFonts w:eastAsia="Times New Roman" w:cs="Times New Roman"/>
      <w:sz w:val="28"/>
      <w:szCs w:val="28"/>
      <w:lang w:eastAsia="ru-RU"/>
    </w:rPr>
  </w:style>
  <w:style w:type="paragraph" w:styleId="211">
    <w:name w:val="Пункт2"/>
    <w:basedOn w:val="Normal"/>
    <w:qFormat/>
    <w:pPr>
      <w:keepNext w:val="true"/>
      <w:tabs>
        <w:tab w:val="clear" w:pos="720"/>
        <w:tab w:val="left" w:pos="1134" w:leader="none"/>
      </w:tabs>
      <w:spacing w:before="240" w:after="120"/>
      <w:ind w:left="1134" w:hanging="1134"/>
    </w:pPr>
    <w:rPr>
      <w:rFonts w:eastAsia="Times New Roman" w:cs="Times New Roman"/>
      <w:b/>
      <w:sz w:val="28"/>
      <w:szCs w:val="20"/>
      <w:lang w:eastAsia="ru-RU"/>
    </w:rPr>
  </w:style>
  <w:style w:type="paragraph" w:styleId="Style42">
    <w:name w:val="Подпункт"/>
    <w:basedOn w:val="Normal"/>
    <w:qFormat/>
    <w:pPr>
      <w:tabs>
        <w:tab w:val="clear" w:pos="720"/>
        <w:tab w:val="left" w:pos="1134" w:leader="none"/>
      </w:tabs>
      <w:spacing w:lineRule="auto" w:line="360"/>
      <w:ind w:left="1134" w:hanging="1134"/>
      <w:jc w:val="both"/>
    </w:pPr>
    <w:rPr>
      <w:rFonts w:eastAsia="Times New Roman" w:cs="Times New Roman"/>
      <w:sz w:val="28"/>
      <w:szCs w:val="20"/>
      <w:lang w:val="x-none" w:eastAsia="x-none"/>
    </w:rPr>
  </w:style>
  <w:style w:type="paragraph" w:styleId="BlockText">
    <w:name w:val="Block Text"/>
    <w:basedOn w:val="Normal"/>
    <w:qFormat/>
    <w:pPr>
      <w:ind w:left="-567" w:right="-766" w:hanging="0"/>
      <w:jc w:val="center"/>
    </w:pPr>
    <w:rPr>
      <w:rFonts w:eastAsia="Times New Roman" w:cs="Times New Roman"/>
      <w:b/>
      <w:bCs/>
      <w:szCs w:val="20"/>
      <w:lang w:eastAsia="ru-RU"/>
    </w:rPr>
  </w:style>
  <w:style w:type="paragraph" w:styleId="113">
    <w:name w:val="Название1"/>
    <w:basedOn w:val="Normal"/>
    <w:qFormat/>
    <w:pPr>
      <w:jc w:val="center"/>
    </w:pPr>
    <w:rPr>
      <w:rFonts w:eastAsia="Times New Roman" w:cs="Times New Roman"/>
      <w:sz w:val="28"/>
      <w:szCs w:val="20"/>
      <w:lang w:val="x-none" w:eastAsia="x-none"/>
    </w:rPr>
  </w:style>
  <w:style w:type="paragraph" w:styleId="38">
    <w:name w:val="Шапка 3"/>
    <w:basedOn w:val="Normal"/>
    <w:qFormat/>
    <w:pPr>
      <w:pBdr>
        <w:bottom w:val="thickThinSmallGap" w:sz="24" w:space="1" w:color="000000"/>
      </w:pBdr>
      <w:spacing w:before="240" w:after="360"/>
      <w:jc w:val="center"/>
    </w:pPr>
    <w:rPr>
      <w:rFonts w:eastAsia="Times New Roman" w:cs="Times New Roman"/>
      <w:b/>
      <w:szCs w:val="24"/>
      <w:lang w:eastAsia="ru-RU"/>
    </w:rPr>
  </w:style>
  <w:style w:type="paragraph" w:styleId="212">
    <w:name w:val="Шапка 2"/>
    <w:basedOn w:val="Normal"/>
    <w:qFormat/>
    <w:pPr>
      <w:pBdr>
        <w:bottom w:val="thickThinSmallGap" w:sz="24" w:space="1" w:color="000000"/>
      </w:pBdr>
      <w:spacing w:before="0" w:after="120"/>
      <w:jc w:val="center"/>
    </w:pPr>
    <w:rPr>
      <w:rFonts w:eastAsia="Times New Roman" w:cs="Times New Roman"/>
      <w:b/>
      <w:sz w:val="22"/>
      <w:lang w:eastAsia="ru-RU"/>
    </w:rPr>
  </w:style>
  <w:style w:type="paragraph" w:styleId="114">
    <w:name w:val="Шапка 1"/>
    <w:basedOn w:val="Normal"/>
    <w:qFormat/>
    <w:pPr>
      <w:pBdr>
        <w:bottom w:val="thickThinSmallGap" w:sz="24" w:space="1" w:color="000000"/>
      </w:pBdr>
      <w:spacing w:before="0" w:after="240"/>
      <w:jc w:val="center"/>
    </w:pPr>
    <w:rPr>
      <w:rFonts w:eastAsia="Times New Roman" w:cs="Times New Roman"/>
      <w:sz w:val="22"/>
      <w:lang w:eastAsia="ru-RU"/>
    </w:rPr>
  </w:style>
  <w:style w:type="paragraph" w:styleId="Style43">
    <w:name w:val="Название раздела инструкции"/>
    <w:basedOn w:val="Normal"/>
    <w:qFormat/>
    <w:pPr>
      <w:jc w:val="center"/>
    </w:pPr>
    <w:rPr>
      <w:rFonts w:eastAsia="Times New Roman" w:cs="Times New Roman"/>
      <w:b/>
      <w:sz w:val="28"/>
      <w:szCs w:val="28"/>
      <w:lang w:eastAsia="ru-RU"/>
    </w:rPr>
  </w:style>
  <w:style w:type="paragraph" w:styleId="Style44">
    <w:name w:val="Таблица шапка"/>
    <w:basedOn w:val="Normal"/>
    <w:qFormat/>
    <w:pPr>
      <w:keepNext w:val="true"/>
      <w:spacing w:before="40" w:after="40"/>
      <w:ind w:left="57" w:right="57" w:hanging="0"/>
    </w:pPr>
    <w:rPr>
      <w:rFonts w:eastAsia="Times New Roman" w:cs="Times New Roman"/>
      <w:sz w:val="22"/>
      <w:szCs w:val="26"/>
      <w:lang w:eastAsia="ru-RU"/>
    </w:rPr>
  </w:style>
  <w:style w:type="paragraph" w:styleId="Style45">
    <w:name w:val="Подраздел раздела положения"/>
    <w:basedOn w:val="Normal"/>
    <w:qFormat/>
    <w:pPr>
      <w:spacing w:before="80" w:after="80"/>
      <w:jc w:val="both"/>
    </w:pPr>
    <w:rPr>
      <w:rFonts w:eastAsia="Times New Roman" w:cs="Times New Roman"/>
      <w:sz w:val="28"/>
      <w:szCs w:val="28"/>
      <w:lang w:eastAsia="ru-RU"/>
    </w:rPr>
  </w:style>
  <w:style w:type="paragraph" w:styleId="Style46">
    <w:name w:val="Раздел положения"/>
    <w:basedOn w:val="Normal"/>
    <w:qFormat/>
    <w:pPr>
      <w:spacing w:before="80" w:after="80"/>
      <w:jc w:val="center"/>
    </w:pPr>
    <w:rPr>
      <w:rFonts w:eastAsia="Times New Roman" w:cs="Times New Roman"/>
      <w:b/>
      <w:sz w:val="32"/>
      <w:szCs w:val="32"/>
      <w:lang w:eastAsia="ru-RU"/>
    </w:rPr>
  </w:style>
  <w:style w:type="paragraph" w:styleId="Indexheading1111111111">
    <w:name w:val="index heading11111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11111">
    <w:name w:val="caption1111111111"/>
    <w:basedOn w:val="Normal"/>
    <w:next w:val="Normal"/>
    <w:qFormat/>
    <w:pPr/>
    <w:rPr>
      <w:rFonts w:cs="Times New Roman"/>
      <w:b/>
      <w:bCs/>
      <w:color w:val="4F81BD"/>
      <w:sz w:val="18"/>
      <w:szCs w:val="18"/>
      <w:lang w:eastAsia="ru-RU"/>
    </w:rPr>
  </w:style>
  <w:style w:type="paragraph" w:styleId="Indexheading111111111">
    <w:name w:val="index heading1111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1111">
    <w:name w:val="caption111111111"/>
    <w:basedOn w:val="Normal"/>
    <w:qFormat/>
    <w:pPr>
      <w:spacing w:before="120" w:after="120"/>
    </w:pPr>
    <w:rPr>
      <w:i/>
      <w:iCs/>
      <w:szCs w:val="24"/>
    </w:rPr>
  </w:style>
  <w:style w:type="paragraph" w:styleId="Indexheading11111111">
    <w:name w:val="index heading111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111">
    <w:name w:val="caption11111111"/>
    <w:basedOn w:val="Normal"/>
    <w:qFormat/>
    <w:pPr>
      <w:spacing w:before="120" w:after="120"/>
    </w:pPr>
    <w:rPr>
      <w:i/>
      <w:iCs/>
      <w:szCs w:val="24"/>
    </w:rPr>
  </w:style>
  <w:style w:type="paragraph" w:styleId="Indexheading1111111">
    <w:name w:val="index heading11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11">
    <w:name w:val="caption1111111"/>
    <w:basedOn w:val="Normal"/>
    <w:qFormat/>
    <w:pPr>
      <w:spacing w:before="120" w:after="120"/>
    </w:pPr>
    <w:rPr>
      <w:i/>
      <w:iCs/>
      <w:szCs w:val="24"/>
    </w:rPr>
  </w:style>
  <w:style w:type="paragraph" w:styleId="Indexheading111111">
    <w:name w:val="index heading1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1">
    <w:name w:val="caption111111"/>
    <w:basedOn w:val="Normal"/>
    <w:qFormat/>
    <w:pPr>
      <w:spacing w:before="120" w:after="120"/>
    </w:pPr>
    <w:rPr>
      <w:i/>
      <w:iCs/>
      <w:szCs w:val="24"/>
    </w:rPr>
  </w:style>
  <w:style w:type="paragraph" w:styleId="Indexheading11111">
    <w:name w:val="index heading1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1">
    <w:name w:val="caption11111"/>
    <w:basedOn w:val="Normal"/>
    <w:qFormat/>
    <w:pPr>
      <w:spacing w:before="120" w:after="120"/>
    </w:pPr>
    <w:rPr>
      <w:i/>
      <w:iCs/>
      <w:szCs w:val="24"/>
    </w:rPr>
  </w:style>
  <w:style w:type="paragraph" w:styleId="Indexheading1111">
    <w:name w:val="index heading1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1">
    <w:name w:val="caption1111"/>
    <w:basedOn w:val="Normal"/>
    <w:qFormat/>
    <w:pPr>
      <w:spacing w:before="120" w:after="120"/>
    </w:pPr>
    <w:rPr>
      <w:i/>
      <w:iCs/>
      <w:szCs w:val="24"/>
    </w:rPr>
  </w:style>
  <w:style w:type="paragraph" w:styleId="Indexheading111">
    <w:name w:val="index heading1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1">
    <w:name w:val="caption111"/>
    <w:basedOn w:val="Normal"/>
    <w:qFormat/>
    <w:pPr>
      <w:spacing w:before="120" w:after="120"/>
    </w:pPr>
    <w:rPr>
      <w:i/>
      <w:iCs/>
      <w:szCs w:val="24"/>
    </w:rPr>
  </w:style>
  <w:style w:type="paragraph" w:styleId="Indexheading11">
    <w:name w:val="index heading1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1">
    <w:name w:val="caption11"/>
    <w:basedOn w:val="Normal"/>
    <w:qFormat/>
    <w:pPr>
      <w:spacing w:before="120" w:after="120"/>
    </w:pPr>
    <w:rPr>
      <w:i/>
      <w:iCs/>
      <w:szCs w:val="24"/>
    </w:rPr>
  </w:style>
  <w:style w:type="paragraph" w:styleId="Indexheading1">
    <w:name w:val="index heading1"/>
    <w:qFormat/>
    <w:pPr>
      <w:keepNext w:val="true"/>
      <w:widowControl/>
      <w:suppressAutoHyphens w:val="true"/>
      <w:bidi w:val="0"/>
      <w:spacing w:before="240" w:after="120"/>
      <w:jc w:val="left"/>
    </w:pPr>
    <w:rPr>
      <w:rFonts w:ascii="Liberation Sans" w:hAnsi="Liberation Sans" w:eastAsia="Arial Unicode MS" w:cs="Arial Unicode MS"/>
      <w:color w:val="auto"/>
      <w:kern w:val="0"/>
      <w:sz w:val="28"/>
      <w:szCs w:val="28"/>
      <w:lang w:val="ru-RU" w:eastAsia="ru-RU" w:bidi="ar-SA"/>
    </w:rPr>
  </w:style>
  <w:style w:type="paragraph" w:styleId="Caption1">
    <w:name w:val="caption1"/>
    <w:basedOn w:val="Normal"/>
    <w:qFormat/>
    <w:pPr>
      <w:spacing w:before="120" w:after="120"/>
    </w:pPr>
    <w:rPr>
      <w:rFonts w:cs="Arial Unicode MS"/>
      <w:i/>
      <w:iCs/>
      <w:szCs w:val="24"/>
    </w:rPr>
  </w:style>
  <w:style w:type="paragraph" w:styleId="Style47">
    <w:name w:val="Заголовок таблицы"/>
    <w:basedOn w:val="Style31"/>
    <w:qFormat/>
    <w:pPr>
      <w:suppressLineNumbers/>
      <w:jc w:val="center"/>
    </w:pPr>
    <w:rPr>
      <w:b/>
      <w:bCs/>
    </w:rPr>
  </w:style>
  <w:style w:type="numbering" w:styleId="NoList" w:default="1">
    <w:name w:val="No List"/>
    <w:uiPriority w:val="99"/>
    <w:semiHidden/>
    <w:unhideWhenUsed/>
    <w:qFormat/>
  </w:style>
  <w:style w:type="numbering" w:styleId="1588752661">
    <w:name w:val="158875266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sayany@rushydro.ru" TargetMode="External"/><Relationship Id="rId9" Type="http://schemas.openxmlformats.org/officeDocument/2006/relationships/hyperlink" Target="mailto:elsib@elsib.ru"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eader" Target="header6.xml"/><Relationship Id="rId25" Type="http://schemas.openxmlformats.org/officeDocument/2006/relationships/header" Target="header7.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header" Target="header8.xml"/><Relationship Id="rId29" Type="http://schemas.openxmlformats.org/officeDocument/2006/relationships/header" Target="header9.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footer" Target="footer14.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Application>AlterOffice/3.4.0.9$Linux_X86_64 LibreOffice_project/b8daf9e823b1a5463a2f48435ddc2e8696e7d4fc</Application>
  <AppVersion>15.0000</AppVersion>
  <Pages>22</Pages>
  <Words>7755</Words>
  <Characters>55070</Characters>
  <CharactersWithSpaces>62301</CharactersWithSpaces>
  <Paragraphs>410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sinelnikovakp@corp.gidroogk.com</cp:lastModifiedBy>
  <cp:lastPrinted>2017-11-07T14:48:00Z</cp:lastPrinted>
  <dcterms:modified xsi:type="dcterms:W3CDTF">2026-08-10T11:25:15Z</dcterms:modified>
  <cp:revision>60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