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5.xml" ContentType="application/vnd.openxmlformats-officedocument.wordprocessingml.header+xml"/>
  <Override PartName="/word/media/image1.png" ContentType="image/png"/>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_rels/document.xml.rels" ContentType="application/vnd.openxmlformats-package.relationships+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xlsx" ContentType="application/vnd.openxmlformats-officedocument.spreadsheetml.sheet"/>
  <Override PartName="/word/embeddings/oleObject5.docx" ContentType="application/vnd.openxmlformats-officedocument.wordprocessingml.document"/>
  <Override PartName="/word/footnotes.xml" ContentType="application/vnd.openxmlformats-officedocument.wordprocessingml.footnotes+xml"/>
  <Override PartName="/word/header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13.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header8.xml" ContentType="application/vnd.openxmlformats-officedocument.wordprocessingml.header+xml"/>
  <Override PartName="/word/header11.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0"/>
        <w:keepNext w:val="true"/>
        <w:spacing w:before="120" w:after="0"/>
        <w:ind w:left="4536" w:hanging="0"/>
        <w:rPr>
          <w:rStyle w:val="Style11"/>
          <w:sz w:val="20"/>
          <w:szCs w:val="20"/>
        </w:rPr>
      </w:pPr>
      <w:r>
        <w:rPr>
          <w:sz w:val="20"/>
          <w:szCs w:val="20"/>
        </w:rPr>
        <w:drawing>
          <wp:anchor behindDoc="0" distT="0" distB="0" distL="0" distR="0" simplePos="0" locked="0" layoutInCell="0" allowOverlap="1" relativeHeight="2">
            <wp:simplePos x="0" y="0"/>
            <wp:positionH relativeFrom="column">
              <wp:posOffset>59055</wp:posOffset>
            </wp:positionH>
            <wp:positionV relativeFrom="paragraph">
              <wp:posOffset>635</wp:posOffset>
            </wp:positionV>
            <wp:extent cx="6238240" cy="984250"/>
            <wp:effectExtent l="0" t="0" r="0" b="0"/>
            <wp:wrapTopAndBottom/>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238240" cy="984250"/>
                    </a:xfrm>
                    <a:prstGeom prst="rect">
                      <a:avLst/>
                    </a:prstGeom>
                    <a:ln>
                      <a:solidFill>
                        <a:srgbClr val="CCCCCC"/>
                      </a:solidFill>
                    </a:ln>
                  </pic:spPr>
                </pic:pic>
              </a:graphicData>
            </a:graphic>
          </wp:anchor>
        </w:drawing>
      </w:r>
    </w:p>
    <w:p>
      <w:pPr>
        <w:pStyle w:val="Style30"/>
        <w:ind w:left="4536" w:hanging="0"/>
        <w:rPr>
          <w:rStyle w:val="Style11"/>
          <w:sz w:val="20"/>
          <w:szCs w:val="20"/>
        </w:rPr>
      </w:pPr>
      <w:r>
        <w:rPr>
          <w:sz w:val="20"/>
          <w:szCs w:val="20"/>
        </w:rPr>
      </w:r>
    </w:p>
    <w:p>
      <w:pPr>
        <w:pStyle w:val="Style30"/>
        <w:ind w:left="4536" w:hanging="0"/>
        <w:rPr>
          <w:rStyle w:val="Style11"/>
          <w:sz w:val="20"/>
          <w:szCs w:val="20"/>
        </w:rPr>
      </w:pPr>
      <w:r>
        <w:rPr>
          <w:sz w:val="20"/>
          <w:szCs w:val="20"/>
        </w:rPr>
      </w:r>
    </w:p>
    <w:p>
      <w:pPr>
        <w:pStyle w:val="Style30"/>
        <w:ind w:left="4536" w:hanging="0"/>
        <w:jc w:val="right"/>
        <w:rPr/>
      </w:pPr>
      <w:r>
        <w:rPr/>
      </w:r>
    </w:p>
    <w:p>
      <w:pPr>
        <w:pStyle w:val="Style30"/>
        <w:rPr/>
      </w:pPr>
      <w:r>
        <w:rPr/>
      </w:r>
    </w:p>
    <w:p>
      <w:pPr>
        <w:pStyle w:val="Style30"/>
        <w:rPr/>
      </w:pPr>
      <w:r>
        <w:rPr/>
      </w:r>
    </w:p>
    <w:p>
      <w:pPr>
        <w:pStyle w:val="Style30"/>
        <w:rPr/>
      </w:pPr>
      <w:r>
        <w:rPr/>
      </w:r>
    </w:p>
    <w:p>
      <w:pPr>
        <w:pStyle w:val="Style30"/>
        <w:rPr/>
      </w:pPr>
      <w:r>
        <w:rPr/>
      </w:r>
    </w:p>
    <w:p>
      <w:pPr>
        <w:pStyle w:val="Style30"/>
        <w:rPr/>
      </w:pPr>
      <w:r>
        <w:rPr/>
      </w:r>
    </w:p>
    <w:p>
      <w:pPr>
        <w:pStyle w:val="Style30"/>
        <w:keepNext w:val="true"/>
        <w:numPr>
          <w:ilvl w:val="0"/>
          <w:numId w:val="0"/>
        </w:numPr>
        <w:ind w:left="0" w:hanging="0"/>
        <w:jc w:val="center"/>
        <w:outlineLvl w:val="2"/>
        <w:rPr>
          <w:b/>
          <w:bCs/>
          <w:caps/>
        </w:rPr>
      </w:pPr>
      <w:r>
        <w:rPr>
          <w:b/>
          <w:bCs/>
          <w:caps/>
        </w:rPr>
        <w:t>Документация о закупке</w:t>
      </w:r>
    </w:p>
    <w:p>
      <w:pPr>
        <w:pStyle w:val="Style30"/>
        <w:keepNext w:val="true"/>
        <w:spacing w:before="240" w:after="0"/>
        <w:jc w:val="center"/>
        <w:rPr>
          <w:rStyle w:val="Style11"/>
        </w:rPr>
      </w:pPr>
      <w:r>
        <w:rPr/>
        <w:t>Состязательный отбор в электронной форме,</w:t>
        <w:br/>
        <w:t>на право заключения договора на </w:t>
      </w:r>
      <w:r>
        <w:rPr>
          <w:rFonts w:eastAsia="Calibri" w:cs="Times New Roman"/>
          <w:i w:val="false"/>
          <w:iCs w:val="false"/>
          <w:color w:val="000000"/>
          <w:sz w:val="26"/>
          <w:szCs w:val="26"/>
          <w:lang w:eastAsia="x-none"/>
        </w:rPr>
        <w:t>«ОКПД2 28.25.11.111 Поставка маслоохладителей подпятника (аварийный запас) для нужд филиала ПАО «РусГидро»-«Бурейская ГЭС»</w:t>
      </w:r>
      <w:r>
        <w:rPr>
          <w:i/>
          <w:iCs/>
        </w:rPr>
        <w:t xml:space="preserve"> </w:t>
      </w:r>
    </w:p>
    <w:p>
      <w:pPr>
        <w:sectPr>
          <w:type w:val="nextPage"/>
          <w:pgSz w:w="11906" w:h="16838"/>
          <w:pgMar w:left="1134" w:right="850" w:gutter="0" w:header="0" w:top="851" w:footer="0" w:bottom="851"/>
          <w:pgNumType w:fmt="decimal"/>
          <w:formProt w:val="false"/>
          <w:textDirection w:val="lrTb"/>
          <w:docGrid w:type="default" w:linePitch="360" w:charSpace="0"/>
        </w:sectPr>
        <w:pStyle w:val="Style30"/>
        <w:keepNext w:val="true"/>
        <w:spacing w:before="240" w:after="0"/>
        <w:jc w:val="center"/>
        <w:rPr/>
      </w:pPr>
      <w:r>
        <w:rPr/>
        <w:t xml:space="preserve">(Лот № </w:t>
      </w:r>
      <w:r>
        <w:rPr>
          <w:rStyle w:val="Style11"/>
          <w:rFonts w:eastAsia="Calibri" w:cs="Times New Roman"/>
          <w:b w:val="false"/>
          <w:bCs w:val="false"/>
          <w:i w:val="false"/>
          <w:iCs w:val="false"/>
          <w:kern w:val="0"/>
          <w:sz w:val="26"/>
          <w:szCs w:val="26"/>
          <w:shd w:fill="auto" w:val="clear"/>
          <w:lang w:val="ru-RU" w:eastAsia="en-US" w:bidi="ar-SA"/>
        </w:rPr>
        <w:t>182070-РЕМПРОД-2026-БурГЭС</w:t>
      </w:r>
      <w:r>
        <w:rPr/>
        <w:t>)</w:t>
      </w:r>
    </w:p>
    <w:p>
      <w:pPr>
        <w:pStyle w:val="Style29"/>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r>
            <w:fldChar w:fldCharType="begin"/>
          </w:r>
          <w:r>
            <w:rPr>
              <w:webHidden/>
              <w:rStyle w:val="Style20"/>
              <w:vanish w:val="false"/>
            </w:rPr>
            <w:instrText xml:space="preserve"> TOC \z \u \t "[РГ] Перечисление,5,[РГ] Подпункт,4,[РГ] Пункт,3,[РГ] Подраздел,2,[РГ] Раздел,1,[РГ] Раздел,1,[РГ] Подраздел,2" \h</w:instrText>
          </w:r>
          <w:r>
            <w:rPr>
              <w:webHidden/>
              <w:rStyle w:val="Style20"/>
              <w:vanish w:val="false"/>
            </w:rPr>
            <w:fldChar w:fldCharType="separate"/>
          </w:r>
          <w:hyperlink w:anchor="_Toc228976323">
            <w:r>
              <w:rPr>
                <w:webHidden/>
              </w:rPr>
              <w:fldChar w:fldCharType="begin"/>
            </w:r>
            <w:r>
              <w:rPr>
                <w:webHidden/>
              </w:rPr>
              <w:instrText xml:space="preserve">PAGEREF _Toc228976323 \h</w:instrText>
            </w:r>
            <w:r>
              <w:rPr>
                <w:webHidden/>
              </w:rPr>
              <w:fldChar w:fldCharType="separate"/>
            </w:r>
            <w:r>
              <w:rPr>
                <w:webHidden/>
                <w:rStyle w:val="Style20"/>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24">
            <w:r>
              <w:rPr>
                <w:webHidden/>
              </w:rPr>
              <w:fldChar w:fldCharType="begin"/>
            </w:r>
            <w:r>
              <w:rPr>
                <w:webHidden/>
              </w:rPr>
              <w:instrText xml:space="preserve">PAGEREF _Toc228976324 \h</w:instrText>
            </w:r>
            <w:r>
              <w:rPr>
                <w:webHidden/>
              </w:rPr>
              <w:fldChar w:fldCharType="separate"/>
            </w:r>
            <w:r>
              <w:rPr>
                <w:webHidden/>
                <w:rStyle w:val="Style20"/>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25">
            <w:r>
              <w:rPr>
                <w:webHidden/>
                <w:rStyle w:val="Style20"/>
                <w:vanish w:val="false"/>
              </w:rPr>
              <w:t>1.</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Основные сведения о закупке</w:t>
            </w:r>
            <w:r>
              <w:rPr>
                <w:webHidden/>
              </w:rPr>
              <w:fldChar w:fldCharType="begin"/>
            </w:r>
            <w:r>
              <w:rPr>
                <w:webHidden/>
              </w:rPr>
              <w:instrText xml:space="preserve">PAGEREF _Toc228976325 \h</w:instrText>
            </w:r>
            <w:r>
              <w:rPr>
                <w:webHidden/>
              </w:rPr>
              <w:fldChar w:fldCharType="separate"/>
            </w:r>
            <w:r>
              <w:rPr>
                <w:rStyle w:val="Style20"/>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26">
            <w:r>
              <w:rPr>
                <w:webHidden/>
                <w:rStyle w:val="Style20"/>
                <w:vanish w:val="false"/>
              </w:rPr>
              <w:t>1.1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Статус настоящего раздела</w:t>
            </w:r>
            <w:r>
              <w:rPr>
                <w:webHidden/>
              </w:rPr>
              <w:fldChar w:fldCharType="begin"/>
            </w:r>
            <w:r>
              <w:rPr>
                <w:webHidden/>
              </w:rPr>
              <w:instrText xml:space="preserve">PAGEREF _Toc228976326 \h</w:instrText>
            </w:r>
            <w:r>
              <w:rPr>
                <w:webHidden/>
              </w:rPr>
              <w:fldChar w:fldCharType="separate"/>
            </w:r>
            <w:r>
              <w:rPr>
                <w:rStyle w:val="Style20"/>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27">
            <w:r>
              <w:rPr>
                <w:webHidden/>
                <w:rStyle w:val="Style20"/>
                <w:vanish w:val="false"/>
              </w:rPr>
              <w:t>1.2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Информация о проводимой закупке</w:t>
            </w:r>
            <w:r>
              <w:rPr>
                <w:webHidden/>
              </w:rPr>
              <w:fldChar w:fldCharType="begin"/>
            </w:r>
            <w:r>
              <w:rPr>
                <w:webHidden/>
              </w:rPr>
              <w:instrText xml:space="preserve">PAGEREF _Toc228976327 \h</w:instrText>
            </w:r>
            <w:r>
              <w:rPr>
                <w:webHidden/>
              </w:rPr>
              <w:fldChar w:fldCharType="separate"/>
            </w:r>
            <w:r>
              <w:rPr>
                <w:rStyle w:val="Style20"/>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28">
            <w:r>
              <w:rPr>
                <w:webHidden/>
                <w:rStyle w:val="Style20"/>
                <w:vanish w:val="false"/>
              </w:rPr>
              <w:t>2.</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Общие положения</w:t>
            </w:r>
            <w:r>
              <w:rPr>
                <w:webHidden/>
              </w:rPr>
              <w:fldChar w:fldCharType="begin"/>
            </w:r>
            <w:r>
              <w:rPr>
                <w:webHidden/>
              </w:rPr>
              <w:instrText xml:space="preserve">PAGEREF _Toc228976328 \h</w:instrText>
            </w:r>
            <w:r>
              <w:rPr>
                <w:webHidden/>
              </w:rPr>
              <w:fldChar w:fldCharType="separate"/>
            </w:r>
            <w:r>
              <w:rPr>
                <w:rStyle w:val="Style20"/>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29">
            <w:r>
              <w:rPr>
                <w:webHidden/>
                <w:rStyle w:val="Style20"/>
                <w:vanish w:val="false"/>
              </w:rPr>
              <w:t>2.1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Общие сведения о закупке</w:t>
            </w:r>
            <w:r>
              <w:rPr>
                <w:webHidden/>
              </w:rPr>
              <w:fldChar w:fldCharType="begin"/>
            </w:r>
            <w:r>
              <w:rPr>
                <w:webHidden/>
              </w:rPr>
              <w:instrText xml:space="preserve">PAGEREF _Toc228976329 \h</w:instrText>
            </w:r>
            <w:r>
              <w:rPr>
                <w:webHidden/>
              </w:rPr>
              <w:fldChar w:fldCharType="separate"/>
            </w:r>
            <w:r>
              <w:rPr>
                <w:rStyle w:val="Style20"/>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0">
            <w:r>
              <w:rPr>
                <w:webHidden/>
                <w:rStyle w:val="Style20"/>
                <w:vanish w:val="false"/>
              </w:rPr>
              <w:t>2.2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Правовой статус документов</w:t>
            </w:r>
            <w:r>
              <w:rPr>
                <w:webHidden/>
              </w:rPr>
              <w:fldChar w:fldCharType="begin"/>
            </w:r>
            <w:r>
              <w:rPr>
                <w:webHidden/>
              </w:rPr>
              <w:instrText xml:space="preserve">PAGEREF _Toc228976330 \h</w:instrText>
            </w:r>
            <w:r>
              <w:rPr>
                <w:webHidden/>
              </w:rPr>
              <w:fldChar w:fldCharType="separate"/>
            </w:r>
            <w:r>
              <w:rPr>
                <w:rStyle w:val="Style20"/>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1">
            <w:r>
              <w:rPr>
                <w:webHidden/>
                <w:rStyle w:val="Style20"/>
                <w:vanish w:val="false"/>
              </w:rPr>
              <w:t>2.3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Обжалование</w:t>
            </w:r>
            <w:r>
              <w:rPr>
                <w:webHidden/>
              </w:rPr>
              <w:fldChar w:fldCharType="begin"/>
            </w:r>
            <w:r>
              <w:rPr>
                <w:webHidden/>
              </w:rPr>
              <w:instrText xml:space="preserve">PAGEREF _Toc228976331 \h</w:instrText>
            </w:r>
            <w:r>
              <w:rPr>
                <w:webHidden/>
              </w:rPr>
              <w:fldChar w:fldCharType="separate"/>
            </w:r>
            <w:r>
              <w:rPr>
                <w:rStyle w:val="Style20"/>
                <w:vanish w:val="false"/>
              </w:rPr>
              <w:tab/>
              <w:t>25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2">
            <w:r>
              <w:rPr>
                <w:webHidden/>
                <w:rStyle w:val="Style20"/>
                <w:vanish w:val="false"/>
              </w:rPr>
              <w:t>2.4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Особые положения при проведении закупки с использованием ЭП</w:t>
            </w:r>
            <w:r>
              <w:rPr>
                <w:webHidden/>
              </w:rPr>
              <w:fldChar w:fldCharType="begin"/>
            </w:r>
            <w:r>
              <w:rPr>
                <w:webHidden/>
              </w:rPr>
              <w:instrText xml:space="preserve">PAGEREF _Toc228976332 \h</w:instrText>
            </w:r>
            <w:r>
              <w:rPr>
                <w:webHidden/>
              </w:rPr>
              <w:fldChar w:fldCharType="separate"/>
            </w:r>
            <w:r>
              <w:rPr>
                <w:rStyle w:val="Style20"/>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3">
            <w:r>
              <w:rPr>
                <w:webHidden/>
                <w:rStyle w:val="Style20"/>
                <w:vanish w:val="false"/>
              </w:rPr>
              <w:t>2.5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Прочие положения</w:t>
            </w:r>
            <w:r>
              <w:rPr>
                <w:webHidden/>
              </w:rPr>
              <w:fldChar w:fldCharType="begin"/>
            </w:r>
            <w:r>
              <w:rPr>
                <w:webHidden/>
              </w:rPr>
              <w:instrText xml:space="preserve">PAGEREF _Toc228976333 \h</w:instrText>
            </w:r>
            <w:r>
              <w:rPr>
                <w:webHidden/>
              </w:rPr>
              <w:fldChar w:fldCharType="separate"/>
            </w:r>
            <w:r>
              <w:rPr>
                <w:rStyle w:val="Style20"/>
                <w:vanish w:val="false"/>
              </w:rPr>
              <w:tab/>
              <w:t>26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34">
            <w:r>
              <w:rPr>
                <w:webHidden/>
                <w:rStyle w:val="Style20"/>
                <w:vanish w:val="false"/>
              </w:rPr>
              <w:t>3.</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Требования к Участникам</w:t>
            </w:r>
            <w:r>
              <w:rPr>
                <w:webHidden/>
              </w:rPr>
              <w:fldChar w:fldCharType="begin"/>
            </w:r>
            <w:r>
              <w:rPr>
                <w:webHidden/>
              </w:rPr>
              <w:instrText xml:space="preserve">PAGEREF _Toc228976334 \h</w:instrText>
            </w:r>
            <w:r>
              <w:rPr>
                <w:webHidden/>
              </w:rPr>
              <w:fldChar w:fldCharType="separate"/>
            </w:r>
            <w:r>
              <w:rPr>
                <w:rStyle w:val="Style20"/>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5">
            <w:r>
              <w:rPr>
                <w:webHidden/>
                <w:rStyle w:val="Style20"/>
                <w:vanish w:val="false"/>
              </w:rPr>
              <w:t>3.1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Общие требования к Участникам</w:t>
            </w:r>
            <w:r>
              <w:rPr>
                <w:webHidden/>
              </w:rPr>
              <w:fldChar w:fldCharType="begin"/>
            </w:r>
            <w:r>
              <w:rPr>
                <w:webHidden/>
              </w:rPr>
              <w:instrText xml:space="preserve">PAGEREF _Toc228976335 \h</w:instrText>
            </w:r>
            <w:r>
              <w:rPr>
                <w:webHidden/>
              </w:rPr>
              <w:fldChar w:fldCharType="separate"/>
            </w:r>
            <w:r>
              <w:rPr>
                <w:rStyle w:val="Style20"/>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6">
            <w:r>
              <w:rPr>
                <w:webHidden/>
                <w:rStyle w:val="Style20"/>
                <w:vanish w:val="false"/>
              </w:rPr>
              <w:t>3.2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Коллективные участники</w:t>
            </w:r>
            <w:r>
              <w:rPr>
                <w:webHidden/>
              </w:rPr>
              <w:fldChar w:fldCharType="begin"/>
            </w:r>
            <w:r>
              <w:rPr>
                <w:webHidden/>
              </w:rPr>
              <w:instrText xml:space="preserve">PAGEREF _Toc228976336 \h</w:instrText>
            </w:r>
            <w:r>
              <w:rPr>
                <w:webHidden/>
              </w:rPr>
              <w:fldChar w:fldCharType="separate"/>
            </w:r>
            <w:r>
              <w:rPr>
                <w:rStyle w:val="Style20"/>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7">
            <w:r>
              <w:rPr>
                <w:webHidden/>
                <w:rStyle w:val="Style20"/>
                <w:vanish w:val="false"/>
              </w:rPr>
              <w:t>3.3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Генеральные подрядчики</w:t>
            </w:r>
            <w:r>
              <w:rPr>
                <w:webHidden/>
              </w:rPr>
              <w:fldChar w:fldCharType="begin"/>
            </w:r>
            <w:r>
              <w:rPr>
                <w:webHidden/>
              </w:rPr>
              <w:instrText xml:space="preserve">PAGEREF _Toc228976337 \h</w:instrText>
            </w:r>
            <w:r>
              <w:rPr>
                <w:webHidden/>
              </w:rPr>
              <w:fldChar w:fldCharType="separate"/>
            </w:r>
            <w:r>
              <w:rPr>
                <w:rStyle w:val="Style20"/>
                <w:vanish w:val="false"/>
              </w:rPr>
              <w:tab/>
              <w:t>30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38">
            <w:r>
              <w:rPr>
                <w:webHidden/>
                <w:rStyle w:val="Style20"/>
                <w:vanish w:val="false"/>
              </w:rPr>
              <w:t>4.</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Порядок проведения закупки</w:t>
            </w:r>
            <w:r>
              <w:rPr>
                <w:webHidden/>
              </w:rPr>
              <w:fldChar w:fldCharType="begin"/>
            </w:r>
            <w:r>
              <w:rPr>
                <w:webHidden/>
              </w:rPr>
              <w:instrText xml:space="preserve">PAGEREF _Toc228976338 \h</w:instrText>
            </w:r>
            <w:r>
              <w:rPr>
                <w:webHidden/>
              </w:rPr>
              <w:fldChar w:fldCharType="separate"/>
            </w:r>
            <w:r>
              <w:rPr>
                <w:rStyle w:val="Style20"/>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9">
            <w:r>
              <w:rPr>
                <w:webHidden/>
                <w:rStyle w:val="Style20"/>
                <w:vanish w:val="false"/>
              </w:rPr>
              <w:t>4.1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Общий порядок проведения закупки</w:t>
            </w:r>
            <w:r>
              <w:rPr>
                <w:webHidden/>
              </w:rPr>
              <w:fldChar w:fldCharType="begin"/>
            </w:r>
            <w:r>
              <w:rPr>
                <w:webHidden/>
              </w:rPr>
              <w:instrText xml:space="preserve">PAGEREF _Toc228976339 \h</w:instrText>
            </w:r>
            <w:r>
              <w:rPr>
                <w:webHidden/>
              </w:rPr>
              <w:fldChar w:fldCharType="separate"/>
            </w:r>
            <w:r>
              <w:rPr>
                <w:rStyle w:val="Style20"/>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0">
            <w:r>
              <w:rPr>
                <w:webHidden/>
                <w:rStyle w:val="Style20"/>
                <w:vanish w:val="false"/>
              </w:rPr>
              <w:t>4.2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Официальное размещение Извещения и Документации о закупке</w:t>
            </w:r>
            <w:r>
              <w:rPr>
                <w:webHidden/>
              </w:rPr>
              <w:fldChar w:fldCharType="begin"/>
            </w:r>
            <w:r>
              <w:rPr>
                <w:webHidden/>
              </w:rPr>
              <w:instrText xml:space="preserve">PAGEREF _Toc228976340 \h</w:instrText>
            </w:r>
            <w:r>
              <w:rPr>
                <w:webHidden/>
              </w:rPr>
              <w:fldChar w:fldCharType="separate"/>
            </w:r>
            <w:r>
              <w:rPr>
                <w:rStyle w:val="Style20"/>
                <w:vanish w:val="false"/>
              </w:rPr>
              <w:tab/>
              <w:t>34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1">
            <w:r>
              <w:rPr>
                <w:webHidden/>
                <w:rStyle w:val="Style20"/>
                <w:vanish w:val="false"/>
              </w:rPr>
              <w:t>4.3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Подготовка заявки</w:t>
            </w:r>
            <w:r>
              <w:rPr>
                <w:webHidden/>
              </w:rPr>
              <w:fldChar w:fldCharType="begin"/>
            </w:r>
            <w:r>
              <w:rPr>
                <w:webHidden/>
              </w:rPr>
              <w:instrText xml:space="preserve">PAGEREF _Toc228976341 \h</w:instrText>
            </w:r>
            <w:r>
              <w:rPr>
                <w:webHidden/>
              </w:rPr>
              <w:fldChar w:fldCharType="separate"/>
            </w:r>
            <w:r>
              <w:rPr>
                <w:rStyle w:val="Style20"/>
                <w:vanish w:val="false"/>
              </w:rPr>
              <w:tab/>
              <w:t>34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2">
            <w:r>
              <w:rPr>
                <w:webHidden/>
                <w:rStyle w:val="Style20"/>
                <w:vanish w:val="false"/>
              </w:rPr>
              <w:t>4.4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Разъяснение Документации о закупке</w:t>
            </w:r>
            <w:r>
              <w:rPr>
                <w:webHidden/>
              </w:rPr>
              <w:fldChar w:fldCharType="begin"/>
            </w:r>
            <w:r>
              <w:rPr>
                <w:webHidden/>
              </w:rPr>
              <w:instrText xml:space="preserve">PAGEREF _Toc228976342 \h</w:instrText>
            </w:r>
            <w:r>
              <w:rPr>
                <w:webHidden/>
              </w:rPr>
              <w:fldChar w:fldCharType="separate"/>
            </w:r>
            <w:r>
              <w:rPr>
                <w:rStyle w:val="Style20"/>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3">
            <w:r>
              <w:rPr>
                <w:webHidden/>
                <w:rStyle w:val="Style20"/>
                <w:vanish w:val="false"/>
              </w:rPr>
              <w:t>4.5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Изменения Извещения и (или) Документации о закупке</w:t>
            </w:r>
            <w:r>
              <w:rPr>
                <w:webHidden/>
              </w:rPr>
              <w:fldChar w:fldCharType="begin"/>
            </w:r>
            <w:r>
              <w:rPr>
                <w:webHidden/>
              </w:rPr>
              <w:instrText xml:space="preserve">PAGEREF _Toc228976343 \h</w:instrText>
            </w:r>
            <w:r>
              <w:rPr>
                <w:webHidden/>
              </w:rPr>
              <w:fldChar w:fldCharType="separate"/>
            </w:r>
            <w:r>
              <w:rPr>
                <w:rStyle w:val="Style20"/>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4">
            <w:r>
              <w:rPr>
                <w:webHidden/>
                <w:rStyle w:val="Style20"/>
                <w:vanish w:val="false"/>
              </w:rPr>
              <w:t>4.6</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Подача заявок и их прием</w:t>
            </w:r>
            <w:r>
              <w:rPr>
                <w:webHidden/>
              </w:rPr>
              <w:fldChar w:fldCharType="begin"/>
            </w:r>
            <w:r>
              <w:rPr>
                <w:webHidden/>
              </w:rPr>
              <w:instrText xml:space="preserve">PAGEREF _Toc228976344 \h</w:instrText>
            </w:r>
            <w:r>
              <w:rPr>
                <w:webHidden/>
              </w:rPr>
              <w:fldChar w:fldCharType="separate"/>
            </w:r>
            <w:r>
              <w:rPr>
                <w:rStyle w:val="Style20"/>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5">
            <w:r>
              <w:rPr>
                <w:webHidden/>
                <w:rStyle w:val="Style20"/>
                <w:vanish w:val="false"/>
              </w:rPr>
              <w:t>4.7</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Изменение и отзыв заявок</w:t>
            </w:r>
            <w:r>
              <w:rPr>
                <w:webHidden/>
              </w:rPr>
              <w:fldChar w:fldCharType="begin"/>
            </w:r>
            <w:r>
              <w:rPr>
                <w:webHidden/>
              </w:rPr>
              <w:instrText xml:space="preserve">PAGEREF _Toc228976345 \h</w:instrText>
            </w:r>
            <w:r>
              <w:rPr>
                <w:webHidden/>
              </w:rPr>
              <w:fldChar w:fldCharType="separate"/>
            </w:r>
            <w:r>
              <w:rPr>
                <w:rStyle w:val="Style20"/>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6">
            <w:r>
              <w:rPr>
                <w:webHidden/>
                <w:rStyle w:val="Style20"/>
                <w:vanish w:val="false"/>
              </w:rPr>
              <w:t>4.8</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Открытие доступа к заявкам</w:t>
            </w:r>
            <w:r>
              <w:rPr>
                <w:webHidden/>
              </w:rPr>
              <w:fldChar w:fldCharType="begin"/>
            </w:r>
            <w:r>
              <w:rPr>
                <w:webHidden/>
              </w:rPr>
              <w:instrText xml:space="preserve">PAGEREF _Toc228976346 \h</w:instrText>
            </w:r>
            <w:r>
              <w:rPr>
                <w:webHidden/>
              </w:rPr>
              <w:fldChar w:fldCharType="separate"/>
            </w:r>
            <w:r>
              <w:rPr>
                <w:rStyle w:val="Style20"/>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7">
            <w:r>
              <w:rPr>
                <w:webHidden/>
                <w:rStyle w:val="Style20"/>
                <w:vanish w:val="false"/>
              </w:rPr>
              <w:t>4.9</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Рассмотрение заявок (отборочная стадия), в том числе (при необходимости) проведение аккредитации</w:t>
            </w:r>
            <w:r>
              <w:rPr>
                <w:webHidden/>
              </w:rPr>
              <w:fldChar w:fldCharType="begin"/>
            </w:r>
            <w:r>
              <w:rPr>
                <w:webHidden/>
              </w:rPr>
              <w:instrText xml:space="preserve">PAGEREF _Toc228976347 \h</w:instrText>
            </w:r>
            <w:r>
              <w:rPr>
                <w:webHidden/>
              </w:rPr>
              <w:fldChar w:fldCharType="separate"/>
            </w:r>
            <w:r>
              <w:rPr>
                <w:rStyle w:val="Style20"/>
                <w:vanish w:val="false"/>
              </w:rPr>
              <w:tab/>
              <w:t>40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8">
            <w:r>
              <w:rPr>
                <w:webHidden/>
                <w:rStyle w:val="Style20"/>
                <w:vanish w:val="false"/>
              </w:rPr>
              <w:t>4.10</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запросы разъяснений заявок</w:t>
            </w:r>
            <w:r>
              <w:rPr>
                <w:webHidden/>
              </w:rPr>
              <w:fldChar w:fldCharType="begin"/>
            </w:r>
            <w:r>
              <w:rPr>
                <w:webHidden/>
              </w:rPr>
              <w:instrText xml:space="preserve">PAGEREF _Toc228976348 \h</w:instrText>
            </w:r>
            <w:r>
              <w:rPr>
                <w:webHidden/>
              </w:rPr>
              <w:fldChar w:fldCharType="separate"/>
            </w:r>
            <w:r>
              <w:rPr>
                <w:rStyle w:val="Style20"/>
                <w:vanish w:val="false"/>
              </w:rPr>
              <w:tab/>
              <w:t>42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9">
            <w:r>
              <w:rPr>
                <w:webHidden/>
                <w:rStyle w:val="Style20"/>
                <w:vanish w:val="false"/>
              </w:rPr>
              <w:t>4.11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Переторжка</w:t>
            </w:r>
            <w:r>
              <w:rPr>
                <w:webHidden/>
              </w:rPr>
              <w:fldChar w:fldCharType="begin"/>
            </w:r>
            <w:r>
              <w:rPr>
                <w:webHidden/>
              </w:rPr>
              <w:instrText xml:space="preserve">PAGEREF _Toc228976349 \h</w:instrText>
            </w:r>
            <w:r>
              <w:rPr>
                <w:webHidden/>
              </w:rPr>
              <w:fldChar w:fldCharType="separate"/>
            </w:r>
            <w:r>
              <w:rPr>
                <w:rStyle w:val="Style20"/>
                <w:vanish w:val="false"/>
              </w:rPr>
              <w:tab/>
              <w:t>43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0">
            <w:r>
              <w:rPr>
                <w:webHidden/>
                <w:rStyle w:val="Style20"/>
                <w:vanish w:val="false"/>
              </w:rPr>
              <w:t>4.12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Оценка и сопоставление заявок</w:t>
            </w:r>
            <w:r>
              <w:rPr>
                <w:webHidden/>
              </w:rPr>
              <w:fldChar w:fldCharType="begin"/>
            </w:r>
            <w:r>
              <w:rPr>
                <w:webHidden/>
              </w:rPr>
              <w:instrText xml:space="preserve">PAGEREF _Toc228976350 \h</w:instrText>
            </w:r>
            <w:r>
              <w:rPr>
                <w:webHidden/>
              </w:rPr>
              <w:fldChar w:fldCharType="separate"/>
            </w:r>
            <w:r>
              <w:rPr>
                <w:rStyle w:val="Style20"/>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1">
            <w:r>
              <w:rPr>
                <w:webHidden/>
                <w:rStyle w:val="Style20"/>
                <w:vanish w:val="false"/>
              </w:rPr>
              <w:t>4.13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Применение законодательства о национальном режиме</w:t>
            </w:r>
            <w:r>
              <w:rPr>
                <w:webHidden/>
              </w:rPr>
              <w:fldChar w:fldCharType="begin"/>
            </w:r>
            <w:r>
              <w:rPr>
                <w:webHidden/>
              </w:rPr>
              <w:instrText xml:space="preserve">PAGEREF _Toc228976351 \h</w:instrText>
            </w:r>
            <w:r>
              <w:rPr>
                <w:webHidden/>
              </w:rPr>
              <w:fldChar w:fldCharType="separate"/>
            </w:r>
            <w:r>
              <w:rPr>
                <w:rStyle w:val="Style20"/>
                <w:vanish w:val="false"/>
              </w:rPr>
              <w:tab/>
              <w:t>47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2">
            <w:r>
              <w:rPr>
                <w:webHidden/>
                <w:rStyle w:val="Style20"/>
                <w:vanish w:val="false"/>
              </w:rPr>
              <w:t>4.14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Подведение итогов закупки (определение Победителя)</w:t>
            </w:r>
            <w:r>
              <w:rPr>
                <w:webHidden/>
              </w:rPr>
              <w:fldChar w:fldCharType="begin"/>
            </w:r>
            <w:r>
              <w:rPr>
                <w:webHidden/>
              </w:rPr>
              <w:instrText xml:space="preserve">PAGEREF _Toc228976352 \h</w:instrText>
            </w:r>
            <w:r>
              <w:rPr>
                <w:webHidden/>
              </w:rPr>
              <w:fldChar w:fldCharType="separate"/>
            </w:r>
            <w:r>
              <w:rPr>
                <w:rStyle w:val="Style20"/>
                <w:vanish w:val="false"/>
              </w:rPr>
              <w:tab/>
              <w:t>49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3">
            <w:r>
              <w:rPr>
                <w:webHidden/>
                <w:rStyle w:val="Style20"/>
                <w:vanish w:val="false"/>
              </w:rPr>
              <w:t>4.15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Признание закупки несостоявшейся</w:t>
            </w:r>
            <w:r>
              <w:rPr>
                <w:webHidden/>
              </w:rPr>
              <w:fldChar w:fldCharType="begin"/>
            </w:r>
            <w:r>
              <w:rPr>
                <w:webHidden/>
              </w:rPr>
              <w:instrText xml:space="preserve">PAGEREF _Toc228976353 \h</w:instrText>
            </w:r>
            <w:r>
              <w:rPr>
                <w:webHidden/>
              </w:rPr>
              <w:fldChar w:fldCharType="separate"/>
            </w:r>
            <w:r>
              <w:rPr>
                <w:rStyle w:val="Style20"/>
                <w:vanish w:val="false"/>
              </w:rPr>
              <w:tab/>
              <w:t>51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4">
            <w:r>
              <w:rPr>
                <w:webHidden/>
                <w:rStyle w:val="Style20"/>
                <w:vanish w:val="false"/>
              </w:rPr>
              <w:t>4.16</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Отказ от проведения закупки (отмена закупки)</w:t>
            </w:r>
            <w:r>
              <w:rPr>
                <w:webHidden/>
              </w:rPr>
              <w:fldChar w:fldCharType="begin"/>
            </w:r>
            <w:r>
              <w:rPr>
                <w:webHidden/>
              </w:rPr>
              <w:instrText xml:space="preserve">PAGEREF _Toc228976354 \h</w:instrText>
            </w:r>
            <w:r>
              <w:rPr>
                <w:webHidden/>
              </w:rPr>
              <w:fldChar w:fldCharType="separate"/>
            </w:r>
            <w:r>
              <w:rPr>
                <w:rStyle w:val="Style20"/>
                <w:vanish w:val="false"/>
              </w:rPr>
              <w:tab/>
              <w:t>52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5">
            <w:r>
              <w:rPr>
                <w:webHidden/>
                <w:rStyle w:val="Style20"/>
                <w:vanish w:val="false"/>
              </w:rPr>
              <w:t>4.17</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закупки с необходимостью обеспечения заявки</w:t>
            </w:r>
            <w:r>
              <w:rPr>
                <w:webHidden/>
              </w:rPr>
              <w:fldChar w:fldCharType="begin"/>
            </w:r>
            <w:r>
              <w:rPr>
                <w:webHidden/>
              </w:rPr>
              <w:instrText xml:space="preserve">PAGEREF _Toc228976355 \h</w:instrText>
            </w:r>
            <w:r>
              <w:rPr>
                <w:webHidden/>
              </w:rPr>
              <w:fldChar w:fldCharType="separate"/>
            </w:r>
            <w:r>
              <w:rPr>
                <w:rStyle w:val="Style20"/>
                <w:vanish w:val="false"/>
              </w:rPr>
              <w:tab/>
              <w:t>52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6">
            <w:r>
              <w:rPr>
                <w:webHidden/>
                <w:rStyle w:val="Style20"/>
                <w:vanish w:val="false"/>
              </w:rPr>
              <w:t>4.18</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многолотовой закупки</w:t>
            </w:r>
            <w:r>
              <w:rPr>
                <w:webHidden/>
              </w:rPr>
              <w:fldChar w:fldCharType="begin"/>
            </w:r>
            <w:r>
              <w:rPr>
                <w:webHidden/>
              </w:rPr>
              <w:instrText xml:space="preserve">PAGEREF _Toc228976356 \h</w:instrText>
            </w:r>
            <w:r>
              <w:rPr>
                <w:webHidden/>
              </w:rPr>
              <w:fldChar w:fldCharType="separate"/>
            </w:r>
            <w:r>
              <w:rPr>
                <w:rStyle w:val="Style20"/>
                <w:vanish w:val="false"/>
              </w:rPr>
              <w:tab/>
              <w:t>55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7">
            <w:r>
              <w:rPr>
                <w:webHidden/>
                <w:rStyle w:val="Style20"/>
                <w:vanish w:val="false"/>
              </w:rPr>
              <w:t>4.19</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закупки с возможностью подачи альтернативных предложений</w:t>
            </w:r>
            <w:r>
              <w:rPr>
                <w:webHidden/>
              </w:rPr>
              <w:fldChar w:fldCharType="begin"/>
            </w:r>
            <w:r>
              <w:rPr>
                <w:webHidden/>
              </w:rPr>
              <w:instrText xml:space="preserve">PAGEREF _Toc228976357 \h</w:instrText>
            </w:r>
            <w:r>
              <w:rPr>
                <w:webHidden/>
              </w:rPr>
              <w:fldChar w:fldCharType="separate"/>
            </w:r>
            <w:r>
              <w:rPr>
                <w:rStyle w:val="Style20"/>
                <w:vanish w:val="false"/>
              </w:rPr>
              <w:tab/>
              <w:t>56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58">
            <w:r>
              <w:rPr>
                <w:webHidden/>
                <w:rStyle w:val="Style20"/>
                <w:vanish w:val="false"/>
              </w:rPr>
              <w:t>5.</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Порядок заключения Договора</w:t>
            </w:r>
            <w:r>
              <w:rPr>
                <w:webHidden/>
              </w:rPr>
              <w:fldChar w:fldCharType="begin"/>
            </w:r>
            <w:r>
              <w:rPr>
                <w:webHidden/>
              </w:rPr>
              <w:instrText xml:space="preserve">PAGEREF _Toc228976358 \h</w:instrText>
            </w:r>
            <w:r>
              <w:rPr>
                <w:webHidden/>
              </w:rPr>
              <w:fldChar w:fldCharType="separate"/>
            </w:r>
            <w:r>
              <w:rPr>
                <w:rStyle w:val="Style20"/>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9">
            <w:r>
              <w:rPr>
                <w:webHidden/>
                <w:rStyle w:val="Style20"/>
                <w:vanish w:val="false"/>
              </w:rPr>
              <w:t>5.1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Общие положения</w:t>
            </w:r>
            <w:r>
              <w:rPr>
                <w:webHidden/>
              </w:rPr>
              <w:fldChar w:fldCharType="begin"/>
            </w:r>
            <w:r>
              <w:rPr>
                <w:webHidden/>
              </w:rPr>
              <w:instrText xml:space="preserve">PAGEREF _Toc228976359 \h</w:instrText>
            </w:r>
            <w:r>
              <w:rPr>
                <w:webHidden/>
              </w:rPr>
              <w:fldChar w:fldCharType="separate"/>
            </w:r>
            <w:r>
              <w:rPr>
                <w:rStyle w:val="Style20"/>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0">
            <w:r>
              <w:rPr>
                <w:webHidden/>
                <w:rStyle w:val="Style20"/>
                <w:vanish w:val="false"/>
              </w:rPr>
              <w:t>5.2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Заключение Договора</w:t>
            </w:r>
            <w:r>
              <w:rPr>
                <w:webHidden/>
              </w:rPr>
              <w:fldChar w:fldCharType="begin"/>
            </w:r>
            <w:r>
              <w:rPr>
                <w:webHidden/>
              </w:rPr>
              <w:instrText xml:space="preserve">PAGEREF _Toc228976360 \h</w:instrText>
            </w:r>
            <w:r>
              <w:rPr>
                <w:webHidden/>
              </w:rPr>
              <w:fldChar w:fldCharType="separate"/>
            </w:r>
            <w:r>
              <w:rPr>
                <w:rStyle w:val="Style20"/>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1">
            <w:r>
              <w:rPr>
                <w:webHidden/>
                <w:rStyle w:val="Style20"/>
                <w:vanish w:val="false"/>
              </w:rPr>
              <w:t>5.3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Преддоговорные переговоры</w:t>
            </w:r>
            <w:r>
              <w:rPr>
                <w:webHidden/>
              </w:rPr>
              <w:fldChar w:fldCharType="begin"/>
            </w:r>
            <w:r>
              <w:rPr>
                <w:webHidden/>
              </w:rPr>
              <w:instrText xml:space="preserve">PAGEREF _Toc228976361 \h</w:instrText>
            </w:r>
            <w:r>
              <w:rPr>
                <w:webHidden/>
              </w:rPr>
              <w:fldChar w:fldCharType="separate"/>
            </w:r>
            <w:r>
              <w:rPr>
                <w:rStyle w:val="Style20"/>
                <w:vanish w:val="false"/>
              </w:rPr>
              <w:tab/>
              <w:t>61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2">
            <w:r>
              <w:rPr>
                <w:webHidden/>
                <w:rStyle w:val="Style20"/>
                <w:vanish w:val="false"/>
              </w:rPr>
              <w:t>5.4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Уклонение Победителя от заключения Договора</w:t>
            </w:r>
            <w:r>
              <w:rPr>
                <w:webHidden/>
              </w:rPr>
              <w:fldChar w:fldCharType="begin"/>
            </w:r>
            <w:r>
              <w:rPr>
                <w:webHidden/>
              </w:rPr>
              <w:instrText xml:space="preserve">PAGEREF _Toc228976362 \h</w:instrText>
            </w:r>
            <w:r>
              <w:rPr>
                <w:webHidden/>
              </w:rPr>
              <w:fldChar w:fldCharType="separate"/>
            </w:r>
            <w:r>
              <w:rPr>
                <w:rStyle w:val="Style20"/>
                <w:vanish w:val="false"/>
              </w:rPr>
              <w:tab/>
              <w:t>62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63">
            <w:r>
              <w:rPr>
                <w:webHidden/>
                <w:rStyle w:val="Style20"/>
                <w:vanish w:val="false"/>
              </w:rPr>
              <w:t>6.</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1 – Технические требования</w:t>
            </w:r>
            <w:r>
              <w:rPr>
                <w:webHidden/>
              </w:rPr>
              <w:fldChar w:fldCharType="begin"/>
            </w:r>
            <w:r>
              <w:rPr>
                <w:webHidden/>
              </w:rPr>
              <w:instrText xml:space="preserve">PAGEREF _Toc228976363 \h</w:instrText>
            </w:r>
            <w:r>
              <w:rPr>
                <w:webHidden/>
              </w:rPr>
              <w:fldChar w:fldCharType="separate"/>
            </w:r>
            <w:r>
              <w:rPr>
                <w:rStyle w:val="Style20"/>
                <w:vanish w:val="false"/>
              </w:rPr>
              <w:tab/>
              <w:t>63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4">
            <w:r>
              <w:rPr>
                <w:webHidden/>
                <w:rStyle w:val="Style20"/>
                <w:vanish w:val="false"/>
              </w:rPr>
              <w:t>6.1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Техническим требованиям</w:t>
            </w:r>
            <w:r>
              <w:rPr>
                <w:webHidden/>
              </w:rPr>
              <w:fldChar w:fldCharType="begin"/>
            </w:r>
            <w:r>
              <w:rPr>
                <w:webHidden/>
              </w:rPr>
              <w:instrText xml:space="preserve">PAGEREF _Toc228976364 \h</w:instrText>
            </w:r>
            <w:r>
              <w:rPr>
                <w:webHidden/>
              </w:rPr>
              <w:fldChar w:fldCharType="separate"/>
            </w:r>
            <w:r>
              <w:rPr>
                <w:rStyle w:val="Style20"/>
                <w:vanish w:val="false"/>
              </w:rPr>
              <w:tab/>
              <w:t>63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65">
            <w:r>
              <w:rPr>
                <w:webHidden/>
                <w:rStyle w:val="Style20"/>
                <w:vanish w:val="false"/>
              </w:rPr>
              <w:t>7.</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2 – Проект договора</w:t>
            </w:r>
            <w:r>
              <w:rPr>
                <w:webHidden/>
              </w:rPr>
              <w:fldChar w:fldCharType="begin"/>
            </w:r>
            <w:r>
              <w:rPr>
                <w:webHidden/>
              </w:rPr>
              <w:instrText xml:space="preserve">PAGEREF _Toc228976365 \h</w:instrText>
            </w:r>
            <w:r>
              <w:rPr>
                <w:webHidden/>
              </w:rPr>
              <w:fldChar w:fldCharType="separate"/>
            </w:r>
            <w:r>
              <w:rPr>
                <w:rStyle w:val="Style20"/>
                <w:vanish w:val="false"/>
              </w:rPr>
              <w:tab/>
              <w:t>64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6">
            <w:r>
              <w:rPr>
                <w:webHidden/>
                <w:rStyle w:val="Style20"/>
                <w:vanish w:val="false"/>
              </w:rPr>
              <w:t>7.1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Проекту договора</w:t>
            </w:r>
            <w:r>
              <w:rPr>
                <w:webHidden/>
              </w:rPr>
              <w:fldChar w:fldCharType="begin"/>
            </w:r>
            <w:r>
              <w:rPr>
                <w:webHidden/>
              </w:rPr>
              <w:instrText xml:space="preserve">PAGEREF _Toc228976366 \h</w:instrText>
            </w:r>
            <w:r>
              <w:rPr>
                <w:webHidden/>
              </w:rPr>
              <w:fldChar w:fldCharType="separate"/>
            </w:r>
            <w:r>
              <w:rPr>
                <w:rStyle w:val="Style20"/>
                <w:vanish w:val="false"/>
              </w:rPr>
              <w:tab/>
              <w:t>64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67">
            <w:r>
              <w:rPr>
                <w:webHidden/>
                <w:rStyle w:val="Style20"/>
                <w:vanish w:val="false"/>
              </w:rPr>
              <w:t>8.</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3 – Требования к Участникам</w:t>
            </w:r>
            <w:r>
              <w:rPr>
                <w:webHidden/>
              </w:rPr>
              <w:fldChar w:fldCharType="begin"/>
            </w:r>
            <w:r>
              <w:rPr>
                <w:webHidden/>
              </w:rPr>
              <w:instrText xml:space="preserve">PAGEREF _Toc228976367 \h</w:instrText>
            </w:r>
            <w:r>
              <w:rPr>
                <w:webHidden/>
              </w:rPr>
              <w:fldChar w:fldCharType="separate"/>
            </w:r>
            <w:r>
              <w:rPr>
                <w:rStyle w:val="Style20"/>
                <w:vanish w:val="false"/>
              </w:rPr>
              <w:tab/>
              <w:t>65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8">
            <w:r>
              <w:rPr>
                <w:webHidden/>
                <w:rStyle w:val="Style20"/>
                <w:vanish w:val="false"/>
              </w:rPr>
              <w:t>8.1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требованиям к Участникам</w:t>
            </w:r>
            <w:r>
              <w:rPr>
                <w:webHidden/>
              </w:rPr>
              <w:fldChar w:fldCharType="begin"/>
            </w:r>
            <w:r>
              <w:rPr>
                <w:webHidden/>
              </w:rPr>
              <w:instrText xml:space="preserve">PAGEREF _Toc228976368 \h</w:instrText>
            </w:r>
            <w:r>
              <w:rPr>
                <w:webHidden/>
              </w:rPr>
              <w:fldChar w:fldCharType="separate"/>
            </w:r>
            <w:r>
              <w:rPr>
                <w:rStyle w:val="Style20"/>
                <w:vanish w:val="false"/>
              </w:rPr>
              <w:tab/>
              <w:t>65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9">
            <w:r>
              <w:rPr>
                <w:webHidden/>
                <w:rStyle w:val="Style20"/>
                <w:vanish w:val="false"/>
              </w:rPr>
              <w:t>8.2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Обязательные требования</w:t>
            </w:r>
            <w:r>
              <w:rPr>
                <w:webHidden/>
              </w:rPr>
              <w:fldChar w:fldCharType="begin"/>
            </w:r>
            <w:r>
              <w:rPr>
                <w:webHidden/>
              </w:rPr>
              <w:instrText xml:space="preserve">PAGEREF _Toc228976369 \h</w:instrText>
            </w:r>
            <w:r>
              <w:rPr>
                <w:webHidden/>
              </w:rPr>
              <w:fldChar w:fldCharType="separate"/>
            </w:r>
            <w:r>
              <w:rPr>
                <w:rStyle w:val="Style20"/>
                <w:vanish w:val="false"/>
              </w:rPr>
              <w:tab/>
              <w:t>65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0">
            <w:r>
              <w:rPr>
                <w:webHidden/>
                <w:rStyle w:val="Style20"/>
                <w:vanish w:val="false"/>
              </w:rPr>
              <w:t>8.3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Специальные требования</w:t>
            </w:r>
            <w:r>
              <w:rPr>
                <w:webHidden/>
              </w:rPr>
              <w:fldChar w:fldCharType="begin"/>
            </w:r>
            <w:r>
              <w:rPr>
                <w:webHidden/>
              </w:rPr>
              <w:instrText xml:space="preserve">PAGEREF _Toc228976370 \h</w:instrText>
            </w:r>
            <w:r>
              <w:rPr>
                <w:webHidden/>
              </w:rPr>
              <w:fldChar w:fldCharType="separate"/>
            </w:r>
            <w:r>
              <w:rPr>
                <w:rStyle w:val="Style20"/>
                <w:vanish w:val="false"/>
              </w:rPr>
              <w:tab/>
              <w:t>68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1">
            <w:r>
              <w:rPr>
                <w:webHidden/>
                <w:rStyle w:val="Style20"/>
                <w:vanish w:val="false"/>
              </w:rPr>
              <w:t>8.4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Квалификационные требования</w:t>
            </w:r>
            <w:r>
              <w:rPr>
                <w:webHidden/>
              </w:rPr>
              <w:fldChar w:fldCharType="begin"/>
            </w:r>
            <w:r>
              <w:rPr>
                <w:webHidden/>
              </w:rPr>
              <w:instrText xml:space="preserve">PAGEREF _Toc228976371 \h</w:instrText>
            </w:r>
            <w:r>
              <w:rPr>
                <w:webHidden/>
              </w:rPr>
              <w:fldChar w:fldCharType="separate"/>
            </w:r>
            <w:r>
              <w:rPr>
                <w:rStyle w:val="Style20"/>
                <w:vanish w:val="false"/>
              </w:rPr>
              <w:tab/>
              <w:t>69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2">
            <w:r>
              <w:rPr>
                <w:webHidden/>
                <w:rStyle w:val="Style20"/>
                <w:vanish w:val="false"/>
              </w:rPr>
              <w:t>8.5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требования к Коллективным участникам</w:t>
            </w:r>
            <w:r>
              <w:rPr>
                <w:webHidden/>
              </w:rPr>
              <w:fldChar w:fldCharType="begin"/>
            </w:r>
            <w:r>
              <w:rPr>
                <w:webHidden/>
              </w:rPr>
              <w:instrText xml:space="preserve">PAGEREF _Toc228976372 \h</w:instrText>
            </w:r>
            <w:r>
              <w:rPr>
                <w:webHidden/>
              </w:rPr>
              <w:fldChar w:fldCharType="separate"/>
            </w:r>
            <w:r>
              <w:rPr>
                <w:rStyle w:val="Style20"/>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3">
            <w:r>
              <w:rPr>
                <w:webHidden/>
                <w:rStyle w:val="Style20"/>
                <w:vanish w:val="false"/>
              </w:rPr>
              <w:t>8.6</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требования к Генеральным подрядчикам</w:t>
            </w:r>
            <w:r>
              <w:rPr>
                <w:webHidden/>
              </w:rPr>
              <w:fldChar w:fldCharType="begin"/>
            </w:r>
            <w:r>
              <w:rPr>
                <w:webHidden/>
              </w:rPr>
              <w:instrText xml:space="preserve">PAGEREF _Toc228976373 \h</w:instrText>
            </w:r>
            <w:r>
              <w:rPr>
                <w:webHidden/>
              </w:rPr>
              <w:fldChar w:fldCharType="separate"/>
            </w:r>
            <w:r>
              <w:rPr>
                <w:rStyle w:val="Style20"/>
                <w:vanish w:val="false"/>
              </w:rPr>
              <w:tab/>
              <w:t>71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74">
            <w:r>
              <w:rPr>
                <w:webHidden/>
                <w:rStyle w:val="Style20"/>
                <w:vanish w:val="false"/>
              </w:rPr>
              <w:t>9.</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4 – Образцы форм документов, включаемых в состав заявки</w:t>
            </w:r>
            <w:r>
              <w:rPr>
                <w:webHidden/>
              </w:rPr>
              <w:fldChar w:fldCharType="begin"/>
            </w:r>
            <w:r>
              <w:rPr>
                <w:webHidden/>
              </w:rPr>
              <w:instrText xml:space="preserve">PAGEREF _Toc228976374 \h</w:instrText>
            </w:r>
            <w:r>
              <w:rPr>
                <w:webHidden/>
              </w:rPr>
              <w:fldChar w:fldCharType="separate"/>
            </w:r>
            <w:r>
              <w:rPr>
                <w:rStyle w:val="Style20"/>
                <w:vanish w:val="false"/>
              </w:rPr>
              <w:tab/>
              <w:t>73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5">
            <w:r>
              <w:rPr>
                <w:webHidden/>
                <w:rStyle w:val="Style20"/>
                <w:vanish w:val="false"/>
              </w:rPr>
              <w:t>9.1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Образцам форм документов, включаемых в состав заявки</w:t>
            </w:r>
            <w:r>
              <w:rPr>
                <w:webHidden/>
              </w:rPr>
              <w:fldChar w:fldCharType="begin"/>
            </w:r>
            <w:r>
              <w:rPr>
                <w:webHidden/>
              </w:rPr>
              <w:instrText xml:space="preserve">PAGEREF _Toc228976375 \h</w:instrText>
            </w:r>
            <w:r>
              <w:rPr>
                <w:webHidden/>
              </w:rPr>
              <w:fldChar w:fldCharType="separate"/>
            </w:r>
            <w:r>
              <w:rPr>
                <w:rStyle w:val="Style20"/>
                <w:vanish w:val="false"/>
              </w:rPr>
              <w:tab/>
              <w:t>73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76">
            <w:r>
              <w:rPr>
                <w:webHidden/>
                <w:rStyle w:val="Style20"/>
                <w:vanish w:val="false"/>
              </w:rPr>
              <w:t>10.</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5 – Образцы форм документов, предоставляемых Победителем</w:t>
            </w:r>
            <w:r>
              <w:rPr>
                <w:webHidden/>
              </w:rPr>
              <w:fldChar w:fldCharType="begin"/>
            </w:r>
            <w:r>
              <w:rPr>
                <w:webHidden/>
              </w:rPr>
              <w:instrText xml:space="preserve">PAGEREF _Toc228976376 \h</w:instrText>
            </w:r>
            <w:r>
              <w:rPr>
                <w:webHidden/>
              </w:rPr>
              <w:fldChar w:fldCharType="separate"/>
            </w:r>
            <w:r>
              <w:rPr>
                <w:rStyle w:val="Style20"/>
                <w:vanish w:val="false"/>
              </w:rPr>
              <w:tab/>
              <w:t>74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7">
            <w:r>
              <w:rPr>
                <w:webHidden/>
                <w:rStyle w:val="Style20"/>
                <w:vanish w:val="false"/>
              </w:rPr>
              <w:t>10.1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Образцам форм документов, предоставляемых Победителем</w:t>
            </w:r>
            <w:r>
              <w:rPr>
                <w:webHidden/>
              </w:rPr>
              <w:fldChar w:fldCharType="begin"/>
            </w:r>
            <w:r>
              <w:rPr>
                <w:webHidden/>
              </w:rPr>
              <w:instrText xml:space="preserve">PAGEREF _Toc228976377 \h</w:instrText>
            </w:r>
            <w:r>
              <w:rPr>
                <w:webHidden/>
              </w:rPr>
              <w:fldChar w:fldCharType="separate"/>
            </w:r>
            <w:r>
              <w:rPr>
                <w:rStyle w:val="Style20"/>
                <w:vanish w:val="false"/>
              </w:rPr>
              <w:tab/>
              <w:t>74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8">
            <w:r>
              <w:rPr>
                <w:webHidden/>
                <w:rStyle w:val="Style20"/>
                <w:vanish w:val="false"/>
              </w:rPr>
              <w:t>10.2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_Toc228976378 \h</w:instrText>
            </w:r>
            <w:r>
              <w:rPr>
                <w:webHidden/>
              </w:rPr>
              <w:fldChar w:fldCharType="separate"/>
            </w:r>
            <w:r>
              <w:rPr>
                <w:rStyle w:val="Style20"/>
                <w:vanish w:val="false"/>
              </w:rPr>
              <w:tab/>
              <w:t>74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9">
            <w:r>
              <w:rPr>
                <w:webHidden/>
                <w:rStyle w:val="Style20"/>
                <w:vanish w:val="false"/>
              </w:rPr>
              <w:t>10.3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Форма «Заверение об обстоятельствах»</w:t>
            </w:r>
            <w:r>
              <w:rPr>
                <w:webHidden/>
              </w:rPr>
              <w:fldChar w:fldCharType="begin"/>
            </w:r>
            <w:r>
              <w:rPr>
                <w:webHidden/>
              </w:rPr>
              <w:instrText xml:space="preserve">PAGEREF _Toc228976379 \h</w:instrText>
            </w:r>
            <w:r>
              <w:rPr>
                <w:webHidden/>
              </w:rPr>
              <w:fldChar w:fldCharType="separate"/>
            </w:r>
            <w:r>
              <w:rPr>
                <w:rStyle w:val="Style20"/>
                <w:vanish w:val="false"/>
              </w:rPr>
              <w:tab/>
              <w:t>74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80">
            <w:r>
              <w:rPr>
                <w:webHidden/>
                <w:rStyle w:val="Style20"/>
                <w:vanish w:val="false"/>
              </w:rPr>
              <w:t>11.</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6 – Состав заявки</w:t>
            </w:r>
            <w:r>
              <w:rPr>
                <w:webHidden/>
              </w:rPr>
              <w:fldChar w:fldCharType="begin"/>
            </w:r>
            <w:r>
              <w:rPr>
                <w:webHidden/>
              </w:rPr>
              <w:instrText xml:space="preserve">PAGEREF _Toc228976380 \h</w:instrText>
            </w:r>
            <w:r>
              <w:rPr>
                <w:webHidden/>
              </w:rPr>
              <w:fldChar w:fldCharType="separate"/>
            </w:r>
            <w:r>
              <w:rPr>
                <w:rStyle w:val="Style20"/>
                <w:vanish w:val="false"/>
              </w:rPr>
              <w:tab/>
              <w:t>76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1">
            <w:r>
              <w:rPr>
                <w:webHidden/>
                <w:rStyle w:val="Style20"/>
                <w:vanish w:val="false"/>
              </w:rPr>
              <w:t>11.1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Состав заявки</w:t>
            </w:r>
            <w:r>
              <w:rPr>
                <w:webHidden/>
              </w:rPr>
              <w:fldChar w:fldCharType="begin"/>
            </w:r>
            <w:r>
              <w:rPr>
                <w:webHidden/>
              </w:rPr>
              <w:instrText xml:space="preserve">PAGEREF _Toc228976381 \h</w:instrText>
            </w:r>
            <w:r>
              <w:rPr>
                <w:webHidden/>
              </w:rPr>
              <w:fldChar w:fldCharType="separate"/>
            </w:r>
            <w:r>
              <w:rPr>
                <w:rStyle w:val="Style20"/>
                <w:vanish w:val="false"/>
              </w:rPr>
              <w:tab/>
              <w:t>76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82">
            <w:r>
              <w:rPr>
                <w:webHidden/>
                <w:rStyle w:val="Style20"/>
                <w:vanish w:val="false"/>
              </w:rPr>
              <w:t>12.</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7 – Отборочные критерии рассмотрения заявок</w:t>
            </w:r>
            <w:r>
              <w:rPr>
                <w:webHidden/>
              </w:rPr>
              <w:fldChar w:fldCharType="begin"/>
            </w:r>
            <w:r>
              <w:rPr>
                <w:webHidden/>
              </w:rPr>
              <w:instrText xml:space="preserve">PAGEREF _Toc228976382 \h</w:instrText>
            </w:r>
            <w:r>
              <w:rPr>
                <w:webHidden/>
              </w:rPr>
              <w:fldChar w:fldCharType="separate"/>
            </w:r>
            <w:r>
              <w:rPr>
                <w:rStyle w:val="Style20"/>
                <w:vanish w:val="false"/>
              </w:rPr>
              <w:tab/>
              <w:t>79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3">
            <w:r>
              <w:rPr>
                <w:webHidden/>
                <w:rStyle w:val="Style20"/>
                <w:vanish w:val="false"/>
              </w:rPr>
              <w:t>12.1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Отборочные критерии рассмотрения заявок</w:t>
            </w:r>
            <w:r>
              <w:rPr>
                <w:webHidden/>
              </w:rPr>
              <w:fldChar w:fldCharType="begin"/>
            </w:r>
            <w:r>
              <w:rPr>
                <w:webHidden/>
              </w:rPr>
              <w:instrText xml:space="preserve">PAGEREF _Toc228976383 \h</w:instrText>
            </w:r>
            <w:r>
              <w:rPr>
                <w:webHidden/>
              </w:rPr>
              <w:fldChar w:fldCharType="separate"/>
            </w:r>
            <w:r>
              <w:rPr>
                <w:rStyle w:val="Style20"/>
                <w:vanish w:val="false"/>
              </w:rPr>
              <w:tab/>
              <w:t>79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4">
            <w:r>
              <w:rPr>
                <w:webHidden/>
                <w:rStyle w:val="Style20"/>
                <w:vanish w:val="false"/>
              </w:rPr>
              <w:t>12.2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_Toc228976384 \h</w:instrText>
            </w:r>
            <w:r>
              <w:rPr>
                <w:webHidden/>
              </w:rPr>
              <w:fldChar w:fldCharType="separate"/>
            </w:r>
            <w:r>
              <w:rPr>
                <w:rStyle w:val="Style20"/>
                <w:vanish w:val="false"/>
              </w:rPr>
              <w:tab/>
              <w:t>84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85">
            <w:r>
              <w:rPr>
                <w:webHidden/>
                <w:rStyle w:val="Style20"/>
                <w:vanish w:val="false"/>
              </w:rPr>
              <w:t>13.</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8 – Порядок и критерии оценки и сопоставления заявок</w:t>
            </w:r>
            <w:r>
              <w:rPr>
                <w:webHidden/>
              </w:rPr>
              <w:fldChar w:fldCharType="begin"/>
            </w:r>
            <w:r>
              <w:rPr>
                <w:webHidden/>
              </w:rPr>
              <w:instrText xml:space="preserve">PAGEREF _Toc228976385 \h</w:instrText>
            </w:r>
            <w:r>
              <w:rPr>
                <w:webHidden/>
              </w:rPr>
              <w:fldChar w:fldCharType="separate"/>
            </w:r>
            <w:r>
              <w:rPr>
                <w:rStyle w:val="Style20"/>
                <w:vanish w:val="false"/>
              </w:rPr>
              <w:tab/>
              <w:t>86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6">
            <w:r>
              <w:rPr>
                <w:webHidden/>
                <w:rStyle w:val="Style20"/>
                <w:vanish w:val="false"/>
              </w:rPr>
              <w:t>13.1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Порядок и критерии оценки и сопоставления заявок</w:t>
            </w:r>
            <w:r>
              <w:rPr>
                <w:webHidden/>
              </w:rPr>
              <w:fldChar w:fldCharType="begin"/>
            </w:r>
            <w:r>
              <w:rPr>
                <w:webHidden/>
              </w:rPr>
              <w:instrText xml:space="preserve">PAGEREF _Toc228976386 \h</w:instrText>
            </w:r>
            <w:r>
              <w:rPr>
                <w:webHidden/>
              </w:rPr>
              <w:fldChar w:fldCharType="separate"/>
            </w:r>
            <w:r>
              <w:rPr>
                <w:rStyle w:val="Style20"/>
                <w:vanish w:val="false"/>
              </w:rPr>
              <w:tab/>
              <w:t>86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7">
            <w:r>
              <w:rPr>
                <w:webHidden/>
                <w:rStyle w:val="Style20"/>
                <w:vanish w:val="false"/>
              </w:rPr>
              <w:t>13.2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Порядок и критерии оценки и сопоставления заявок</w:t>
            </w:r>
            <w:r>
              <w:rPr>
                <w:webHidden/>
              </w:rPr>
              <w:fldChar w:fldCharType="begin"/>
            </w:r>
            <w:r>
              <w:rPr>
                <w:webHidden/>
              </w:rPr>
              <w:instrText xml:space="preserve">PAGEREF _Toc228976387 \h</w:instrText>
            </w:r>
            <w:r>
              <w:rPr>
                <w:webHidden/>
              </w:rPr>
              <w:fldChar w:fldCharType="separate"/>
            </w:r>
            <w:r>
              <w:rPr>
                <w:rStyle w:val="Style20"/>
                <w:vanish w:val="false"/>
              </w:rPr>
              <w:tab/>
              <w:t>91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88">
            <w:r>
              <w:rPr>
                <w:webHidden/>
                <w:rStyle w:val="Style20"/>
                <w:vanish w:val="false"/>
              </w:rPr>
              <w:t>14.</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9 – Обоснование НМЦ</w:t>
            </w:r>
            <w:r>
              <w:rPr>
                <w:webHidden/>
              </w:rPr>
              <w:fldChar w:fldCharType="begin"/>
            </w:r>
            <w:r>
              <w:rPr>
                <w:webHidden/>
              </w:rPr>
              <w:instrText xml:space="preserve">PAGEREF _Toc228976388 \h</w:instrText>
            </w:r>
            <w:r>
              <w:rPr>
                <w:webHidden/>
              </w:rPr>
              <w:fldChar w:fldCharType="separate"/>
            </w:r>
            <w:r>
              <w:rPr>
                <w:rStyle w:val="Style20"/>
                <w:vanish w:val="false"/>
              </w:rPr>
              <w:tab/>
              <w:t>92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9">
            <w:r>
              <w:rPr>
                <w:webHidden/>
                <w:rStyle w:val="Style20"/>
                <w:vanish w:val="false"/>
              </w:rPr>
              <w:t>14.1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Обоснованию НМЦ</w:t>
            </w:r>
            <w:r>
              <w:rPr>
                <w:webHidden/>
              </w:rPr>
              <w:fldChar w:fldCharType="begin"/>
            </w:r>
            <w:r>
              <w:rPr>
                <w:webHidden/>
              </w:rPr>
              <w:instrText xml:space="preserve">PAGEREF _Toc228976389 \h</w:instrText>
            </w:r>
            <w:r>
              <w:rPr>
                <w:webHidden/>
              </w:rPr>
              <w:fldChar w:fldCharType="separate"/>
            </w:r>
            <w:r>
              <w:rPr>
                <w:rStyle w:val="Style20"/>
                <w:vanish w:val="false"/>
              </w:rPr>
              <w:tab/>
              <w:t>92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90">
            <w:r>
              <w:rPr>
                <w:webHidden/>
                <w:rStyle w:val="Style20"/>
                <w:vanish w:val="false"/>
              </w:rPr>
              <w:t>15.</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10 – Форма Заявки на аккредитацию</w:t>
            </w:r>
            <w:r>
              <w:rPr>
                <w:webHidden/>
              </w:rPr>
              <w:fldChar w:fldCharType="begin"/>
            </w:r>
            <w:r>
              <w:rPr>
                <w:webHidden/>
              </w:rPr>
              <w:instrText xml:space="preserve">PAGEREF _Toc228976390 \h</w:instrText>
            </w:r>
            <w:r>
              <w:rPr>
                <w:webHidden/>
              </w:rPr>
              <w:fldChar w:fldCharType="separate"/>
            </w:r>
            <w:r>
              <w:rPr>
                <w:rStyle w:val="Style20"/>
                <w:vanish w:val="false"/>
              </w:rPr>
              <w:tab/>
              <w:t>93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91">
            <w:r>
              <w:rPr>
                <w:webHidden/>
                <w:rStyle w:val="Style20"/>
                <w:vanish w:val="false"/>
              </w:rPr>
              <w:t>15.1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форме Заявки на аккредитацию</w:t>
            </w:r>
            <w:r>
              <w:rPr>
                <w:webHidden/>
              </w:rPr>
              <w:fldChar w:fldCharType="begin"/>
            </w:r>
            <w:r>
              <w:rPr>
                <w:webHidden/>
              </w:rPr>
              <w:instrText xml:space="preserve">PAGEREF _Toc228976391 \h</w:instrText>
            </w:r>
            <w:r>
              <w:rPr>
                <w:webHidden/>
              </w:rPr>
              <w:fldChar w:fldCharType="separate"/>
            </w:r>
            <w:r>
              <w:rPr>
                <w:rStyle w:val="Style20"/>
                <w:vanish w:val="false"/>
              </w:rPr>
              <w:tab/>
              <w:t>93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92">
            <w:r>
              <w:rPr>
                <w:webHidden/>
                <w:rStyle w:val="Style20"/>
                <w:vanish w:val="false"/>
              </w:rPr>
              <w:t>16.</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11 – форма Данных бухгалтерской (финансовой) отчетности</w:t>
            </w:r>
            <w:r>
              <w:rPr>
                <w:webHidden/>
              </w:rPr>
              <w:fldChar w:fldCharType="begin"/>
            </w:r>
            <w:r>
              <w:rPr>
                <w:webHidden/>
              </w:rPr>
              <w:instrText xml:space="preserve">PAGEREF _Toc228976392 \h</w:instrText>
            </w:r>
            <w:r>
              <w:rPr>
                <w:webHidden/>
              </w:rPr>
              <w:fldChar w:fldCharType="separate"/>
            </w:r>
            <w:r>
              <w:rPr>
                <w:rStyle w:val="Style20"/>
                <w:vanish w:val="false"/>
              </w:rPr>
              <w:tab/>
              <w:t>94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93">
            <w:r>
              <w:rPr>
                <w:webHidden/>
                <w:rStyle w:val="Style20"/>
                <w:vanish w:val="false"/>
              </w:rPr>
              <w:t>16.1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форме Данных бухгалтерской (финансовой) отчетности</w:t>
            </w:r>
            <w:r>
              <w:rPr>
                <w:webHidden/>
              </w:rPr>
              <w:fldChar w:fldCharType="begin"/>
            </w:r>
            <w:r>
              <w:rPr>
                <w:webHidden/>
              </w:rPr>
              <w:instrText xml:space="preserve">PAGEREF _Toc228976393 \h</w:instrText>
            </w:r>
            <w:r>
              <w:rPr>
                <w:webHidden/>
              </w:rPr>
              <w:fldChar w:fldCharType="separate"/>
            </w:r>
            <w:r>
              <w:rPr>
                <w:rStyle w:val="Style20"/>
                <w:vanish w:val="false"/>
              </w:rPr>
              <w:tab/>
              <w:t>94</w:t>
            </w:r>
            <w:r>
              <w:rPr>
                <w:webHidden/>
              </w:rPr>
              <w:fldChar w:fldCharType="end"/>
            </w:r>
          </w:hyperlink>
          <w:r>
            <w:rPr>
              <w:rStyle w:val="Style20"/>
              <w:vanish w:val="false"/>
            </w:rPr>
            <w:fldChar w:fldCharType="end"/>
          </w:r>
        </w:p>
      </w:sdtContent>
    </w:sdt>
    <w:p>
      <w:pPr>
        <w:pStyle w:val="Style30"/>
        <w:jc w:val="both"/>
        <w:rPr/>
      </w:pPr>
      <w:r>
        <w:rPr/>
      </w:r>
    </w:p>
    <w:p>
      <w:pPr>
        <w:pStyle w:val="Style30"/>
        <w:keepNext w:val="true"/>
        <w:spacing w:before="60" w:after="0"/>
        <w:rPr>
          <w:rStyle w:val="Style17"/>
        </w:rPr>
      </w:pPr>
      <w:r>
        <w:rPr>
          <w:rStyle w:val="Style17"/>
        </w:rPr>
        <w:t xml:space="preserve">[Примечание (дополнительные удобства работы с Документацией о закупке; Microsoft Word | </w:t>
      </w:r>
      <w:r>
        <w:rPr>
          <w:rStyle w:val="Style17"/>
          <w:color w:val="4472C4" w:themeColor="accent1"/>
        </w:rPr>
        <w:t>AlterOffice AText – отмечены отличая для данного текстового редактора</w:t>
      </w:r>
      <w:r>
        <w:rPr>
          <w:rStyle w:val="Style17"/>
        </w:rPr>
        <w:t>):</w:t>
      </w:r>
    </w:p>
    <w:p>
      <w:pPr>
        <w:pStyle w:val="Style30"/>
        <w:numPr>
          <w:ilvl w:val="0"/>
          <w:numId w:val="12"/>
        </w:numPr>
        <w:spacing w:before="60" w:after="0"/>
        <w:ind w:left="284" w:hanging="284"/>
        <w:rPr>
          <w:rStyle w:val="Style17"/>
        </w:rPr>
      </w:pPr>
      <w:r>
        <w:rPr>
          <w:rStyle w:val="Style17"/>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7"/>
          <w:color w:val="4472C4" w:themeColor="accent1"/>
        </w:rPr>
        <w:t>включается на вкладке «Вид» опцией «Навигатор»</w:t>
      </w:r>
      <w:r>
        <w:rPr>
          <w:rStyle w:val="Style17"/>
        </w:rPr>
        <w:t>;</w:t>
      </w:r>
    </w:p>
    <w:p>
      <w:pPr>
        <w:pStyle w:val="Style30"/>
        <w:numPr>
          <w:ilvl w:val="0"/>
          <w:numId w:val="12"/>
        </w:numPr>
        <w:spacing w:before="60" w:after="0"/>
        <w:ind w:left="284" w:hanging="284"/>
        <w:rPr>
          <w:rStyle w:val="Style17"/>
        </w:rPr>
      </w:pPr>
      <w:r>
        <w:rPr>
          <w:rStyle w:val="Style17"/>
        </w:rPr>
        <w:t>переход по перекрестным и другим ссылкам осуществляется левым кликом мыши с</w:t>
      </w:r>
      <w:r>
        <w:rPr>
          <w:rStyle w:val="Style17"/>
          <w:lang w:val="en-US"/>
        </w:rPr>
        <w:t> </w:t>
      </w:r>
      <w:r>
        <w:rPr>
          <w:rStyle w:val="Style17"/>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7"/>
          <w:color w:val="4472C4" w:themeColor="accent1"/>
        </w:rPr>
        <w:t>(обратный переход функционально не реализован в AlterOffice AText, пользуйтесь функциональностью «Навигатор»)</w:t>
      </w:r>
      <w:r>
        <w:rPr>
          <w:rStyle w:val="Style17"/>
        </w:rPr>
        <w:t>;</w:t>
      </w:r>
    </w:p>
    <w:p>
      <w:pPr>
        <w:pStyle w:val="Style30"/>
        <w:numPr>
          <w:ilvl w:val="0"/>
          <w:numId w:val="12"/>
        </w:numPr>
        <w:spacing w:before="60" w:after="0"/>
        <w:ind w:left="284" w:hanging="284"/>
        <w:rPr>
          <w:rStyle w:val="Style17"/>
        </w:rPr>
      </w:pPr>
      <w:r>
        <w:rPr>
          <w:rStyle w:val="Style17"/>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7"/>
          <w:lang w:val="en-US"/>
        </w:rPr>
        <w:t> </w:t>
      </w:r>
      <w:r>
        <w:rPr>
          <w:rStyle w:val="Style17"/>
        </w:rPr>
        <w:t>тексте</w:t>
      </w:r>
    </w:p>
    <w:p>
      <w:pPr>
        <w:pStyle w:val="Style30"/>
        <w:numPr>
          <w:ilvl w:val="0"/>
          <w:numId w:val="12"/>
        </w:numPr>
        <w:spacing w:before="60" w:after="0"/>
        <w:ind w:left="284" w:hanging="284"/>
        <w:rPr>
          <w:rStyle w:val="Style17"/>
        </w:rPr>
      </w:pPr>
      <w:r>
        <w:rPr>
          <w:rStyle w:val="Style17"/>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7"/>
        </w:rPr>
        <w:t>.]</w:t>
      </w:r>
    </w:p>
    <w:p>
      <w:pPr>
        <w:pStyle w:val="Style29"/>
        <w:numPr>
          <w:ilvl w:val="0"/>
          <w:numId w:val="0"/>
        </w:numPr>
        <w:ind w:left="0" w:hanging="0"/>
        <w:outlineLvl w:val="0"/>
        <w:rPr/>
      </w:pPr>
      <w:bookmarkStart w:id="0" w:name="_Toc228976323"/>
      <w:r>
        <w:rPr/>
        <w:t>Сокращения</w:t>
      </w:r>
      <w:bookmarkEnd w:id="0"/>
    </w:p>
    <w:p>
      <w:pPr>
        <w:pStyle w:val="Style30"/>
        <w:ind w:firstLine="567"/>
        <w:rPr/>
      </w:pPr>
      <w:r>
        <w:rPr>
          <w:b/>
          <w:bCs/>
        </w:rPr>
        <w:t>ГК РФ</w:t>
      </w:r>
      <w:r>
        <w:rPr/>
        <w:t xml:space="preserve"> – Гражданской кодекс Российской Федерации.</w:t>
      </w:r>
    </w:p>
    <w:p>
      <w:pPr>
        <w:pStyle w:val="Style30"/>
        <w:ind w:firstLine="567"/>
        <w:rPr/>
      </w:pPr>
      <w:r>
        <w:rPr>
          <w:b/>
          <w:bCs/>
        </w:rPr>
        <w:t>ЕАЭС</w:t>
      </w:r>
      <w:r>
        <w:rPr/>
        <w:t xml:space="preserve"> – Евразийский экономический союз.</w:t>
      </w:r>
    </w:p>
    <w:p>
      <w:pPr>
        <w:pStyle w:val="Style30"/>
        <w:ind w:firstLine="567"/>
        <w:rPr/>
      </w:pPr>
      <w:r>
        <w:rPr>
          <w:b/>
          <w:bCs/>
        </w:rPr>
        <w:t>ЕГРИП</w:t>
      </w:r>
      <w:r>
        <w:rPr/>
        <w:t xml:space="preserve"> – Единый государственный реестр индивидуальных предпринимателей.</w:t>
      </w:r>
    </w:p>
    <w:p>
      <w:pPr>
        <w:pStyle w:val="Style30"/>
        <w:ind w:firstLine="567"/>
        <w:rPr/>
      </w:pPr>
      <w:r>
        <w:rPr>
          <w:b/>
          <w:bCs/>
        </w:rPr>
        <w:t>ЕГРЮЛ</w:t>
      </w:r>
      <w:r>
        <w:rPr/>
        <w:t xml:space="preserve"> – Единый государственный реестр юридических лиц.</w:t>
      </w:r>
    </w:p>
    <w:p>
      <w:pPr>
        <w:pStyle w:val="Style30"/>
        <w:ind w:firstLine="567"/>
        <w:rPr/>
      </w:pPr>
      <w:r>
        <w:rPr>
          <w:b/>
          <w:bCs/>
        </w:rPr>
        <w:t>ЕИС</w:t>
      </w:r>
      <w:r>
        <w:rPr/>
        <w:t xml:space="preserve"> – Единая информационная система в сфере закупок.</w:t>
      </w:r>
    </w:p>
    <w:p>
      <w:pPr>
        <w:pStyle w:val="Style30"/>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0"/>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0"/>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0"/>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0"/>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0"/>
        <w:ind w:firstLine="567"/>
        <w:rPr/>
      </w:pPr>
      <w:r>
        <w:rPr>
          <w:b/>
          <w:bCs/>
        </w:rPr>
        <w:t>Извещение</w:t>
      </w:r>
      <w:r>
        <w:rPr/>
        <w:t xml:space="preserve"> – извещение о проведении настоящей закупки.</w:t>
      </w:r>
    </w:p>
    <w:p>
      <w:pPr>
        <w:pStyle w:val="Style30"/>
        <w:ind w:firstLine="567"/>
        <w:rPr/>
      </w:pPr>
      <w:r>
        <w:rPr>
          <w:b/>
          <w:bCs/>
        </w:rPr>
        <w:t>ИНН</w:t>
      </w:r>
      <w:r>
        <w:rPr/>
        <w:t xml:space="preserve"> – идентификационный номер налогоплательщика.</w:t>
      </w:r>
    </w:p>
    <w:p>
      <w:pPr>
        <w:pStyle w:val="Style30"/>
        <w:ind w:firstLine="567"/>
        <w:rPr/>
      </w:pPr>
      <w:r>
        <w:rPr>
          <w:b/>
          <w:bCs/>
        </w:rPr>
        <w:t>ИФНС</w:t>
      </w:r>
      <w:r>
        <w:rPr/>
        <w:t xml:space="preserve"> – инспекция Федеральной налоговой службы Российской Федерации.</w:t>
      </w:r>
    </w:p>
    <w:p>
      <w:pPr>
        <w:pStyle w:val="Style30"/>
        <w:ind w:firstLine="567"/>
        <w:rPr/>
      </w:pPr>
      <w:r>
        <w:rPr>
          <w:b/>
          <w:bCs/>
        </w:rPr>
        <w:t>МТР</w:t>
      </w:r>
      <w:r>
        <w:rPr/>
        <w:t xml:space="preserve"> – материально-технические ресурсы.</w:t>
      </w:r>
    </w:p>
    <w:p>
      <w:pPr>
        <w:pStyle w:val="Style30"/>
        <w:ind w:firstLine="567"/>
        <w:rPr/>
      </w:pPr>
      <w:r>
        <w:rPr>
          <w:b/>
          <w:bCs/>
        </w:rPr>
        <w:t>НДС</w:t>
      </w:r>
      <w:r>
        <w:rPr/>
        <w:t xml:space="preserve"> – налог на добавленную стоимость.</w:t>
      </w:r>
    </w:p>
    <w:p>
      <w:pPr>
        <w:pStyle w:val="Style30"/>
        <w:ind w:firstLine="567"/>
        <w:rPr/>
      </w:pPr>
      <w:r>
        <w:rPr>
          <w:b/>
          <w:bCs/>
        </w:rPr>
        <w:t>НМЦ</w:t>
      </w:r>
      <w:r>
        <w:rPr/>
        <w:t xml:space="preserve"> – начальная (максимальная) цена договора.</w:t>
      </w:r>
    </w:p>
    <w:p>
      <w:pPr>
        <w:pStyle w:val="Style30"/>
        <w:ind w:firstLine="567"/>
        <w:rPr/>
      </w:pPr>
      <w:r>
        <w:rPr>
          <w:b/>
          <w:bCs/>
        </w:rPr>
        <w:t>Оператор ЭП</w:t>
      </w:r>
      <w:r>
        <w:rPr/>
        <w:t xml:space="preserve"> – оператор электронной площадки.</w:t>
      </w:r>
    </w:p>
    <w:p>
      <w:pPr>
        <w:pStyle w:val="Style30"/>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0"/>
        <w:ind w:firstLine="567"/>
        <w:rPr/>
      </w:pPr>
      <w:r>
        <w:rPr>
          <w:b/>
          <w:bCs/>
        </w:rPr>
        <w:t>Положение о закупке</w:t>
      </w:r>
      <w:r>
        <w:rPr/>
        <w:t xml:space="preserve"> – Единое Положение о закупке продукции для нужд Группы РусГидро.</w:t>
      </w:r>
    </w:p>
    <w:p>
      <w:pPr>
        <w:pStyle w:val="Style30"/>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0"/>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0"/>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0"/>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0"/>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0"/>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0"/>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0"/>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0"/>
        <w:ind w:firstLine="567"/>
        <w:rPr/>
      </w:pPr>
      <w:r>
        <w:rPr>
          <w:b/>
          <w:bCs/>
        </w:rPr>
        <w:t>Субъект МСП</w:t>
      </w:r>
      <w:r>
        <w:rPr/>
        <w:t xml:space="preserve"> – субъект малого и среднего предпринимательства.</w:t>
      </w:r>
    </w:p>
    <w:p>
      <w:pPr>
        <w:pStyle w:val="Style30"/>
        <w:ind w:firstLine="567"/>
        <w:rPr/>
      </w:pPr>
      <w:r>
        <w:rPr>
          <w:b/>
          <w:bCs/>
        </w:rPr>
        <w:t>ЭП</w:t>
      </w:r>
      <w:r>
        <w:rPr/>
        <w:t xml:space="preserve"> – электронная площадка.</w:t>
      </w:r>
    </w:p>
    <w:p>
      <w:pPr>
        <w:pStyle w:val="Style29"/>
        <w:numPr>
          <w:ilvl w:val="0"/>
          <w:numId w:val="0"/>
        </w:numPr>
        <w:ind w:left="0" w:hanging="0"/>
        <w:outlineLvl w:val="0"/>
        <w:rPr/>
      </w:pPr>
      <w:bookmarkStart w:id="1" w:name="_Toc228976324"/>
      <w:r>
        <w:rPr/>
        <w:t>Термины и определения</w:t>
      </w:r>
      <w:bookmarkEnd w:id="1"/>
    </w:p>
    <w:p>
      <w:pPr>
        <w:pStyle w:val="Style30"/>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0"/>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0"/>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0"/>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0"/>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0"/>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0"/>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0"/>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0"/>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0"/>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0"/>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0"/>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0"/>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0"/>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0"/>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30"/>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0"/>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0"/>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0"/>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0"/>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0"/>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0"/>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0"/>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0"/>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0"/>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0"/>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0"/>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0"/>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0"/>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0"/>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0"/>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0"/>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от имени организации, полномочия которых подтверждены соответствующими документами.</w:t>
      </w:r>
    </w:p>
    <w:p>
      <w:pPr>
        <w:pStyle w:val="Style30"/>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4"/>
        <w:rPr/>
      </w:pPr>
      <w:bookmarkStart w:id="2" w:name="_Ref125359988"/>
      <w:bookmarkStart w:id="3" w:name="_Toc228976325"/>
      <w:r>
        <w:rPr/>
        <w:t>Основные сведения о закупке</w:t>
      </w:r>
      <w:bookmarkEnd w:id="2"/>
      <w:bookmarkEnd w:id="3"/>
    </w:p>
    <w:p>
      <w:pPr>
        <w:pStyle w:val="Style25"/>
        <w:rPr/>
      </w:pPr>
      <w:bookmarkStart w:id="4" w:name="_Toc228976326"/>
      <w:r>
        <w:rPr/>
        <w:t>Статус настоящего раздела</w:t>
      </w:r>
      <w:bookmarkEnd w:id="4"/>
    </w:p>
    <w:p>
      <w:pPr>
        <w:pStyle w:val="Style26"/>
        <w:rPr/>
      </w:pPr>
      <w:r>
        <w:rPr/>
        <w:t>В настоящем разделе содержатся основные сведения о предмете, способе и иных ключевых условиях проводимой закупки.</w:t>
      </w:r>
    </w:p>
    <w:p>
      <w:pPr>
        <w:pStyle w:val="Style26"/>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4"/>
          </w:rPr>
          <w:t>Технических требованиях (Приложение № 1)</w:t>
        </w:r>
      </w:hyperlink>
      <w:r>
        <w:rPr>
          <w:rStyle w:val="Style14"/>
        </w:rPr>
        <w:t>,</w:t>
      </w:r>
      <w:r>
        <w:rPr/>
        <w:t xml:space="preserve"> в </w:t>
      </w:r>
      <w:hyperlink w:anchor="Прил02_ПроектДоговора">
        <w:r>
          <w:rPr>
            <w:rStyle w:val="Style14"/>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6"/>
        <w:rPr/>
      </w:pPr>
      <w:bookmarkStart w:id="5"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5"/>
    </w:p>
    <w:p>
      <w:pPr>
        <w:pStyle w:val="Style25"/>
        <w:spacing w:before="360" w:after="120"/>
        <w:rPr/>
      </w:pPr>
      <w:bookmarkStart w:id="6" w:name="_Ref125359973"/>
      <w:bookmarkStart w:id="7" w:name="_Ref127270076"/>
      <w:bookmarkStart w:id="8" w:name="_Toc228976327"/>
      <w:r>
        <w:rPr/>
        <w:t>Информация о проводимой закупке</w:t>
      </w:r>
      <w:bookmarkEnd w:id="6"/>
      <w:bookmarkEnd w:id="7"/>
      <w:bookmarkEnd w:id="8"/>
    </w:p>
    <w:tbl>
      <w:tblPr>
        <w:tblStyle w:val="af6"/>
        <w:tblW w:w="9754"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844"/>
        <w:gridCol w:w="3234"/>
        <w:gridCol w:w="5676"/>
      </w:tblGrid>
      <w:tr>
        <w:trPr>
          <w:cnfStyle w:val="100000000000" w:firstRow="1" w:lastRow="0" w:firstColumn="0" w:lastColumn="0" w:oddVBand="0" w:evenVBand="0" w:oddHBand="0" w:evenHBand="0" w:firstRowFirstColumn="0" w:firstRowLastColumn="0" w:lastRowFirstColumn="0" w:lastRowLastColumn="0"/>
        </w:trPr>
        <w:tc>
          <w:tcPr>
            <w:tcW w:w="844"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34"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67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9" w:name="_Ref125360980"/>
            <w:bookmarkStart w:id="10" w:name="_Ref125360980"/>
            <w:bookmarkEnd w:id="1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1" w:name="_Ref125360996"/>
            <w:bookmarkStart w:id="12" w:name="_Ref125360996"/>
            <w:bookmarkEnd w:id="1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Лот № </w:t>
            </w:r>
            <w:r>
              <w:rPr>
                <w:rFonts w:eastAsia="Calibri" w:cs="Times New Roman"/>
                <w:b w:val="false"/>
                <w:bCs w:val="false"/>
                <w:i w:val="false"/>
                <w:iCs w:val="false"/>
                <w:kern w:val="0"/>
                <w:sz w:val="26"/>
                <w:szCs w:val="26"/>
                <w:lang w:val="ru-RU" w:eastAsia="en-US" w:bidi="ar-SA"/>
              </w:rPr>
              <w:t xml:space="preserve">182070-РЕМПРОД-2026-БурГЭС </w:t>
            </w:r>
            <w:r>
              <w:rPr>
                <w:rFonts w:eastAsia="Calibri" w:cs="Times New Roman"/>
                <w:b w:val="false"/>
                <w:bCs w:val="false"/>
                <w:i w:val="false"/>
                <w:iCs w:val="false"/>
                <w:color w:val="000000"/>
                <w:kern w:val="0"/>
                <w:sz w:val="26"/>
                <w:szCs w:val="26"/>
                <w:lang w:val="ru-RU" w:eastAsia="x-none" w:bidi="ar-SA"/>
              </w:rPr>
              <w:t>«ОКПД2 28.25.11.111 Поставка маслоохладителей подпятника (аварийный запас) для нужд филиала ПАО «РусГидро»-«Бурейская ГЭС»</w:t>
            </w:r>
            <w:r>
              <w:rPr>
                <w:rFonts w:eastAsia="Calibri" w:cs=""/>
                <w:kern w:val="0"/>
                <w:sz w:val="26"/>
                <w:szCs w:val="22"/>
                <w:lang w:val="ru-RU" w:eastAsia="en-US" w:bidi="ar-SA"/>
              </w:rPr>
              <w:t xml:space="preserve"> </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3" w:name="_Ref135729276"/>
            <w:bookmarkStart w:id="14" w:name="_Ref135729276"/>
            <w:bookmarkEnd w:id="1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4"/>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5" w:name="_Ref125367124"/>
            <w:bookmarkStart w:id="16" w:name="_Ref125367124"/>
            <w:bookmarkEnd w:id="1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7" w:name="_Ref125360764"/>
            <w:bookmarkStart w:id="18" w:name="_Ref125360764"/>
            <w:bookmarkEnd w:id="18"/>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Электронная площадка: АО «Российский аукционный дом» </w:t>
            </w:r>
            <w:hyperlink r:id="rId3" w:tgtFrame="_blank">
              <w:r>
                <w:rPr>
                  <w:rStyle w:val="Hyperlink"/>
                  <w:rFonts w:eastAsia="Calibri" w:cs=""/>
                  <w:kern w:val="0"/>
                  <w:sz w:val="26"/>
                  <w:szCs w:val="22"/>
                  <w:lang w:val="ru-RU" w:eastAsia="en-US" w:bidi="ar-SA"/>
                </w:rPr>
                <w:t>https://tender.lot-online.ru</w:t>
              </w:r>
            </w:hyperlink>
            <w:r>
              <w:rPr>
                <w:rFonts w:eastAsia="Calibri" w:cs=""/>
                <w:kern w:val="0"/>
                <w:sz w:val="26"/>
                <w:szCs w:val="22"/>
                <w:lang w:val="ru-RU" w:eastAsia="en-US" w:bidi="ar-SA"/>
              </w:rPr>
              <w:t xml:space="preserve"> .</w:t>
            </w:r>
          </w:p>
          <w:p>
            <w:pPr>
              <w:pStyle w:val="Style30"/>
              <w:widowControl w:val="false"/>
              <w:suppressAutoHyphens w:val="true"/>
              <w:spacing w:before="60" w:after="60"/>
              <w:rPr/>
            </w:pPr>
            <w:r>
              <w:rPr>
                <w:rFonts w:eastAsia="Calibri" w:cs=""/>
                <w:kern w:val="0"/>
                <w:sz w:val="26"/>
                <w:szCs w:val="22"/>
                <w:lang w:val="ru-RU" w:eastAsia="en-US" w:bidi="ar-SA"/>
              </w:rPr>
              <w:t xml:space="preserve">Регламент ЭП, в соответствии с которым проводится закупка, размещен по адресу: </w:t>
            </w:r>
            <w:hyperlink r:id="rId4">
              <w:r>
                <w:rPr>
                  <w:rStyle w:val="Hyperlink"/>
                  <w:rFonts w:eastAsia="Calibri" w:cs=""/>
                  <w:kern w:val="0"/>
                  <w:sz w:val="26"/>
                  <w:szCs w:val="22"/>
                  <w:lang w:val="ru-RU" w:eastAsia="en-US" w:bidi="ar-SA"/>
                </w:rPr>
                <w:t>https://tender.lot-online.ru/app/EtpDocList/page</w:t>
              </w:r>
            </w:hyperlink>
            <w:r>
              <w:rPr>
                <w:rFonts w:eastAsia="Calibri" w:cs=""/>
                <w:color w:val="0000FF"/>
                <w:kern w:val="0"/>
                <w:sz w:val="26"/>
                <w:szCs w:val="22"/>
                <w:lang w:val="ru-RU" w:eastAsia="en-US" w:bidi="ar-SA"/>
              </w:rPr>
              <w:t xml:space="preserve"> </w:t>
            </w:r>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9" w:name="_Ref125360970"/>
            <w:bookmarkStart w:id="20" w:name="_Ref125360970"/>
            <w:bookmarkEnd w:id="2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любые лица, заинтересованные в предмете закупки.</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1" w:name="_Ref125360988"/>
            <w:bookmarkStart w:id="22" w:name="_Ref125360988"/>
            <w:bookmarkEnd w:id="2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676" w:type="dxa"/>
            <w:tcBorders/>
          </w:tcPr>
          <w:p>
            <w:pPr>
              <w:pStyle w:val="Style30"/>
              <w:keepNext w:val="true"/>
              <w:widowControl w:val="false"/>
              <w:suppressAutoHyphens w:val="true"/>
              <w:spacing w:before="60" w:after="60"/>
              <w:rPr/>
            </w:pPr>
            <w:r>
              <w:rPr>
                <w:rFonts w:eastAsia="Calibri" w:cs=""/>
                <w:kern w:val="0"/>
                <w:sz w:val="26"/>
                <w:szCs w:val="22"/>
                <w:lang w:val="ru-RU" w:eastAsia="en-US" w:bidi="ar-SA"/>
              </w:rPr>
              <w:t xml:space="preserve">Наименование (полное): </w:t>
            </w:r>
            <w:r>
              <w:rPr>
                <w:b w:val="false"/>
                <w:szCs w:val="26"/>
              </w:rPr>
              <w:t>Публичное акционерное общество «Федеральная гидрогенерирующая компания – РусГидро»</w:t>
            </w:r>
          </w:p>
          <w:p>
            <w:pPr>
              <w:pStyle w:val="Style30"/>
              <w:keepNext w:val="true"/>
              <w:widowControl w:val="false"/>
              <w:suppressAutoHyphens w:val="true"/>
              <w:spacing w:before="60" w:after="60"/>
              <w:rPr/>
            </w:pPr>
            <w:r>
              <w:rPr>
                <w:rFonts w:eastAsia="Calibri" w:cs=""/>
                <w:kern w:val="0"/>
                <w:sz w:val="26"/>
                <w:szCs w:val="22"/>
                <w:lang w:val="ru-RU" w:eastAsia="en-US" w:bidi="ar-SA"/>
              </w:rPr>
              <w:t xml:space="preserve">Наименование (сокращенное): </w:t>
            </w:r>
            <w:r>
              <w:rPr>
                <w:b w:val="false"/>
                <w:szCs w:val="26"/>
              </w:rPr>
              <w:t>ПАО «РусГидро»</w:t>
            </w:r>
          </w:p>
          <w:p>
            <w:pPr>
              <w:pStyle w:val="Style30"/>
              <w:keepNext w:val="true"/>
              <w:widowControl w:val="false"/>
              <w:suppressAutoHyphens w:val="true"/>
              <w:spacing w:before="60" w:after="60"/>
              <w:rPr/>
            </w:pPr>
            <w:r>
              <w:rPr>
                <w:rFonts w:eastAsia="Calibri" w:cs=""/>
                <w:kern w:val="0"/>
                <w:sz w:val="26"/>
                <w:szCs w:val="22"/>
                <w:lang w:val="ru-RU" w:eastAsia="en-US" w:bidi="ar-SA"/>
              </w:rPr>
              <w:t xml:space="preserve">Место нахождения: </w:t>
            </w:r>
            <w:r>
              <w:rPr>
                <w:b w:val="false"/>
                <w:szCs w:val="26"/>
              </w:rPr>
              <w:t>660017, Россия, Красноярский край,  г. Красноярск, ул. Дубровинского, дом 43, корпус1</w:t>
            </w:r>
          </w:p>
          <w:p>
            <w:pPr>
              <w:pStyle w:val="Style30"/>
              <w:keepNext w:val="true"/>
              <w:widowControl w:val="false"/>
              <w:suppressAutoHyphens w:val="true"/>
              <w:spacing w:before="60" w:after="60"/>
              <w:rPr/>
            </w:pPr>
            <w:r>
              <w:rPr>
                <w:rFonts w:eastAsia="Calibri" w:cs=""/>
                <w:kern w:val="0"/>
                <w:sz w:val="26"/>
                <w:szCs w:val="22"/>
                <w:lang w:val="ru-RU" w:eastAsia="en-US" w:bidi="ar-SA"/>
              </w:rPr>
              <w:t xml:space="preserve">Почтовый адрес: </w:t>
            </w:r>
            <w:r>
              <w:rPr>
                <w:b w:val="false"/>
                <w:szCs w:val="26"/>
              </w:rPr>
              <w:t>127006, г. Москва, ул. Малая Дмитровка, д.7</w:t>
            </w:r>
          </w:p>
          <w:p>
            <w:pPr>
              <w:pStyle w:val="Style30"/>
              <w:keepNext w:val="true"/>
              <w:widowControl w:val="false"/>
              <w:suppressAutoHyphens w:val="true"/>
              <w:spacing w:before="60" w:after="60"/>
              <w:rPr/>
            </w:pPr>
            <w:r>
              <w:rPr>
                <w:rFonts w:eastAsia="Calibri" w:cs=""/>
                <w:kern w:val="0"/>
                <w:sz w:val="26"/>
                <w:szCs w:val="22"/>
                <w:lang w:val="ru-RU" w:eastAsia="en-US" w:bidi="ar-SA"/>
              </w:rPr>
              <w:t>Адрес электронной почты:</w:t>
            </w:r>
          </w:p>
          <w:p>
            <w:pPr>
              <w:pStyle w:val="Style30"/>
              <w:widowControl w:val="false"/>
              <w:suppressAutoHyphens w:val="true"/>
              <w:spacing w:before="60" w:after="60"/>
              <w:rPr/>
            </w:pPr>
            <w:hyperlink r:id="rId5">
              <w:r>
                <w:rPr>
                  <w:rStyle w:val="Hyperlink"/>
                  <w:b w:val="false"/>
                  <w:szCs w:val="26"/>
                </w:rPr>
                <w:t>OFFICE@RUSHYDRO.RU</w:t>
              </w:r>
            </w:hyperlink>
            <w:r>
              <w:rPr>
                <w:b w:val="false"/>
                <w:szCs w:val="26"/>
              </w:rPr>
              <w:t xml:space="preserve"> </w:t>
            </w:r>
          </w:p>
          <w:p>
            <w:pPr>
              <w:pStyle w:val="Style30"/>
              <w:keepNext w:val="true"/>
              <w:widowControl w:val="false"/>
              <w:suppressAutoHyphens w:val="true"/>
              <w:spacing w:before="60" w:after="60"/>
              <w:rPr/>
            </w:pPr>
            <w:r>
              <w:rPr>
                <w:rStyle w:val="Style11"/>
                <w:rFonts w:eastAsia="Calibri" w:cs=""/>
                <w:i w:val="false"/>
                <w:iCs w:val="false"/>
                <w:kern w:val="0"/>
                <w:sz w:val="26"/>
                <w:szCs w:val="22"/>
                <w:shd w:fill="auto" w:val="clear"/>
                <w:lang w:val="ru-RU" w:eastAsia="en-US" w:bidi="ar-SA"/>
              </w:rPr>
              <w:t xml:space="preserve">Контактный телефон: </w:t>
            </w:r>
            <w:r>
              <w:rPr>
                <w:rStyle w:val="Style11"/>
                <w:rFonts w:eastAsia="Calibri" w:cs=""/>
                <w:i w:val="false"/>
                <w:iCs w:val="false"/>
                <w:kern w:val="0"/>
                <w:sz w:val="26"/>
                <w:szCs w:val="26"/>
                <w:shd w:fill="auto" w:val="clear"/>
                <w:lang w:val="ru-RU" w:eastAsia="en-US" w:bidi="ar-SA"/>
              </w:rPr>
              <w:t>8 (495) 225-32-32</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3" w:name="_Ref125360954"/>
            <w:bookmarkStart w:id="24" w:name="_Ref125360954"/>
            <w:bookmarkEnd w:id="2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676" w:type="dxa"/>
            <w:tcBorders/>
          </w:tcPr>
          <w:p>
            <w:pPr>
              <w:pStyle w:val="Style30"/>
              <w:keepNext w:val="true"/>
              <w:widowControl w:val="false"/>
              <w:suppressAutoHyphens w:val="true"/>
              <w:spacing w:before="60" w:after="60"/>
              <w:rPr/>
            </w:pPr>
            <w:r>
              <w:rPr>
                <w:rFonts w:eastAsia="Calibri" w:cs=""/>
                <w:kern w:val="0"/>
                <w:sz w:val="26"/>
                <w:szCs w:val="22"/>
                <w:lang w:val="ru-RU" w:eastAsia="en-US" w:bidi="ar-SA"/>
              </w:rPr>
              <w:t xml:space="preserve">Наименование (полное): </w:t>
            </w:r>
          </w:p>
          <w:p>
            <w:pPr>
              <w:pStyle w:val="Style30"/>
              <w:widowControl w:val="false"/>
              <w:suppressAutoHyphens w:val="true"/>
              <w:spacing w:before="60" w:after="60"/>
              <w:rPr/>
            </w:pPr>
            <w:r>
              <w:rPr>
                <w:rStyle w:val="Style11"/>
                <w:i w:val="false"/>
                <w:iCs w:val="false"/>
                <w:szCs w:val="26"/>
                <w:shd w:fill="auto" w:val="clear"/>
                <w:lang w:val="ru-RU"/>
              </w:rPr>
              <w:t>Филиал Публичного акционерного общества "Федеральная гидрогенерирующая компания - РусГидро" - "Бурейская ГЭС"</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(сокращенное):</w:t>
            </w:r>
          </w:p>
          <w:p>
            <w:pPr>
              <w:pStyle w:val="Style30"/>
              <w:widowControl w:val="false"/>
              <w:suppressAutoHyphens w:val="true"/>
              <w:spacing w:before="60" w:after="60"/>
              <w:rPr/>
            </w:pPr>
            <w:r>
              <w:rPr>
                <w:rStyle w:val="Style11"/>
                <w:i w:val="false"/>
                <w:iCs w:val="false"/>
                <w:szCs w:val="26"/>
                <w:shd w:fill="auto" w:val="clear"/>
                <w:lang w:val="ru-RU"/>
              </w:rPr>
              <w:t>Филиал ПАО "РусГидро" - "Бурейская ГЭС"</w:t>
            </w:r>
          </w:p>
          <w:p>
            <w:pPr>
              <w:pStyle w:val="Style30"/>
              <w:keepNext w:val="true"/>
              <w:widowControl w:val="false"/>
              <w:suppressAutoHyphens w:val="true"/>
              <w:spacing w:before="60" w:after="60"/>
              <w:rPr/>
            </w:pPr>
            <w:r>
              <w:rPr>
                <w:rFonts w:eastAsia="Calibri" w:cs=""/>
                <w:kern w:val="0"/>
                <w:sz w:val="26"/>
                <w:szCs w:val="22"/>
                <w:lang w:val="ru-RU" w:eastAsia="en-US" w:bidi="ar-SA"/>
              </w:rPr>
              <w:t xml:space="preserve">Место нахождения: </w:t>
            </w:r>
            <w:r>
              <w:rPr>
                <w:b w:val="false"/>
                <w:szCs w:val="26"/>
              </w:rPr>
              <w:t>676730, Амурская область, Бурейский район, пос. Талакан</w:t>
            </w:r>
          </w:p>
          <w:p>
            <w:pPr>
              <w:pStyle w:val="Style30"/>
              <w:keepNext w:val="true"/>
              <w:widowControl w:val="false"/>
              <w:suppressAutoHyphens w:val="true"/>
              <w:spacing w:before="60" w:after="60"/>
              <w:rPr/>
            </w:pPr>
            <w:r>
              <w:rPr>
                <w:rFonts w:eastAsia="Calibri" w:cs=""/>
                <w:kern w:val="0"/>
                <w:sz w:val="26"/>
                <w:szCs w:val="22"/>
                <w:lang w:val="ru-RU" w:eastAsia="en-US" w:bidi="ar-SA"/>
              </w:rPr>
              <w:t xml:space="preserve">Почтовый адрес: </w:t>
            </w:r>
            <w:r>
              <w:rPr>
                <w:b w:val="false"/>
                <w:szCs w:val="26"/>
              </w:rPr>
              <w:t>676730, Амурская область, Бурейский район, пос. Талакан</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Адрес электронной почты:</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hyperlink r:id="rId6">
              <w:r>
                <w:rPr>
                  <w:rStyle w:val="Hyperlink"/>
                  <w:rFonts w:eastAsia="Calibri" w:cs=""/>
                  <w:kern w:val="0"/>
                  <w:sz w:val="26"/>
                  <w:szCs w:val="22"/>
                  <w:lang w:val="ru-RU" w:eastAsia="en-US" w:bidi="ar-SA"/>
                </w:rPr>
                <w:t>KukushkinaVB@rushydro.ru</w:t>
              </w:r>
            </w:hyperlink>
            <w:r>
              <w:rPr>
                <w:rFonts w:eastAsia="Calibri" w:cs=""/>
                <w:kern w:val="0"/>
                <w:sz w:val="26"/>
                <w:szCs w:val="22"/>
                <w:lang w:val="ru-RU" w:eastAsia="en-US" w:bidi="ar-SA"/>
              </w:rPr>
              <w:t xml:space="preserve"> </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Style w:val="Style11"/>
                <w:i w:val="false"/>
                <w:iCs w:val="false"/>
                <w:shd w:fill="auto" w:val="clear"/>
                <w:lang w:val="ru-RU"/>
              </w:rPr>
              <w:t xml:space="preserve">Контактный телефон: </w:t>
            </w:r>
            <w:r>
              <w:rPr>
                <w:rStyle w:val="Emphasis"/>
                <w:i w:val="false"/>
                <w:iCs w:val="false"/>
                <w:szCs w:val="26"/>
              </w:rPr>
              <w:t>8(41634)28333,  доп. 23-86</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 w:name="_Ref125361238"/>
            <w:bookmarkStart w:id="26" w:name="_Ref125361238"/>
            <w:bookmarkEnd w:id="2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676" w:type="dxa"/>
            <w:tcBorders/>
          </w:tcPr>
          <w:p>
            <w:pPr>
              <w:pStyle w:val="Style30"/>
              <w:keepNext w:val="true"/>
              <w:widowControl w:val="false"/>
              <w:suppressAutoHyphens w:val="true"/>
              <w:spacing w:before="60" w:after="60"/>
              <w:rPr/>
            </w:pPr>
            <w:r>
              <w:rPr>
                <w:rFonts w:eastAsia="Calibri" w:cs=""/>
                <w:kern w:val="0"/>
                <w:sz w:val="26"/>
                <w:szCs w:val="22"/>
                <w:lang w:val="ru-RU" w:eastAsia="en-US" w:bidi="ar-SA"/>
              </w:rPr>
              <w:t>Контактное лицо (Ф.И.О.):</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Кукушкина Виктория Борисовна</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Адрес электронной почты:</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hyperlink r:id="rId7">
              <w:r>
                <w:rPr>
                  <w:rStyle w:val="Hyperlink"/>
                  <w:rFonts w:eastAsia="Calibri" w:cs=""/>
                  <w:kern w:val="0"/>
                  <w:sz w:val="26"/>
                  <w:szCs w:val="22"/>
                  <w:lang w:val="ru-RU" w:eastAsia="en-US" w:bidi="ar-SA"/>
                </w:rPr>
                <w:t>KukushkinaVB@rushydro.ru</w:t>
              </w:r>
            </w:hyperlink>
            <w:r>
              <w:rPr>
                <w:rFonts w:eastAsia="Calibri" w:cs=""/>
                <w:kern w:val="0"/>
                <w:sz w:val="26"/>
                <w:szCs w:val="22"/>
                <w:lang w:val="ru-RU" w:eastAsia="en-US" w:bidi="ar-SA"/>
              </w:rPr>
              <w:t xml:space="preserve"> </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Style w:val="Style11"/>
                <w:i w:val="false"/>
                <w:iCs w:val="false"/>
                <w:shd w:fill="auto" w:val="clear"/>
                <w:lang w:val="ru-RU"/>
              </w:rPr>
              <w:t xml:space="preserve">Контактный телефон: </w:t>
            </w:r>
            <w:r>
              <w:rPr>
                <w:rStyle w:val="Emphasis"/>
                <w:i w:val="false"/>
                <w:iCs w:val="false"/>
                <w:szCs w:val="26"/>
              </w:rPr>
              <w:t>8(41634)28333,  доп. 23-86</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 w:name="_Ref125362694"/>
            <w:bookmarkStart w:id="28" w:name="_Ref125362694"/>
            <w:bookmarkEnd w:id="28"/>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 w:name="_Ref125360963"/>
            <w:bookmarkStart w:id="30" w:name="_Ref125360963"/>
            <w:bookmarkEnd w:id="3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«10 » августа 2026 г.</w:t>
            </w:r>
          </w:p>
          <w:p>
            <w:pPr>
              <w:pStyle w:val="Style30"/>
              <w:widowControl w:val="false"/>
              <w:suppressAutoHyphens w:val="true"/>
              <w:spacing w:before="60" w:after="60"/>
              <w:rPr>
                <w:rStyle w:val="Style11"/>
              </w:rPr>
            </w:pPr>
            <w:r>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 w:name="_Ref125362837"/>
            <w:bookmarkStart w:id="32" w:name="_Ref125362837"/>
            <w:bookmarkEnd w:id="3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НМЦ составляет 27 236 053,34 руб., без учета НДС.</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0"/>
              <w:widowControl w:val="false"/>
              <w:suppressAutoHyphens w:val="true"/>
              <w:spacing w:before="60" w:after="60"/>
              <w:rPr/>
            </w:pPr>
            <w:r>
              <w:rPr>
                <w:rFonts w:eastAsia="Calibri" w:cs=""/>
                <w:kern w:val="0"/>
                <w:sz w:val="26"/>
                <w:szCs w:val="22"/>
                <w:lang w:val="ru-RU" w:eastAsia="en-US" w:bidi="ar-SA"/>
              </w:rPr>
              <w:t>НМЦ представлена в виде цен на каждую единицу товара, работы, услуги согласно Структуре НМЦ (представлена в форме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превышение которых (по каждой единице товара, работы, услуги) не допускается. При этом максимальным значением цены Договора является сумма в размере:</w:t>
            </w:r>
          </w:p>
          <w:p>
            <w:pPr>
              <w:pStyle w:val="Style30"/>
              <w:widowControl w:val="false"/>
              <w:suppressAutoHyphens w:val="true"/>
              <w:spacing w:before="60" w:after="60"/>
              <w:rPr/>
            </w:pPr>
            <w:r>
              <w:rPr>
                <w:rFonts w:eastAsia="Calibri" w:cs=""/>
                <w:kern w:val="0"/>
                <w:sz w:val="26"/>
                <w:szCs w:val="22"/>
                <w:lang w:val="ru-RU" w:eastAsia="en-US" w:bidi="ar-SA"/>
              </w:rPr>
              <w:t xml:space="preserve"> </w:t>
            </w:r>
            <w:r>
              <w:rPr>
                <w:rFonts w:eastAsia="Calibri" w:cs=""/>
                <w:kern w:val="0"/>
                <w:sz w:val="26"/>
                <w:szCs w:val="22"/>
                <w:lang w:val="ru-RU" w:eastAsia="en-US" w:bidi="ar-SA"/>
              </w:rPr>
              <w:t>27 236 053,34 руб., без учета НДС.</w:t>
            </w:r>
          </w:p>
          <w:p>
            <w:pPr>
              <w:pStyle w:val="Style30"/>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4"/>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 w:name="_Ref125363076"/>
            <w:bookmarkStart w:id="34" w:name="_Ref125363076"/>
            <w:bookmarkEnd w:id="3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Требуется.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Размер обеспечения заявок: 521 881 (пятьсот двадцать одна тысяча восемьсот восемьдесят один) рубль 72 копейки, НДС не облагается.</w:t>
            </w:r>
          </w:p>
          <w:p>
            <w:pPr>
              <w:pStyle w:val="Style30"/>
              <w:widowControl w:val="false"/>
              <w:suppressAutoHyphens w:val="true"/>
              <w:spacing w:before="60" w:after="60"/>
              <w:rPr>
                <w:rStyle w:val="Style11"/>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Допустимые формы обеспечения заявок:</w:t>
            </w:r>
          </w:p>
          <w:p>
            <w:pPr>
              <w:pStyle w:val="Style30"/>
              <w:widowControl w:val="false"/>
              <w:numPr>
                <w:ilvl w:val="0"/>
                <w:numId w:val="2"/>
              </w:numPr>
              <w:suppressAutoHyphens w:val="true"/>
              <w:spacing w:before="120" w:after="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внесение денежных средств на индивидуальные счет, открытый Участнику Оператором ЭП в соответствии с Регламентом ЭП; с целью своевременного получения Организатором требуемого обеспечения, 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numPr>
                <w:ilvl w:val="0"/>
                <w:numId w:val="2"/>
              </w:numPr>
              <w:suppressAutoHyphens w:val="true"/>
              <w:spacing w:before="120" w:after="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банковской гарантии (в том числе электронной банковской гарантии, выданной посредством функционала ЭП), составленной с учетом требований подраздела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suppressAutoHyphens w:val="true"/>
              <w:spacing w:before="60" w:after="60"/>
              <w:rPr>
                <w:rStyle w:val="Style11"/>
                <w:i w:val="false"/>
                <w:i w:val="false"/>
                <w:iCs w:val="false"/>
                <w:shd w:fill="auto" w:val="clear"/>
              </w:rPr>
            </w:pPr>
            <w:r>
              <w:rPr>
                <w:rStyle w:val="Style11"/>
                <w:rFonts w:eastAsia="Calibri" w:cs=""/>
                <w:i w:val="false"/>
                <w:iCs w:val="false"/>
                <w:kern w:val="0"/>
                <w:sz w:val="26"/>
                <w:szCs w:val="22"/>
                <w:shd w:fill="auto" w:val="clear"/>
                <w:lang w:val="ru-RU" w:eastAsia="en-US" w:bidi="ar-SA"/>
              </w:rPr>
              <w:t>Выбор формы (способа) обеспечения заявки из числа указанных осуществляется Участником самостоятельно.</w:t>
            </w:r>
          </w:p>
          <w:p>
            <w:pPr>
              <w:pStyle w:val="Style30"/>
              <w:widowControl w:val="false"/>
              <w:suppressAutoHyphens w:val="true"/>
              <w:spacing w:before="60" w:after="60"/>
              <w:rPr>
                <w:rStyle w:val="Style11"/>
              </w:rPr>
            </w:pPr>
            <w:r>
              <w:rPr>
                <w:rStyle w:val="Style11"/>
                <w:rFonts w:eastAsia="Calibri" w:cs=""/>
                <w:i w:val="false"/>
                <w:iCs w:val="false"/>
                <w:kern w:val="0"/>
                <w:sz w:val="26"/>
                <w:szCs w:val="22"/>
                <w:shd w:fill="auto" w:val="clear"/>
                <w:lang w:val="ru-RU" w:eastAsia="en-US" w:bidi="ar-SA"/>
              </w:rPr>
              <w:t>Банковские реквизиты Заказчика (для перечисления Банком-гарантом суммы обеспечения заявок в случае нарушения Участником своих обязательств, связанных с участием в закупке):</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0"/>
              <w:widowControl w:val="false"/>
              <w:suppressAutoHyphens w:val="true"/>
              <w:spacing w:before="60" w:after="60"/>
              <w:rPr/>
            </w:pPr>
            <w:r>
              <w:rPr>
                <w:rFonts w:eastAsia="Calibri" w:cs=""/>
                <w:kern w:val="0"/>
                <w:sz w:val="26"/>
                <w:szCs w:val="22"/>
                <w:lang w:val="ru-RU" w:eastAsia="en-US" w:bidi="ar-SA"/>
              </w:rPr>
              <w:t>Наименование получателя:</w:t>
            </w:r>
          </w:p>
          <w:p>
            <w:pPr>
              <w:pStyle w:val="Normal"/>
              <w:widowControl w:val="false"/>
              <w:suppressAutoHyphens w:val="true"/>
              <w:spacing w:before="0" w:after="0"/>
              <w:ind w:right="-108" w:hanging="0"/>
              <w:contextualSpacing/>
              <w:rPr>
                <w:sz w:val="26"/>
                <w:szCs w:val="26"/>
              </w:rPr>
            </w:pPr>
            <w:r>
              <w:rPr>
                <w:sz w:val="26"/>
                <w:szCs w:val="26"/>
              </w:rPr>
              <w:t>Филиал ПАО «РусГидро» - «Бурейская ГЭС»</w:t>
            </w:r>
          </w:p>
          <w:p>
            <w:pPr>
              <w:pStyle w:val="Style30"/>
              <w:keepNext w:val="true"/>
              <w:widowControl w:val="false"/>
              <w:suppressAutoHyphens w:val="true"/>
              <w:spacing w:before="60" w:after="60"/>
              <w:rPr/>
            </w:pPr>
            <w:r>
              <w:rPr>
                <w:rFonts w:eastAsia="Calibri" w:cs=""/>
                <w:kern w:val="0"/>
                <w:sz w:val="26"/>
                <w:szCs w:val="22"/>
                <w:lang w:val="ru-RU" w:eastAsia="en-US" w:bidi="ar-SA"/>
              </w:rPr>
              <w:t xml:space="preserve">ИНН: </w:t>
            </w:r>
            <w:r>
              <w:rPr>
                <w:sz w:val="26"/>
                <w:szCs w:val="26"/>
              </w:rPr>
              <w:t>2460066195</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КПП: </w:t>
            </w:r>
            <w:r>
              <w:rPr>
                <w:rFonts w:eastAsia="Calibri" w:cs=""/>
                <w:kern w:val="0"/>
                <w:sz w:val="26"/>
                <w:szCs w:val="26"/>
                <w:lang w:val="ru-RU" w:eastAsia="en-US" w:bidi="ar-SA"/>
              </w:rPr>
              <w:t>281302001</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р/с: </w:t>
            </w:r>
            <w:r>
              <w:rPr>
                <w:rFonts w:eastAsia="Calibri" w:cs=""/>
                <w:kern w:val="0"/>
                <w:sz w:val="26"/>
                <w:szCs w:val="26"/>
                <w:lang w:val="ru-RU" w:eastAsia="en-US" w:bidi="ar-SA"/>
              </w:rPr>
              <w:t>40702810709020001302</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 Банке: </w:t>
            </w:r>
            <w:r>
              <w:rPr>
                <w:rFonts w:eastAsia="Calibri" w:cs=""/>
                <w:kern w:val="0"/>
                <w:sz w:val="26"/>
                <w:szCs w:val="26"/>
                <w:lang w:val="ru-RU" w:eastAsia="en-US" w:bidi="ar-SA"/>
              </w:rPr>
              <w:t>Филиал ПАО ВТБ в г. Хабаровске</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к/с: </w:t>
            </w:r>
            <w:r>
              <w:rPr>
                <w:rFonts w:eastAsia="Calibri" w:cs=""/>
                <w:kern w:val="0"/>
                <w:sz w:val="26"/>
                <w:szCs w:val="26"/>
                <w:lang w:val="ru-RU" w:eastAsia="en-US" w:bidi="ar-SA"/>
              </w:rPr>
              <w:t>30101810400000000727</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БИК: </w:t>
            </w:r>
            <w:r>
              <w:rPr>
                <w:rFonts w:eastAsia="Calibri" w:cs=""/>
                <w:kern w:val="0"/>
                <w:sz w:val="26"/>
                <w:szCs w:val="26"/>
                <w:lang w:val="ru-RU" w:eastAsia="en-US" w:bidi="ar-SA"/>
              </w:rPr>
              <w:t>040813727</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 w:name="_Ref125362995"/>
            <w:bookmarkStart w:id="36" w:name="_Ref125362995"/>
            <w:bookmarkEnd w:id="3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ограничения закупки иностранной продукции (или ее части).</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0"/>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7" w:name="_Ref125533737"/>
            <w:bookmarkStart w:id="38" w:name="_Ref125533737"/>
            <w:bookmarkEnd w:id="38"/>
          </w:p>
        </w:tc>
        <w:tc>
          <w:tcPr>
            <w:tcW w:w="3234"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 w:name="_Ref125475086"/>
            <w:bookmarkStart w:id="40" w:name="_Ref125475086"/>
            <w:bookmarkEnd w:id="4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 w:name="_Ref125360779"/>
            <w:bookmarkStart w:id="42" w:name="_Ref125360779"/>
            <w:bookmarkEnd w:id="4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«10» августа 2026 г.</w:t>
            </w:r>
          </w:p>
          <w:p>
            <w:pPr>
              <w:pStyle w:val="Style30"/>
              <w:widowControl w:val="false"/>
              <w:suppressAutoHyphens w:val="true"/>
              <w:spacing w:before="60" w:after="60"/>
              <w:rPr>
                <w:rStyle w:val="Style11"/>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подачи заявок:</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«24» августа 2026 г. в 08ч. 00 мин. (по московскому времени).</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«24» августа 2026 г. в 08ч. 00 мин. (по московскому времени).</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3" w:name="_Ref125476197"/>
            <w:bookmarkStart w:id="44" w:name="_Ref125476197"/>
            <w:bookmarkEnd w:id="4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5" w:name="_Ref125362733"/>
            <w:bookmarkStart w:id="46" w:name="_Ref125362733"/>
            <w:bookmarkEnd w:id="4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«04» сентября 2026 г.</w:t>
            </w:r>
          </w:p>
          <w:p>
            <w:pPr>
              <w:pStyle w:val="Style30"/>
              <w:widowControl w:val="false"/>
              <w:suppressAutoHyphens w:val="true"/>
              <w:spacing w:before="60" w:after="60"/>
              <w:rPr>
                <w:rStyle w:val="Style11"/>
              </w:rPr>
            </w:pPr>
            <w:r>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7" w:name="_Ref125362757"/>
            <w:bookmarkStart w:id="48" w:name="_Ref125362757"/>
            <w:bookmarkEnd w:id="48"/>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«04» сентября 2026 г.</w:t>
            </w:r>
          </w:p>
          <w:p>
            <w:pPr>
              <w:pStyle w:val="Style30"/>
              <w:widowControl w:val="false"/>
              <w:suppressAutoHyphens w:val="true"/>
              <w:spacing w:before="60" w:after="60"/>
              <w:rPr>
                <w:rStyle w:val="Style11"/>
              </w:rPr>
            </w:pPr>
            <w:r>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9" w:name="_Ref125361769"/>
            <w:bookmarkStart w:id="50" w:name="_Ref125361769"/>
            <w:bookmarkEnd w:id="5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1" w:name="_Ref125366606"/>
            <w:bookmarkStart w:id="52" w:name="_Ref125366606"/>
            <w:bookmarkEnd w:id="5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3" w:name="_Ref125533374"/>
            <w:bookmarkStart w:id="54" w:name="_Ref125533374"/>
            <w:bookmarkEnd w:id="5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suppressAutoHyphens w:val="true"/>
              <w:spacing w:before="60" w:after="60"/>
              <w:rPr/>
            </w:pPr>
            <w:r>
              <w:rPr>
                <w:rFonts w:eastAsia="Calibri" w:cs=""/>
                <w:kern w:val="0"/>
                <w:sz w:val="26"/>
                <w:szCs w:val="22"/>
                <w:lang w:val="ru-RU" w:eastAsia="en-US" w:bidi="ar-SA"/>
              </w:rPr>
              <w:t xml:space="preserve">Если договор будет заключаться в электронной форме посредством информационной системы электронного документооборота </w:t>
            </w:r>
            <w:r>
              <w:rPr>
                <w:rStyle w:val="Style11"/>
                <w:rFonts w:eastAsia="Calibri" w:cs=""/>
                <w:i w:val="false"/>
                <w:iCs w:val="false"/>
                <w:kern w:val="0"/>
                <w:sz w:val="26"/>
                <w:szCs w:val="22"/>
                <w:shd w:fill="auto" w:val="clear"/>
                <w:lang w:val="ru-RU" w:eastAsia="en-US" w:bidi="ar-SA"/>
              </w:rPr>
              <w:t>Системой ЭДО ПАО «РусГидро» является «Диадок»</w:t>
            </w:r>
            <w:r>
              <w:rPr>
                <w:rFonts w:eastAsia="Calibri" w:cs=""/>
                <w:kern w:val="0"/>
                <w:sz w:val="26"/>
                <w:szCs w:val="22"/>
                <w:lang w:val="ru-RU" w:eastAsia="en-US" w:bidi="ar-SA"/>
              </w:rP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5" w:name="_Ref125366813"/>
            <w:bookmarkStart w:id="56" w:name="_Ref125366813"/>
            <w:bookmarkEnd w:id="5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30"/>
              <w:keepNext w:val="true"/>
              <w:widowControl w:val="false"/>
              <w:suppressAutoHyphens w:val="true"/>
              <w:spacing w:before="60" w:after="60"/>
              <w:rPr/>
            </w:pPr>
            <w:r>
              <w:rPr>
                <w:rFonts w:eastAsia="Calibri" w:cs=""/>
                <w:kern w:val="0"/>
                <w:sz w:val="26"/>
                <w:szCs w:val="22"/>
                <w:lang w:val="ru-RU" w:eastAsia="en-US" w:bidi="ar-SA"/>
              </w:rPr>
              <w:t>Для подачи документов в бумажной форме:</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Контактное лицо (Ф.И.О.):</w:t>
            </w:r>
          </w:p>
          <w:p>
            <w:pPr>
              <w:pStyle w:val="Normal"/>
              <w:widowControl w:val="false"/>
              <w:suppressAutoHyphens w:val="true"/>
              <w:spacing w:lineRule="auto" w:line="240" w:before="60" w:after="60"/>
              <w:ind w:right="-108" w:hanging="0"/>
              <w:jc w:val="left"/>
              <w:rPr>
                <w:i w:val="false"/>
                <w:i w:val="false"/>
                <w:iCs w:val="false"/>
                <w:sz w:val="26"/>
                <w:szCs w:val="26"/>
              </w:rPr>
            </w:pPr>
            <w:r>
              <w:rPr>
                <w:i w:val="false"/>
                <w:iCs w:val="false"/>
                <w:szCs w:val="26"/>
              </w:rPr>
              <w:t>Кравченко Татьяна Николаевна</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Tableheader"/>
              <w:widowControl w:val="false"/>
              <w:suppressAutoHyphens w:val="true"/>
              <w:spacing w:before="120" w:after="120"/>
              <w:jc w:val="left"/>
              <w:rPr>
                <w:sz w:val="26"/>
                <w:szCs w:val="26"/>
              </w:rPr>
            </w:pPr>
            <w:r>
              <w:rPr>
                <w:b w:val="false"/>
                <w:i w:val="false"/>
                <w:iCs w:val="false"/>
                <w:sz w:val="26"/>
                <w:szCs w:val="26"/>
              </w:rPr>
              <w:t>676730, Российская Федерация, Амурская область, Бурейский округ, пгт. Талакан</w:t>
            </w:r>
          </w:p>
          <w:p>
            <w:pPr>
              <w:pStyle w:val="Style30"/>
              <w:widowControl w:val="false"/>
              <w:suppressAutoHyphens w:val="true"/>
              <w:spacing w:before="12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bookmarkStart w:id="57" w:name="_Hlk193278855"/>
            <w:r>
              <w:rPr>
                <w:rFonts w:eastAsia="Calibri" w:cs=""/>
                <w:kern w:val="0"/>
                <w:sz w:val="26"/>
                <w:szCs w:val="22"/>
                <w:lang w:val="ru-RU" w:eastAsia="en-US" w:bidi="ar-SA"/>
              </w:rPr>
              <w:t>Корпоративный сайт ПАО «РусГидро»</w:t>
            </w:r>
            <w:bookmarkEnd w:id="57"/>
            <w:r>
              <w:rPr>
                <w:rFonts w:eastAsia="Calibri" w:cs=""/>
                <w:kern w:val="0"/>
                <w:sz w:val="26"/>
                <w:szCs w:val="22"/>
                <w:lang w:val="ru-RU" w:eastAsia="en-US" w:bidi="ar-SA"/>
              </w:rPr>
              <w:t>, через специально созданную учетную запись (подробный порядок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368490"/>
            <w:bookmarkStart w:id="59" w:name="_Ref125368490"/>
            <w:bookmarkEnd w:id="59"/>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Требуется.</w:t>
            </w:r>
          </w:p>
          <w:p>
            <w:pPr>
              <w:pStyle w:val="Style30"/>
              <w:widowControl w:val="false"/>
              <w:suppressAutoHyphens w:val="true"/>
              <w:spacing w:before="60" w:after="60"/>
              <w:rPr>
                <w:szCs w:val="26"/>
              </w:rPr>
            </w:pPr>
            <w:r>
              <w:rPr>
                <w:rFonts w:eastAsia="Calibri" w:cs=""/>
                <w:kern w:val="0"/>
                <w:sz w:val="26"/>
                <w:szCs w:val="22"/>
                <w:lang w:val="ru-RU" w:eastAsia="en-US" w:bidi="ar-SA"/>
              </w:rPr>
              <w:t xml:space="preserve">Обязательства по договору, которые должны быть </w:t>
            </w:r>
            <w:r>
              <w:rPr>
                <w:rFonts w:eastAsia="Calibri" w:cs=""/>
                <w:kern w:val="0"/>
                <w:sz w:val="26"/>
                <w:szCs w:val="26"/>
                <w:lang w:val="ru-RU" w:eastAsia="en-US" w:bidi="ar-SA"/>
              </w:rPr>
              <w:t>обеспечены:</w:t>
            </w:r>
          </w:p>
          <w:p>
            <w:pPr>
              <w:pStyle w:val="Style30"/>
              <w:keepNext w:val="true"/>
              <w:widowControl w:val="false"/>
              <w:numPr>
                <w:ilvl w:val="0"/>
                <w:numId w:val="13"/>
              </w:numPr>
              <w:suppressAutoHyphens w:val="true"/>
              <w:spacing w:before="60" w:after="60"/>
              <w:ind w:left="284" w:hanging="284"/>
              <w:rPr>
                <w:szCs w:val="26"/>
              </w:rPr>
            </w:pPr>
            <w:r>
              <w:rPr>
                <w:rFonts w:eastAsia="Calibri" w:cs=""/>
                <w:kern w:val="0"/>
                <w:sz w:val="26"/>
                <w:szCs w:val="26"/>
                <w:lang w:val="ru-RU" w:eastAsia="en-US" w:bidi="ar-SA"/>
              </w:rPr>
              <w:t>возврат предварительной оплаты (аванса):</w:t>
            </w:r>
          </w:p>
          <w:p>
            <w:pPr>
              <w:pStyle w:val="Style30"/>
              <w:widowControl w:val="false"/>
              <w:numPr>
                <w:ilvl w:val="0"/>
                <w:numId w:val="2"/>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размер обеспечения: 30%;</w:t>
            </w:r>
          </w:p>
          <w:p>
            <w:pPr>
              <w:pStyle w:val="Style30"/>
              <w:widowControl w:val="false"/>
              <w:numPr>
                <w:ilvl w:val="0"/>
                <w:numId w:val="2"/>
              </w:numPr>
              <w:suppressAutoHyphens w:val="true"/>
              <w:spacing w:before="60" w:after="60"/>
              <w:ind w:left="568" w:hanging="284"/>
              <w:rPr/>
            </w:pPr>
            <w:r>
              <w:rPr>
                <w:rFonts w:eastAsia="Calibri" w:cs=""/>
                <w:kern w:val="0"/>
                <w:sz w:val="26"/>
                <w:szCs w:val="22"/>
                <w:lang w:val="ru-RU" w:eastAsia="en-US" w:bidi="ar-SA"/>
              </w:rPr>
              <w:t>валюта обеспечения: руб.;</w:t>
            </w:r>
          </w:p>
          <w:p>
            <w:pPr>
              <w:pStyle w:val="Style30"/>
              <w:widowControl w:val="false"/>
              <w:suppressAutoHyphens w:val="true"/>
              <w:spacing w:before="60" w:after="60"/>
              <w:rPr/>
            </w:pPr>
            <w:r>
              <w:rPr>
                <w:rFonts w:eastAsia="Calibri" w:cs=""/>
                <w:kern w:val="0"/>
                <w:sz w:val="26"/>
                <w:szCs w:val="22"/>
                <w:lang w:val="ru-RU" w:eastAsia="en-US" w:bidi="ar-SA"/>
              </w:rPr>
              <w:t xml:space="preserve">Иные требования к обеспечению исполнения Договора приведены в </w:t>
            </w:r>
            <w:hyperlink w:anchor="Прил02_ПроектДоговора">
              <w:r>
                <w:rPr>
                  <w:rStyle w:val="Style14"/>
                  <w:rFonts w:eastAsia="Calibri" w:cs=""/>
                  <w:kern w:val="0"/>
                  <w:sz w:val="26"/>
                  <w:szCs w:val="22"/>
                  <w:lang w:val="ru-RU" w:eastAsia="en-US" w:bidi="ar-SA"/>
                </w:rPr>
                <w:t>Приложении № 2</w:t>
              </w:r>
            </w:hyperlink>
            <w:r>
              <w:rPr>
                <w:rFonts w:eastAsia="Calibri" w:cs=""/>
                <w:kern w:val="0"/>
                <w:sz w:val="26"/>
                <w:szCs w:val="22"/>
                <w:lang w:val="ru-RU" w:eastAsia="en-US" w:bidi="ar-SA"/>
              </w:rPr>
              <w:t>.</w:t>
            </w:r>
          </w:p>
        </w:tc>
      </w:tr>
      <w:tr>
        <w:trPr/>
        <w:tc>
          <w:tcPr>
            <w:tcW w:w="9754" w:type="dxa"/>
            <w:gridSpan w:val="3"/>
            <w:tcBorders>
              <w:top w:val="nil"/>
            </w:tcBorders>
          </w:tcPr>
          <w:p>
            <w:pPr>
              <w:pStyle w:val="Normal"/>
              <w:widowControl w:val="false"/>
              <w:suppressAutoHyphens w:val="true"/>
              <w:spacing w:before="120" w:after="120"/>
              <w:jc w:val="center"/>
              <w:rPr>
                <w:sz w:val="24"/>
                <w:szCs w:val="24"/>
              </w:rPr>
            </w:pPr>
            <w:r>
              <w:rPr>
                <w:b/>
                <w:sz w:val="24"/>
                <w:szCs w:val="24"/>
              </w:rPr>
              <w:t>Внимание! Для данной закупочной процедуры переторжка не предусмотрена!</w:t>
            </w:r>
          </w:p>
        </w:tc>
      </w:tr>
    </w:tbl>
    <w:p>
      <w:pPr>
        <w:pStyle w:val="Style24"/>
        <w:rPr/>
      </w:pPr>
      <w:bookmarkStart w:id="60" w:name="_Ref125360073"/>
      <w:bookmarkStart w:id="61" w:name="_Ref125360337"/>
      <w:bookmarkStart w:id="62" w:name="_Toc228976328"/>
      <w:r>
        <w:rPr/>
        <w:t>Общие положения</w:t>
      </w:r>
      <w:bookmarkEnd w:id="60"/>
      <w:bookmarkEnd w:id="61"/>
      <w:bookmarkEnd w:id="62"/>
    </w:p>
    <w:p>
      <w:pPr>
        <w:pStyle w:val="Style25"/>
        <w:rPr/>
      </w:pPr>
      <w:bookmarkStart w:id="63" w:name="_Toc228976329"/>
      <w:r>
        <w:rPr/>
        <w:t>Общие сведения о закупке</w:t>
      </w:r>
      <w:bookmarkEnd w:id="63"/>
    </w:p>
    <w:p>
      <w:pPr>
        <w:pStyle w:val="Style26"/>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6"/>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6"/>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4"/>
          </w:rPr>
          <w:t>Технических требованиях (Приложение № 1)</w:t>
        </w:r>
      </w:hyperlink>
      <w:r>
        <w:rPr/>
        <w:t xml:space="preserve">. </w:t>
      </w:r>
      <w:hyperlink w:anchor="Прил02_ПроектДоговора">
        <w:r>
          <w:rPr>
            <w:rStyle w:val="Style14"/>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4"/>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6"/>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4"/>
          </w:rPr>
          <w:t>№ 4</w:t>
        </w:r>
      </w:hyperlink>
      <w:r>
        <w:rPr/>
        <w:t xml:space="preserve">, </w:t>
      </w:r>
      <w:hyperlink w:anchor="Прил05_ФормыПобедителя">
        <w:r>
          <w:rPr>
            <w:rStyle w:val="Style14"/>
          </w:rPr>
          <w:t>№ 5</w:t>
        </w:r>
      </w:hyperlink>
      <w:r>
        <w:rPr/>
        <w:t>.</w:t>
      </w:r>
    </w:p>
    <w:p>
      <w:pPr>
        <w:pStyle w:val="Style25"/>
        <w:rPr/>
      </w:pPr>
      <w:bookmarkStart w:id="64" w:name="_Toc228976330"/>
      <w:r>
        <w:rPr/>
        <w:t>Правовой статус документов</w:t>
      </w:r>
      <w:bookmarkEnd w:id="64"/>
    </w:p>
    <w:p>
      <w:pPr>
        <w:pStyle w:val="Style26"/>
        <w:rPr/>
      </w:pPr>
      <w:r>
        <w:rPr/>
        <w:t>Состязательный отбор не является конкурентной процедурой в соответствии с действующим законодательством.</w:t>
      </w:r>
    </w:p>
    <w:p>
      <w:pPr>
        <w:pStyle w:val="Style26"/>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6"/>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6"/>
        <w:keepNext w:val="true"/>
        <w:rPr/>
      </w:pPr>
      <w:bookmarkStart w:id="65"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5"/>
      <w:r>
        <w:rPr/>
        <w:t>.</w:t>
      </w:r>
    </w:p>
    <w:p>
      <w:pPr>
        <w:pStyle w:val="Style26"/>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6"/>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6"/>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6"/>
        <w:rPr/>
      </w:pPr>
      <w:r>
        <w:rPr/>
        <w:t>Иные документы Организатора и Участников не определяют права и обязанности сторон в связи с данной закупкой.</w:t>
      </w:r>
    </w:p>
    <w:p>
      <w:pPr>
        <w:pStyle w:val="Style26"/>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5"/>
        <w:rPr/>
      </w:pPr>
      <w:bookmarkStart w:id="66" w:name="_Ref125363536"/>
      <w:bookmarkStart w:id="67" w:name="_Toc228976331"/>
      <w:r>
        <w:rPr/>
        <w:t>Обжалование</w:t>
      </w:r>
      <w:bookmarkEnd w:id="66"/>
      <w:bookmarkEnd w:id="67"/>
    </w:p>
    <w:p>
      <w:pPr>
        <w:pStyle w:val="Style26"/>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6"/>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6"/>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7"/>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7"/>
        <w:rPr/>
      </w:pPr>
      <w:r>
        <w:rPr/>
        <w:t>признать заявление Участника необоснованным.</w:t>
      </w:r>
    </w:p>
    <w:p>
      <w:pPr>
        <w:pStyle w:val="Style26"/>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6"/>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7"/>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7"/>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68" w:name="_Hlk219296876"/>
      <w:r>
        <w:rPr/>
        <w:t>Красноярского края</w:t>
      </w:r>
      <w:bookmarkEnd w:id="68"/>
      <w:r>
        <w:rPr/>
        <w:t>.</w:t>
      </w:r>
    </w:p>
    <w:p>
      <w:pPr>
        <w:pStyle w:val="Style30"/>
        <w:ind w:left="1134" w:hanging="0"/>
        <w:rPr/>
      </w:pPr>
      <w:r>
        <w:rPr/>
        <w:t>Закупочная комиссия определяется в соответствии с Положением о закупке.</w:t>
      </w:r>
    </w:p>
    <w:p>
      <w:pPr>
        <w:pStyle w:val="Style25"/>
        <w:rPr/>
      </w:pPr>
      <w:bookmarkStart w:id="69" w:name="_Toc228976332"/>
      <w:bookmarkStart w:id="70" w:name="_Ref125472658"/>
      <w:r>
        <w:rPr/>
        <w:t>Особые положения при проведении закупки с использованием ЭП</w:t>
      </w:r>
      <w:bookmarkEnd w:id="69"/>
      <w:bookmarkEnd w:id="70"/>
    </w:p>
    <w:p>
      <w:pPr>
        <w:pStyle w:val="Style26"/>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6"/>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6"/>
        <w:rPr/>
      </w:pPr>
      <w:bookmarkStart w:id="71"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71"/>
    </w:p>
    <w:p>
      <w:pPr>
        <w:pStyle w:val="Style26"/>
        <w:rPr/>
      </w:pPr>
      <w:bookmarkStart w:id="72"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72"/>
    </w:p>
    <w:p>
      <w:pPr>
        <w:pStyle w:val="Style25"/>
        <w:rPr/>
      </w:pPr>
      <w:bookmarkStart w:id="73" w:name="_Toc228976333"/>
      <w:r>
        <w:rPr/>
        <w:t>Прочие положения</w:t>
      </w:r>
      <w:bookmarkEnd w:id="73"/>
    </w:p>
    <w:p>
      <w:pPr>
        <w:pStyle w:val="Style26"/>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6"/>
        <w:rPr/>
      </w:pPr>
      <w:bookmarkStart w:id="74"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74"/>
    </w:p>
    <w:p>
      <w:pPr>
        <w:pStyle w:val="Style26"/>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4"/>
        <w:rPr/>
      </w:pPr>
      <w:bookmarkStart w:id="75" w:name="_Ref125361210"/>
      <w:bookmarkStart w:id="76" w:name="_Toc228976334"/>
      <w:r>
        <w:rPr/>
        <w:t>Требования к Участникам</w:t>
      </w:r>
      <w:bookmarkEnd w:id="75"/>
      <w:bookmarkEnd w:id="76"/>
    </w:p>
    <w:p>
      <w:pPr>
        <w:pStyle w:val="Style25"/>
        <w:rPr/>
      </w:pPr>
      <w:bookmarkStart w:id="77" w:name="_Ref127524530"/>
      <w:bookmarkStart w:id="78" w:name="_Toc228976335"/>
      <w:r>
        <w:rPr/>
        <w:t>Общие требования к Участникам</w:t>
      </w:r>
      <w:bookmarkEnd w:id="77"/>
      <w:bookmarkEnd w:id="78"/>
    </w:p>
    <w:p>
      <w:pPr>
        <w:pStyle w:val="Style26"/>
        <w:rPr/>
      </w:pPr>
      <w:bookmarkStart w:id="79"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79"/>
    </w:p>
    <w:p>
      <w:pPr>
        <w:pStyle w:val="Style26"/>
        <w:rPr/>
      </w:pPr>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26"/>
        <w:rPr/>
      </w:pPr>
      <w:r>
        <w:rPr/>
        <w:t xml:space="preserve">Требования к Участникам установлены с учетом предмета договора, </w:t>
      </w:r>
      <w:hyperlink w:anchor="Прил01_ТехТребования">
        <w:r>
          <w:rPr>
            <w:rStyle w:val="Style14"/>
          </w:rPr>
          <w:t>Технических требований (Приложение № 1)</w:t>
        </w:r>
      </w:hyperlink>
      <w:r>
        <w:rPr/>
        <w:t xml:space="preserve"> и </w:t>
      </w:r>
      <w:hyperlink w:anchor="Прил02_ПроектДоговора">
        <w:r>
          <w:rPr>
            <w:rStyle w:val="Style14"/>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6"/>
        <w:keepNext w:val="true"/>
        <w:rPr/>
      </w:pPr>
      <w:r>
        <w:rPr/>
        <w:t>Установлены следующие требования к Участникам, которые приведены в </w:t>
      </w:r>
      <w:hyperlink w:anchor="Прил03_ТребованияУчастникам">
        <w:r>
          <w:rPr>
            <w:rStyle w:val="Style14"/>
          </w:rPr>
          <w:t>Приложении № 3</w:t>
        </w:r>
      </w:hyperlink>
      <w:r>
        <w:rPr/>
        <w:t>:</w:t>
      </w:r>
    </w:p>
    <w:p>
      <w:pPr>
        <w:pStyle w:val="Style27"/>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 должны им соответствовать;</w:t>
      </w:r>
    </w:p>
    <w:p>
      <w:pPr>
        <w:pStyle w:val="Style27"/>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7"/>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6"/>
        <w:keepNext w:val="true"/>
        <w:rPr/>
      </w:pPr>
      <w:r>
        <w:rPr/>
        <w:t>В рамках требований к Участникам могут быть установлены дополнительные требования:</w:t>
      </w:r>
    </w:p>
    <w:p>
      <w:pPr>
        <w:pStyle w:val="Style27"/>
        <w:rPr/>
      </w:pPr>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27"/>
        <w:rPr/>
      </w:pPr>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26"/>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4"/>
          </w:rPr>
          <w:t>Требованиях к Участникам (Приложение № 3)</w:t>
        </w:r>
      </w:hyperlink>
      <w:r>
        <w:rPr/>
        <w:t>, если иное не установлено в Документации о закупке.</w:t>
      </w:r>
    </w:p>
    <w:p>
      <w:pPr>
        <w:pStyle w:val="Style25"/>
        <w:rPr/>
      </w:pPr>
      <w:bookmarkStart w:id="80" w:name="_Ref130308062"/>
      <w:bookmarkStart w:id="81" w:name="_Ref125361976"/>
      <w:bookmarkStart w:id="82" w:name="_Ref125361969"/>
      <w:bookmarkStart w:id="83" w:name="_Toc228976336"/>
      <w:bookmarkStart w:id="84" w:name="_Ref130308203"/>
      <w:bookmarkStart w:id="85" w:name="_Ref130308111"/>
      <w:bookmarkStart w:id="86" w:name="_Ref130305355"/>
      <w:bookmarkStart w:id="87" w:name="_Ref130308255"/>
      <w:r>
        <w:rPr/>
        <w:t>Коллективные участники</w:t>
      </w:r>
      <w:bookmarkEnd w:id="80"/>
      <w:bookmarkEnd w:id="81"/>
      <w:bookmarkEnd w:id="82"/>
      <w:bookmarkEnd w:id="83"/>
      <w:bookmarkEnd w:id="84"/>
      <w:bookmarkEnd w:id="85"/>
      <w:bookmarkEnd w:id="86"/>
      <w:bookmarkEnd w:id="87"/>
    </w:p>
    <w:p>
      <w:pPr>
        <w:pStyle w:val="Style26"/>
        <w:rPr/>
      </w:pPr>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26"/>
        <w:rPr/>
      </w:pPr>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6"/>
        <w:keepNext w:val="true"/>
        <w:rPr/>
      </w:pPr>
      <w:bookmarkStart w:id="88" w:name="_Ref125366972"/>
      <w:r>
        <w:rPr/>
        <w:t>Члены Коллективного участника заключают между собой соглашение, соответствующее нормам ГК РФ, и отвечающее следующим требованиям:</w:t>
      </w:r>
      <w:bookmarkEnd w:id="88"/>
    </w:p>
    <w:p>
      <w:pPr>
        <w:pStyle w:val="Style27"/>
        <w:rPr/>
      </w:pPr>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27"/>
        <w:rPr/>
      </w:pPr>
      <w:r>
        <w:rPr/>
        <w:t>в соглашении должно быть приведено распределение номенклатуры, объемов и стоимости, а также сроков поставки продукции между членами Коллективного участника;</w:t>
      </w:r>
    </w:p>
    <w:p>
      <w:pPr>
        <w:pStyle w:val="Style27"/>
        <w:rPr/>
      </w:pPr>
      <w:r>
        <w:rPr/>
        <w:t xml:space="preserve">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 </w:t>
      </w:r>
      <w:bookmarkStart w:id="89" w:name="_Hlk219296901"/>
      <w:r>
        <w:rPr/>
        <w:t>в процессе участия в закупке, заключения и последующего исполнения Договора</w:t>
      </w:r>
      <w:bookmarkEnd w:id="89"/>
      <w:r>
        <w:rPr/>
        <w:t>;</w:t>
      </w:r>
    </w:p>
    <w:p>
      <w:pPr>
        <w:pStyle w:val="Style27"/>
        <w:rPr/>
      </w:pPr>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27"/>
        <w:rPr/>
      </w:pPr>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27"/>
        <w:rPr/>
      </w:pPr>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26"/>
        <w:rPr/>
      </w:pPr>
      <w:r>
        <w:rPr/>
        <w:t>Заявка подготавливается и подается лидером от своего имени со ссылкой в Письме о подаче оферты (форма 2) (</w:t>
      </w:r>
      <w:hyperlink w:anchor="Прил04_ФормыЗаявки">
        <w:r>
          <w:rPr>
            <w:rStyle w:val="Style14"/>
          </w:rPr>
          <w:t>Приложение № 4</w:t>
        </w:r>
      </w:hyperlink>
      <w:r>
        <w:rPr/>
        <w:t>) на то, что он представляет интересы Коллективного участника.</w:t>
      </w:r>
    </w:p>
    <w:p>
      <w:pPr>
        <w:pStyle w:val="Style26"/>
        <w:rPr/>
      </w:pPr>
      <w:bookmarkStart w:id="90" w:name="_Ref125368791"/>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90"/>
    </w:p>
    <w:p>
      <w:pPr>
        <w:pStyle w:val="Style26"/>
        <w:rPr/>
      </w:pPr>
      <w:r>
        <w:rPr/>
        <w:t>При рассмотрении и оценке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каждого из членов Коллективного участника, которым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 будет поручена непосредственная поставка продукции, требующая наличия необходимого статуса в соответствии с законодательством (для членства в саморегулируемых организациях – с уровнем ответственности соответствующего члена Коллективного участника пропорционально заявляемому объему поставки продукции).</w:t>
      </w:r>
    </w:p>
    <w:p>
      <w:pPr>
        <w:pStyle w:val="Style26"/>
        <w:rPr/>
      </w:pPr>
      <w:bookmarkStart w:id="91" w:name="_Ref134705077"/>
      <w:r>
        <w:rPr/>
        <w:t>При рассмотрении и оценке Коллективного участника на соответствие квалификационным требованиям (подраздел </w:t>
      </w:r>
      <w:r>
        <w:rPr/>
        <w:fldChar w:fldCharType="begin"/>
      </w:r>
      <w:r>
        <w:rPr/>
        <w:instrText xml:space="preserve"> REF _Ref125550270 \r \h </w:instrText>
      </w:r>
      <w:r>
        <w:rPr/>
        <w:fldChar w:fldCharType="separate"/>
      </w:r>
      <w:r>
        <w:rPr/>
        <w:t>8.4</w:t>
      </w:r>
      <w:r>
        <w:rPr/>
        <w:fldChar w:fldCharType="end"/>
      </w:r>
      <w:r>
        <w:rPr/>
        <w:t>), параметры деятельности членов Коллективного участника, такие как наличие требуемого опыта, обеспеченность материально-техническими ресурсами и кадровыми ресурсами,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 будет поручена непосредственная поставка продукции, требующая наличия указанного опыта.</w:t>
      </w:r>
      <w:bookmarkEnd w:id="91"/>
    </w:p>
    <w:p>
      <w:pPr>
        <w:pStyle w:val="Style26"/>
        <w:keepNext w:val="true"/>
        <w:rPr/>
      </w:pPr>
      <w:bookmarkStart w:id="92" w:name="_Ref125361726"/>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92"/>
    </w:p>
    <w:p>
      <w:pPr>
        <w:pStyle w:val="Style27"/>
        <w:rPr/>
      </w:pPr>
      <w:r>
        <w:rPr/>
        <w:t>принимать участие в этой же закупке самостоятельно;</w:t>
      </w:r>
    </w:p>
    <w:p>
      <w:pPr>
        <w:pStyle w:val="Style27"/>
        <w:rPr/>
      </w:pPr>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30"/>
        <w:ind w:left="1134" w:hanging="0"/>
        <w:rPr/>
      </w:pPr>
      <w:r>
        <w:rPr/>
        <w:t>В случае невыполнения данного требования все заявки с участием таких лиц будут отклонены.</w:t>
      </w:r>
    </w:p>
    <w:p>
      <w:pPr>
        <w:pStyle w:val="Style26"/>
        <w:rPr/>
      </w:pPr>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r>
          <w:rPr>
            <w:rStyle w:val="Style14"/>
          </w:rPr>
          <w:t>Приложение № 3</w:t>
        </w:r>
      </w:hyperlink>
      <w:r>
        <w:rPr>
          <w:rStyle w:val="Style14"/>
        </w:rPr>
        <w:t>)</w:t>
      </w:r>
      <w:r>
        <w:rPr/>
        <w:t>, а также при несоблюдении вышеуказанных норм настоящего подраздела, заявка такого Коллективного участника отклоняется.</w:t>
      </w:r>
    </w:p>
    <w:p>
      <w:pPr>
        <w:pStyle w:val="Style26"/>
        <w:rPr/>
      </w:pPr>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26"/>
        <w:rPr/>
      </w:pPr>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25"/>
        <w:rPr/>
      </w:pPr>
      <w:bookmarkStart w:id="93" w:name="_Ref125361702"/>
      <w:bookmarkStart w:id="94" w:name="_Toc228976337"/>
      <w:r>
        <w:rPr/>
        <w:t>Генеральные подрядчики</w:t>
      </w:r>
      <w:bookmarkEnd w:id="93"/>
      <w:bookmarkEnd w:id="94"/>
    </w:p>
    <w:p>
      <w:pPr>
        <w:pStyle w:val="Style26"/>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6"/>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8.6</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6"/>
        <w:keepNext w:val="true"/>
        <w:rPr/>
      </w:pPr>
      <w:r>
        <w:rPr/>
        <w:t>Генеральный подрядчик:</w:t>
      </w:r>
    </w:p>
    <w:p>
      <w:pPr>
        <w:pStyle w:val="Style27"/>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7"/>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7"/>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6"/>
        <w:keepNext w:val="true"/>
        <w:rPr/>
      </w:pPr>
      <w:r>
        <w:rPr/>
        <w:t>Каждый субподрядчик из привлекаемых Генеральным подрядчиком должен отвечать:</w:t>
      </w:r>
    </w:p>
    <w:p>
      <w:pPr>
        <w:pStyle w:val="Style27"/>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7"/>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7"/>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0"/>
        <w:ind w:left="1134" w:hanging="0"/>
        <w:rPr/>
      </w:pPr>
      <w:bookmarkStart w:id="95"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95"/>
      <w:r>
        <w:rPr/>
        <w:t>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6"/>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4"/>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6"/>
        <w:rPr/>
      </w:pPr>
      <w:bookmarkStart w:id="96"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w:t>
      </w:r>
      <w:bookmarkEnd w:id="96"/>
    </w:p>
    <w:p>
      <w:pPr>
        <w:sectPr>
          <w:headerReference w:type="default" r:id="rId8"/>
          <w:footerReference w:type="default" r:id="rId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6"/>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8.6</w:t>
      </w:r>
      <w:r>
        <w:rPr/>
        <w:fldChar w:fldCharType="end"/>
      </w:r>
      <w:r>
        <w:rPr/>
        <w:t xml:space="preserve"> </w:t>
      </w:r>
      <w:hyperlink w:anchor="Прил03_ТребованияУчастникам">
        <w:r>
          <w:rPr>
            <w:rStyle w:val="Style14"/>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4"/>
        <w:rPr/>
      </w:pPr>
      <w:bookmarkStart w:id="97" w:name="_Ref125361211"/>
      <w:bookmarkStart w:id="98" w:name="_Ref125367098"/>
      <w:bookmarkStart w:id="99" w:name="_Ref125367107"/>
      <w:bookmarkStart w:id="100" w:name="_Ref125367974"/>
      <w:bookmarkStart w:id="101" w:name="_Toc228976338"/>
      <w:r>
        <w:rPr/>
        <w:t>Порядок проведения закупки</w:t>
      </w:r>
      <w:bookmarkEnd w:id="97"/>
      <w:bookmarkEnd w:id="98"/>
      <w:bookmarkEnd w:id="99"/>
      <w:bookmarkEnd w:id="100"/>
      <w:bookmarkEnd w:id="101"/>
    </w:p>
    <w:p>
      <w:pPr>
        <w:pStyle w:val="Style25"/>
        <w:rPr/>
      </w:pPr>
      <w:bookmarkStart w:id="102" w:name="_Ref126141932"/>
      <w:bookmarkStart w:id="103" w:name="_Toc228976339"/>
      <w:r>
        <w:rPr/>
        <w:t>Общий порядок проведения закупки</w:t>
      </w:r>
      <w:bookmarkEnd w:id="102"/>
      <w:bookmarkEnd w:id="103"/>
    </w:p>
    <w:p>
      <w:pPr>
        <w:pStyle w:val="Style26"/>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428"/>
        <w:gridCol w:w="3334"/>
        <w:gridCol w:w="1108"/>
        <w:gridCol w:w="2229"/>
        <w:gridCol w:w="2407"/>
        <w:gridCol w:w="2266"/>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0"/>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0"/>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71" w:type="dxa"/>
            <w:gridSpan w:val="3"/>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7" w:type="dxa"/>
            <w:vMerge w:val="restart"/>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_Ref130394802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6" w:type="dxa"/>
            <w:vMerge w:val="restart"/>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4" w:type="dxa"/>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7"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66"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заявкам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_Ref130221619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0" w:type="dxa"/>
            <w:vMerge w:val="restart"/>
            <w:tcBorders>
              <w:right w:val="nil"/>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4" w:type="dxa"/>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7"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7" w:type="dxa"/>
            <w:vMerge w:val="restart"/>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6" w:type="dxa"/>
            <w:vMerge w:val="restart"/>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71" w:type="dxa"/>
            <w:gridSpan w:val="3"/>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Переторжка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_Ref127536359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66"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4" w:type="dxa"/>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7"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66"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8" w:type="dxa"/>
            <w:gridSpan w:val="4"/>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6"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_Ref138232981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30"/>
              <w:widowControl w:val="false"/>
              <w:suppressAutoHyphens w:val="true"/>
              <w:spacing w:before="40" w:after="40"/>
              <w:jc w:val="center"/>
              <w:rPr>
                <w:bCs/>
                <w:sz w:val="24"/>
                <w:szCs w:val="24"/>
              </w:rPr>
            </w:pPr>
            <w:r>
              <w:rPr>
                <w:bCs/>
                <w:sz w:val="24"/>
                <w:szCs w:val="24"/>
              </w:rPr>
            </w:r>
          </w:p>
        </w:tc>
        <w:tc>
          <w:tcPr>
            <w:tcW w:w="4636"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преддоговорных переговоров</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_Ref125552570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4496" w:type="dxa"/>
            <w:gridSpan w:val="2"/>
            <w:tcBorders>
              <w:right w:val="nil"/>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w:t>
              <w:br/>
              <w:t>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10"/>
          <w:headerReference w:type="first" r:id="rId11"/>
          <w:footerReference w:type="default" r:id="rId12"/>
          <w:footerReference w:type="first" r:id="rId1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104" w:name="_Ref130286532"/>
      <w:bookmarkStart w:id="105" w:name="_Toc228976340"/>
      <w:r>
        <w:rPr/>
        <w:t>Официальное размещение Извещения и Документации о закупке</w:t>
      </w:r>
      <w:bookmarkEnd w:id="104"/>
      <w:bookmarkEnd w:id="105"/>
    </w:p>
    <w:p>
      <w:pPr>
        <w:pStyle w:val="Style26"/>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6"/>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6"/>
        <w:rPr/>
      </w:pPr>
      <w:bookmarkStart w:id="106" w:name="_Ref125362785"/>
      <w:r>
        <w:rPr/>
        <w:t>Порядок получения информации через ЭП определяется Регламентом ЭП, с использованием которой проводится закупка.</w:t>
      </w:r>
      <w:bookmarkEnd w:id="106"/>
    </w:p>
    <w:p>
      <w:pPr>
        <w:pStyle w:val="Style26"/>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5"/>
        <w:rPr/>
      </w:pPr>
      <w:bookmarkStart w:id="107" w:name="_Ref130281199"/>
      <w:bookmarkStart w:id="108" w:name="_Toc228976341"/>
      <w:bookmarkStart w:id="109" w:name="_Ref130394681"/>
      <w:r>
        <w:rPr/>
        <w:t>Подготовка заявки</w:t>
      </w:r>
      <w:bookmarkEnd w:id="107"/>
      <w:bookmarkEnd w:id="108"/>
      <w:bookmarkEnd w:id="109"/>
    </w:p>
    <w:p>
      <w:pPr>
        <w:pStyle w:val="Style26"/>
        <w:rPr/>
      </w:pPr>
      <w:r>
        <w:rPr/>
        <w:t>Участник должен подготовить заявку с учетом требований Документации о закупке.</w:t>
      </w:r>
    </w:p>
    <w:p>
      <w:pPr>
        <w:pStyle w:val="Style26"/>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6"/>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4"/>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4"/>
          </w:rPr>
          <w:t>Приложение № 4</w:t>
        </w:r>
      </w:hyperlink>
      <w:r>
        <w:rPr/>
        <w:t>.</w:t>
      </w:r>
    </w:p>
    <w:p>
      <w:pPr>
        <w:pStyle w:val="Style26"/>
        <w:rPr/>
      </w:pPr>
      <w:bookmarkStart w:id="110" w:name="_Ref125365866"/>
      <w:bookmarkStart w:id="111"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0"/>
      <w:bookmarkEnd w:id="111"/>
    </w:p>
    <w:p>
      <w:pPr>
        <w:pStyle w:val="Style26"/>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4"/>
          </w:rPr>
          <w:t>Приложение № 4</w:t>
        </w:r>
      </w:hyperlink>
      <w:r>
        <w:rPr/>
        <w:t>) может служить основанием для отклонения заявки.</w:t>
      </w:r>
    </w:p>
    <w:p>
      <w:pPr>
        <w:pStyle w:val="Style26"/>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6"/>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6"/>
        <w:rPr/>
      </w:pPr>
      <w:bookmarkStart w:id="112" w:name="_Ref125370700"/>
      <w:bookmarkStart w:id="113"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6"/>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4"/>
          </w:rPr>
          <w:t>Техническими требованиями (Приложение № 1)</w:t>
        </w:r>
      </w:hyperlink>
      <w:r>
        <w:rPr/>
        <w:t xml:space="preserve"> и </w:t>
      </w:r>
      <w:hyperlink w:anchor="Прил02_ПроектДоговора">
        <w:r>
          <w:rPr>
            <w:rStyle w:val="Style14"/>
          </w:rPr>
          <w:t>Проектом договора (Приложение № 2)</w:t>
        </w:r>
      </w:hyperlink>
      <w:r>
        <w:rPr/>
        <w:t>, а также сумму налогов (</w:t>
      </w:r>
      <w:r>
        <w:rPr>
          <w:rFonts w:cs="Times New Roman"/>
        </w:rPr>
        <w:t xml:space="preserve">за исключением НДС, в случае его уплаты) </w:t>
      </w:r>
      <w:r>
        <w:rPr/>
        <w:t>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12"/>
      <w:bookmarkEnd w:id="113"/>
    </w:p>
    <w:p>
      <w:pPr>
        <w:pStyle w:val="Style26"/>
        <w:rPr/>
      </w:pPr>
      <w:r>
        <w:rPr/>
        <w:t>Нормы настоящего пункта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r>
          <w:rPr>
            <w:rStyle w:val="Style14"/>
          </w:rPr>
          <w:t>Приложение № 4</w:t>
        </w:r>
      </w:hyperlink>
      <w:r>
        <w:rPr/>
        <w:t xml:space="preserve">), в виде согласия (декларации) на поставку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6"/>
        <w:rPr/>
      </w:pPr>
      <w:bookmarkStart w:id="114" w:name="_Ref130379863"/>
      <w:r>
        <w:rPr/>
        <w:t>Нормы настоящего пункта и пунктов </w:t>
      </w:r>
      <w:r>
        <w:rPr/>
        <w:fldChar w:fldCharType="begin"/>
      </w:r>
      <w:r>
        <w:rPr/>
        <w:instrText xml:space="preserve"> REF _Ref164251545 \r \h </w:instrText>
      </w:r>
      <w:r>
        <w:rPr/>
        <w:fldChar w:fldCharType="separate"/>
      </w:r>
      <w:r>
        <w:rPr/>
        <w:t>4.3.12</w:t>
      </w:r>
      <w:r>
        <w:rPr/>
        <w:fldChar w:fldCharType="end"/>
      </w:r>
      <w:r>
        <w:rPr/>
        <w:t xml:space="preserve"> – </w:t>
      </w:r>
      <w:r>
        <w:rPr/>
        <w:fldChar w:fldCharType="begin"/>
      </w:r>
      <w:r>
        <w:rPr/>
        <w:instrText xml:space="preserve"> REF _Ref130455500 \r \h </w:instrText>
      </w:r>
      <w:r>
        <w:rPr/>
        <w:fldChar w:fldCharType="separate"/>
      </w:r>
      <w:r>
        <w:rPr/>
        <w:t>4.3.15</w:t>
      </w:r>
      <w:r>
        <w:rPr/>
        <w:fldChar w:fldCharType="end"/>
      </w:r>
      <w:r>
        <w:rPr/>
        <w:t xml:space="preserve">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r>
          <w:rPr>
            <w:rStyle w:val="Style14"/>
          </w:rPr>
          <w:t>Приложение № 4</w:t>
        </w:r>
      </w:hyperlink>
      <w:r>
        <w:rPr/>
        <w:t>), в виде подробного предложения в отношении поставляемой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w:t>
      </w:r>
      <w:bookmarkEnd w:id="114"/>
    </w:p>
    <w:p>
      <w:pPr>
        <w:pStyle w:val="Style26"/>
        <w:rPr/>
      </w:pPr>
      <w:bookmarkStart w:id="115" w:name="_Ref164251545"/>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4"/>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115"/>
    </w:p>
    <w:p>
      <w:pPr>
        <w:pStyle w:val="Style26"/>
        <w:rPr/>
      </w:pPr>
      <w:r>
        <w:rPr/>
        <w:t xml:space="preserve">Если в </w:t>
      </w:r>
      <w:hyperlink w:anchor="Прил01_ТехТребования">
        <w:r>
          <w:rPr>
            <w:rStyle w:val="Style14"/>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4"/>
          </w:rPr>
          <w:t>Технических требованиях (Приложение № 1)</w:t>
        </w:r>
      </w:hyperlink>
      <w:r>
        <w:rPr/>
        <w:t>.</w:t>
      </w:r>
    </w:p>
    <w:p>
      <w:pPr>
        <w:pStyle w:val="Style26"/>
        <w:rPr/>
      </w:pPr>
      <w:bookmarkStart w:id="116"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4"/>
          </w:rPr>
          <w:t>Техническими требованиями (Приложение № 1)</w:t>
        </w:r>
      </w:hyperlink>
      <w:r>
        <w:rPr/>
        <w:t>.</w:t>
      </w:r>
      <w:bookmarkEnd w:id="116"/>
    </w:p>
    <w:p>
      <w:pPr>
        <w:pStyle w:val="Style26"/>
        <w:rPr/>
      </w:pPr>
      <w:bookmarkStart w:id="117"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4.3.11</w:t>
      </w:r>
      <w:r>
        <w:rPr/>
        <w:fldChar w:fldCharType="end"/>
      </w:r>
      <w:r>
        <w:rPr/>
        <w:t xml:space="preserve"> – </w:t>
      </w:r>
      <w:r>
        <w:rPr/>
        <w:fldChar w:fldCharType="begin"/>
      </w:r>
      <w:r>
        <w:rPr/>
        <w:instrText xml:space="preserve"> REF _Ref130379876 \r \h </w:instrText>
      </w:r>
      <w:r>
        <w:rPr/>
        <w:fldChar w:fldCharType="separate"/>
      </w:r>
      <w:r>
        <w:rPr/>
        <w:t>4.3.14</w:t>
      </w:r>
      <w:r>
        <w:rPr/>
        <w:fldChar w:fldCharType="end"/>
      </w:r>
      <w:r>
        <w:rPr/>
        <w:t>) Организатор вправе отклонить заявку такого Участника от дальнейшего участия в закупке.</w:t>
      </w:r>
      <w:bookmarkEnd w:id="117"/>
      <w:r>
        <w:rPr/>
        <w:t xml:space="preserve"> </w:t>
      </w:r>
    </w:p>
    <w:p>
      <w:pPr>
        <w:pStyle w:val="Style26"/>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6"/>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7"/>
        <w:rPr/>
      </w:pPr>
      <w:r>
        <w:rPr/>
        <w:t>внутренние противоречия между различными частями и (или) документами заявки, в том числе по тексту внутри одного документа;</w:t>
      </w:r>
    </w:p>
    <w:p>
      <w:pPr>
        <w:pStyle w:val="Style27"/>
        <w:rPr/>
      </w:pPr>
      <w:bookmarkStart w:id="118" w:name="_Ref125370398"/>
      <w:bookmarkStart w:id="119" w:name="_Ref125714384"/>
      <w:r>
        <w:rPr/>
        <w:t>противоречия между документами заявки и сведениями, указанными Участником в структурированных формах на ЭП.</w:t>
      </w:r>
      <w:bookmarkEnd w:id="118"/>
      <w:bookmarkEnd w:id="119"/>
    </w:p>
    <w:p>
      <w:pPr>
        <w:pStyle w:val="Style26"/>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7"/>
        <w:rPr/>
      </w:pPr>
      <w:r>
        <w:rPr/>
        <w:t>полномочий таких органов / лиц на оформление этих документов;</w:t>
      </w:r>
    </w:p>
    <w:p>
      <w:pPr>
        <w:pStyle w:val="Style27"/>
        <w:rPr/>
      </w:pPr>
      <w:r>
        <w:rPr/>
        <w:t>формы, объема и содержания этих документов.</w:t>
      </w:r>
    </w:p>
    <w:p>
      <w:pPr>
        <w:pStyle w:val="Style26"/>
        <w:keepNext w:val="true"/>
        <w:rPr/>
      </w:pPr>
      <w:r>
        <w:rPr/>
        <w:t>Участник должен подготовить заявку с соблюдением следующих условий:</w:t>
      </w:r>
    </w:p>
    <w:p>
      <w:pPr>
        <w:pStyle w:val="Style27"/>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соглашение о создании коллективного участника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7"/>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7"/>
        <w:rPr/>
      </w:pPr>
      <w:r>
        <w:rPr/>
        <w:t>все файлы не должны иметь защиты от их открытия, изменения, копирования их содержимого или их печати;</w:t>
      </w:r>
    </w:p>
    <w:p>
      <w:pPr>
        <w:pStyle w:val="Style27"/>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7"/>
        <w:rPr/>
      </w:pPr>
      <w:r>
        <w:rPr/>
        <w:t>если какой-либо документ представлен в нечитаемом виде, данный документ считается непредставленным.</w:t>
      </w:r>
    </w:p>
    <w:p>
      <w:pPr>
        <w:pStyle w:val="Style26"/>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5"/>
        <w:rPr/>
      </w:pPr>
      <w:bookmarkStart w:id="120" w:name="_Ref130394205"/>
      <w:bookmarkStart w:id="121" w:name="_Ref125366672"/>
      <w:bookmarkStart w:id="122" w:name="_Ref125362071"/>
      <w:bookmarkStart w:id="123" w:name="_Ref125361260"/>
      <w:bookmarkStart w:id="124" w:name="_Toc228976342"/>
      <w:bookmarkStart w:id="125" w:name="_Ref130394802"/>
      <w:bookmarkStart w:id="126" w:name="_Ref130394785"/>
      <w:r>
        <w:rPr/>
        <w:t>Разъяснение Документации о закупке</w:t>
      </w:r>
      <w:bookmarkEnd w:id="120"/>
      <w:bookmarkEnd w:id="121"/>
      <w:bookmarkEnd w:id="122"/>
      <w:bookmarkEnd w:id="123"/>
      <w:bookmarkEnd w:id="124"/>
      <w:bookmarkEnd w:id="125"/>
      <w:bookmarkEnd w:id="126"/>
    </w:p>
    <w:p>
      <w:pPr>
        <w:pStyle w:val="Style26"/>
        <w:rPr/>
      </w:pPr>
      <w:r>
        <w:rPr/>
        <w:t>Участники вправе обратиться к Организатору за разъяснениями Документации о закупке.</w:t>
      </w:r>
    </w:p>
    <w:p>
      <w:pPr>
        <w:pStyle w:val="Style26"/>
        <w:rPr/>
      </w:pPr>
      <w:r>
        <w:rPr/>
        <w:t>Запросы подаются в соответствии с Регламентами и инструкциями Оператора ЭП, опубликованными на сайте соответствующей ЭП.</w:t>
      </w:r>
    </w:p>
    <w:p>
      <w:pPr>
        <w:pStyle w:val="Style26"/>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6"/>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6"/>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6"/>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4"/>
          </w:rPr>
          <w:t>Проекта договора (Приложения № 2)</w:t>
        </w:r>
      </w:hyperlink>
      <w:r>
        <w:rPr>
          <w:rStyle w:val="Style14"/>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6"/>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5"/>
        <w:rPr/>
      </w:pPr>
      <w:bookmarkStart w:id="127" w:name="_Ref125362076"/>
      <w:bookmarkStart w:id="128" w:name="_Ref125363891"/>
      <w:bookmarkStart w:id="129" w:name="_Ref125364404"/>
      <w:bookmarkStart w:id="130" w:name="_Toc228976343"/>
      <w:r>
        <w:rPr/>
        <w:t>Изменения Извещения и (или) Документации о закупке</w:t>
      </w:r>
      <w:bookmarkEnd w:id="127"/>
      <w:bookmarkEnd w:id="128"/>
      <w:bookmarkEnd w:id="129"/>
      <w:bookmarkEnd w:id="130"/>
    </w:p>
    <w:p>
      <w:pPr>
        <w:pStyle w:val="Style26"/>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6"/>
        <w:rPr/>
      </w:pPr>
      <w:bookmarkStart w:id="131"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31"/>
    </w:p>
    <w:p>
      <w:pPr>
        <w:pStyle w:val="Style26"/>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6"/>
        <w:rPr/>
      </w:pPr>
      <w:bookmarkStart w:id="132"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32"/>
      <w:r>
        <w:rPr/>
        <w:t xml:space="preserve"> 4 (четырех) рабочих дней.</w:t>
      </w:r>
    </w:p>
    <w:p>
      <w:pPr>
        <w:pStyle w:val="Style26"/>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5"/>
        <w:rPr/>
      </w:pPr>
      <w:bookmarkStart w:id="133" w:name="_Ref125362119"/>
      <w:bookmarkStart w:id="134" w:name="_Toc228976344"/>
      <w:r>
        <w:rPr/>
        <w:t>Подача заявок и их прием</w:t>
      </w:r>
      <w:bookmarkEnd w:id="133"/>
      <w:bookmarkEnd w:id="134"/>
    </w:p>
    <w:p>
      <w:pPr>
        <w:pStyle w:val="Style26"/>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6"/>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6"/>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6"/>
        <w:rPr/>
      </w:pPr>
      <w:r>
        <w:rPr/>
        <w:t xml:space="preserve">Заявка должна быть подписана </w:t>
      </w:r>
      <w:bookmarkStart w:id="135" w:name="_Hlk219296949"/>
      <w:r>
        <w:rPr/>
        <w:t xml:space="preserve">усиленной квалифицированной </w:t>
      </w:r>
      <w:bookmarkEnd w:id="135"/>
      <w:r>
        <w:rPr/>
        <w:t>электронной подписью лица, которое является уполномоченным представителем Участника.</w:t>
      </w:r>
    </w:p>
    <w:p>
      <w:pPr>
        <w:pStyle w:val="Style26"/>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6"/>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6"/>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5"/>
        <w:rPr/>
      </w:pPr>
      <w:bookmarkStart w:id="136" w:name="_Ref125362130"/>
      <w:bookmarkStart w:id="137" w:name="_Ref125362192"/>
      <w:bookmarkStart w:id="138" w:name="_Ref125363819"/>
      <w:bookmarkStart w:id="139" w:name="_Ref125365136"/>
      <w:bookmarkStart w:id="140" w:name="_Toc228976345"/>
      <w:r>
        <w:rPr/>
        <w:t>Изменение и отзыв заявок</w:t>
      </w:r>
      <w:bookmarkEnd w:id="136"/>
      <w:bookmarkEnd w:id="137"/>
      <w:bookmarkEnd w:id="138"/>
      <w:bookmarkEnd w:id="139"/>
      <w:bookmarkEnd w:id="140"/>
    </w:p>
    <w:p>
      <w:pPr>
        <w:pStyle w:val="Style26"/>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6"/>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6"/>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6"/>
        <w:rPr/>
      </w:pPr>
      <w:r>
        <w:rPr/>
        <w:t>Изменения и отзыв заявки осуществляется посредством функционала ЭП (подробный порядок определяется Регламентом ЭП).</w:t>
      </w:r>
    </w:p>
    <w:p>
      <w:pPr>
        <w:pStyle w:val="Style25"/>
        <w:rPr/>
      </w:pPr>
      <w:bookmarkStart w:id="141" w:name="_Ref130221619"/>
      <w:bookmarkStart w:id="142" w:name="_Toc228976346"/>
      <w:bookmarkStart w:id="143" w:name="_Ref125364340"/>
      <w:bookmarkEnd w:id="143"/>
      <w:r>
        <w:rPr/>
        <w:t>Открытие доступа к заявкам</w:t>
      </w:r>
      <w:bookmarkEnd w:id="141"/>
      <w:bookmarkEnd w:id="142"/>
    </w:p>
    <w:p>
      <w:pPr>
        <w:pStyle w:val="Style26"/>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6"/>
        <w:rPr/>
      </w:pPr>
      <w:r>
        <w:rPr/>
        <w:t>Оператор ЭП предоставляет Организатору доступ одновременно ко всем поданным заявкам в полном объеме.</w:t>
      </w:r>
    </w:p>
    <w:p>
      <w:pPr>
        <w:pStyle w:val="Style26"/>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7"/>
        <w:rPr/>
      </w:pPr>
      <w:r>
        <w:rPr/>
        <w:t>дата подписания протокола;</w:t>
      </w:r>
    </w:p>
    <w:p>
      <w:pPr>
        <w:pStyle w:val="Style27"/>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7"/>
        <w:rPr/>
      </w:pPr>
      <w:r>
        <w:rPr/>
        <w:t>идентификационные номера заявок Участников, присваиваемые Оператором ЭП;</w:t>
      </w:r>
    </w:p>
    <w:p>
      <w:pPr>
        <w:pStyle w:val="Style27"/>
        <w:rPr/>
      </w:pPr>
      <w:r>
        <w:rPr/>
        <w:t>стоимости заявок (или иное указание на общую стоимость заявки);</w:t>
      </w:r>
    </w:p>
    <w:p>
      <w:pPr>
        <w:pStyle w:val="Style27"/>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0"/>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6"/>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6"/>
        <w:rPr/>
      </w:pPr>
      <w:r>
        <w:rPr/>
        <w:t>Порядок получения Участниками информации о поступивших заявках через ЭП определяется Регламентом ЭП.</w:t>
      </w:r>
    </w:p>
    <w:p>
      <w:pPr>
        <w:pStyle w:val="Style25"/>
        <w:rPr/>
      </w:pPr>
      <w:bookmarkStart w:id="144" w:name="_Ref125366689"/>
      <w:bookmarkStart w:id="145" w:name="_Ref125364340_Копия_1"/>
      <w:bookmarkStart w:id="146" w:name="_Ref125362364"/>
      <w:bookmarkStart w:id="147" w:name="_Toc228976347"/>
      <w:bookmarkStart w:id="148" w:name="_Ref135749133"/>
      <w:bookmarkEnd w:id="145"/>
      <w:r>
        <w:rPr/>
        <w:t>Рассмотрение заявок (отборочная стадия)</w:t>
      </w:r>
      <w:bookmarkEnd w:id="144"/>
      <w:bookmarkEnd w:id="146"/>
      <w:r>
        <w:rPr/>
        <w:t>, в том числе (при необходимости) проведение аккредитации</w:t>
      </w:r>
      <w:bookmarkEnd w:id="147"/>
      <w:bookmarkEnd w:id="148"/>
    </w:p>
    <w:p>
      <w:pPr>
        <w:pStyle w:val="Style26"/>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6"/>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4"/>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6"/>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6"/>
        <w:keepNext w:val="true"/>
        <w:rPr/>
      </w:pPr>
      <w:bookmarkStart w:id="149" w:name="_Ref228878865"/>
      <w:r>
        <w:rPr/>
        <w:t>При выявлении в рамках рассмотрения заявок наличия арифметических ошибок, в том числе:</w:t>
      </w:r>
      <w:bookmarkEnd w:id="149"/>
    </w:p>
    <w:p>
      <w:pPr>
        <w:pStyle w:val="Style27"/>
        <w:rPr/>
      </w:pPr>
      <w:r>
        <w:rPr/>
        <w:t>в результате суммирования единичных расценок;</w:t>
      </w:r>
    </w:p>
    <w:p>
      <w:pPr>
        <w:pStyle w:val="Style27"/>
        <w:rPr/>
      </w:pPr>
      <w:r>
        <w:rPr/>
        <w:t>в итогах умножения единичных расценок на объем продукции;</w:t>
      </w:r>
    </w:p>
    <w:p>
      <w:pPr>
        <w:pStyle w:val="Style27"/>
        <w:rPr/>
      </w:pPr>
      <w:r>
        <w:rPr/>
        <w:t>в вычислении суммы НДС и итоговой стоимости заявки с учетом НДС;</w:t>
      </w:r>
    </w:p>
    <w:p>
      <w:pPr>
        <w:pStyle w:val="Style27"/>
        <w:rPr/>
      </w:pPr>
      <w:r>
        <w:rPr/>
        <w:t>иных внутренних противоречий в составе заявки,</w:t>
      </w:r>
    </w:p>
    <w:p>
      <w:pPr>
        <w:pStyle w:val="Style30"/>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6"/>
        <w:keepNext w:val="true"/>
        <w:rPr/>
      </w:pPr>
      <w:bookmarkStart w:id="150"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50"/>
    </w:p>
    <w:p>
      <w:pPr>
        <w:pStyle w:val="Style27"/>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8"/>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8"/>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_Ref228878865 \r \h </w:instrText>
      </w:r>
      <w:r>
        <w:rPr/>
        <w:fldChar w:fldCharType="separate"/>
      </w:r>
      <w:r>
        <w:rPr/>
        <w:t>4.9.4</w:t>
      </w:r>
      <w:r>
        <w:rPr/>
        <w:fldChar w:fldCharType="end"/>
      </w:r>
      <w:r>
        <w:rPr/>
        <w:t>);</w:t>
      </w:r>
    </w:p>
    <w:p>
      <w:pPr>
        <w:pStyle w:val="Style27"/>
        <w:rPr/>
      </w:pPr>
      <w:r>
        <w:rPr/>
        <w:t>несоответствие Участников требованиям Документации о закупке;</w:t>
      </w:r>
    </w:p>
    <w:p>
      <w:pPr>
        <w:pStyle w:val="Style27"/>
        <w:rPr/>
      </w:pPr>
      <w:r>
        <w:rPr/>
        <w:t>несоответствие привлекаемых субподрядчиков (соисполнителей) требованиям Документации о закупке;</w:t>
      </w:r>
    </w:p>
    <w:p>
      <w:pPr>
        <w:pStyle w:val="Style27"/>
        <w:rPr/>
      </w:pPr>
      <w:r>
        <w:rPr/>
        <w:t>несоответствие предлагаемой продукции требованиям Документации о закупке, в том числе порядка описания такой продукции;</w:t>
      </w:r>
    </w:p>
    <w:p>
      <w:pPr>
        <w:pStyle w:val="Style27"/>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7"/>
        <w:rPr/>
      </w:pPr>
      <w:r>
        <w:rPr/>
        <w:t>несоответствие размера, формы, условий и порядка предоставления обеспечения заявки.</w:t>
      </w:r>
    </w:p>
    <w:p>
      <w:pPr>
        <w:pStyle w:val="Style26"/>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_Ref125359973 \r \h </w:instrText>
      </w:r>
      <w:r>
        <w:rPr/>
        <w:fldChar w:fldCharType="separate"/>
      </w:r>
      <w:r>
        <w:rPr/>
        <w:t>1.2</w:t>
      </w:r>
      <w:r>
        <w:rPr/>
        <w:fldChar w:fldCharType="end"/>
      </w:r>
      <w:r>
        <w:rPr/>
        <w:t>,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6"/>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7"/>
        <w:rPr/>
      </w:pPr>
      <w:r>
        <w:rPr/>
        <w:t>дата подписания протокола;</w:t>
      </w:r>
    </w:p>
    <w:p>
      <w:pPr>
        <w:pStyle w:val="Style27"/>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7"/>
        <w:rPr/>
      </w:pPr>
      <w:r>
        <w:rPr/>
        <w:t>идентификационные номера заявок Участников, присваиваемые Оператором ЭП;</w:t>
      </w:r>
    </w:p>
    <w:p>
      <w:pPr>
        <w:pStyle w:val="Style27"/>
        <w:keepNext w:val="true"/>
        <w:rPr/>
      </w:pPr>
      <w:r>
        <w:rPr/>
        <w:t>результаты рассмотрения заявок с указанием, в том числе:</w:t>
      </w:r>
    </w:p>
    <w:p>
      <w:pPr>
        <w:pStyle w:val="Style28"/>
        <w:rPr/>
      </w:pPr>
      <w:r>
        <w:rPr/>
        <w:t>количества заявок, которые были отклонены;</w:t>
      </w:r>
    </w:p>
    <w:p>
      <w:pPr>
        <w:pStyle w:val="Style28"/>
        <w:rPr/>
      </w:pPr>
      <w:r>
        <w:rPr/>
        <w:t>оснований отклонения каждой заявки с указанием положений Документации о закупке, которым не соответствует такая заявка;</w:t>
      </w:r>
    </w:p>
    <w:p>
      <w:pPr>
        <w:pStyle w:val="Style27"/>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7"/>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8"/>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порядкового номера каждой допущенной заявки в предварительной ранжировке заявок, включая стоимость заявки (цену Договора);</w:t>
      </w:r>
    </w:p>
    <w:p>
      <w:pPr>
        <w:pStyle w:val="Style27"/>
        <w:rPr/>
      </w:pPr>
      <w:bookmarkStart w:id="151" w:name="_Ref125551524"/>
      <w:r>
        <w:rPr/>
        <w:t>решение о проведении или непроведении переторжки,</w:t>
      </w:r>
      <w:bookmarkEnd w:id="151"/>
    </w:p>
    <w:p>
      <w:pPr>
        <w:pStyle w:val="Style30"/>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6"/>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6"/>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6"/>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5"/>
        <w:rPr/>
      </w:pPr>
      <w:bookmarkStart w:id="152" w:name="_Ref125362381"/>
      <w:bookmarkStart w:id="153" w:name="_Ref125362425"/>
      <w:bookmarkStart w:id="154" w:name="_Ref125362464"/>
      <w:bookmarkStart w:id="155" w:name="_Ref125362610"/>
      <w:bookmarkStart w:id="156" w:name="_Toc228976348"/>
      <w:r>
        <w:rPr/>
        <w:t>Дополнительные запросы разъяснений заявок</w:t>
      </w:r>
      <w:bookmarkEnd w:id="152"/>
      <w:bookmarkEnd w:id="153"/>
      <w:bookmarkEnd w:id="154"/>
      <w:bookmarkEnd w:id="155"/>
      <w:bookmarkEnd w:id="156"/>
    </w:p>
    <w:p>
      <w:pPr>
        <w:pStyle w:val="Style26"/>
        <w:rPr/>
      </w:pPr>
      <w:bookmarkStart w:id="157"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57"/>
    </w:p>
    <w:p>
      <w:pPr>
        <w:pStyle w:val="Style27"/>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8"/>
        <w:rPr/>
      </w:pPr>
      <w:r>
        <w:rPr/>
        <w:t>соответствия Участника требованиям Документации о закупке;</w:t>
      </w:r>
    </w:p>
    <w:p>
      <w:pPr>
        <w:pStyle w:val="Style28"/>
        <w:rPr/>
      </w:pPr>
      <w:r>
        <w:rPr/>
        <w:t>наличия соответствующих полномочий на подписание заявки от имени Участника у лица, подписавшего заявку;</w:t>
      </w:r>
    </w:p>
    <w:p>
      <w:pPr>
        <w:pStyle w:val="Style28"/>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_Ref186217606 \r \h </w:instrText>
      </w:r>
      <w:r>
        <w:rPr/>
        <w:fldChar w:fldCharType="separate"/>
      </w:r>
      <w:r>
        <w:rPr/>
        <w:t>4.13</w:t>
      </w:r>
      <w:r>
        <w:rPr/>
        <w:fldChar w:fldCharType="end"/>
      </w:r>
      <w:r>
        <w:rPr/>
        <w:t>)),  договорных условий и расчета цены Договора;</w:t>
      </w:r>
    </w:p>
    <w:p>
      <w:pPr>
        <w:pStyle w:val="Style27"/>
        <w:rPr/>
      </w:pPr>
      <w:bookmarkStart w:id="158"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7"/>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58"/>
    </w:p>
    <w:p>
      <w:pPr>
        <w:pStyle w:val="Style26"/>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6"/>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6"/>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6"/>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6"/>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6"/>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6"/>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5"/>
        <w:rPr/>
      </w:pPr>
      <w:bookmarkStart w:id="159" w:name="_Toc228976349"/>
      <w:bookmarkStart w:id="160" w:name="_Ref125362537"/>
      <w:bookmarkStart w:id="161" w:name="_Ref125362430"/>
      <w:bookmarkStart w:id="162" w:name="_Ref127536359"/>
      <w:r>
        <w:rPr/>
        <w:t>Переторжка</w:t>
      </w:r>
      <w:bookmarkEnd w:id="159"/>
      <w:bookmarkEnd w:id="160"/>
      <w:bookmarkEnd w:id="161"/>
      <w:bookmarkEnd w:id="162"/>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6"/>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6"/>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7"/>
        <w:rPr/>
      </w:pPr>
      <w:r>
        <w:rPr/>
        <w:t>стоимость заявки (цена Договора) / цена за единицу продукции;</w:t>
      </w:r>
    </w:p>
    <w:p>
      <w:pPr>
        <w:pStyle w:val="Style27"/>
        <w:rPr/>
      </w:pPr>
      <w:r>
        <w:rPr/>
        <w:t>сроки поставки продукции;</w:t>
      </w:r>
    </w:p>
    <w:p>
      <w:pPr>
        <w:pStyle w:val="Style27"/>
        <w:rPr/>
      </w:pPr>
      <w:r>
        <w:rPr/>
        <w:t>условия оплаты;</w:t>
      </w:r>
    </w:p>
    <w:p>
      <w:pPr>
        <w:pStyle w:val="Style27"/>
        <w:rPr/>
      </w:pPr>
      <w:r>
        <w:rPr/>
        <w:t>иные условия, которые являются критериями оценки заявок.</w:t>
      </w:r>
    </w:p>
    <w:p>
      <w:pPr>
        <w:pStyle w:val="Style30"/>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6"/>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6"/>
        <w:rPr/>
      </w:pPr>
      <w:r>
        <w:rPr/>
        <w:t>В переторжке может принять участие любой Участник, заявка которого не была отклонена по результатам рассмотрения заявок.</w:t>
      </w:r>
    </w:p>
    <w:p>
      <w:pPr>
        <w:pStyle w:val="Style26"/>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4"/>
          </w:rPr>
          <w:t>Приложение № 4</w:t>
        </w:r>
      </w:hyperlink>
      <w:r>
        <w:rPr/>
        <w:t>).</w:t>
      </w:r>
    </w:p>
    <w:p>
      <w:pPr>
        <w:pStyle w:val="Style26"/>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6"/>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6"/>
        <w:rPr/>
      </w:pPr>
      <w:r>
        <w:rPr/>
        <w:t>Участник не вправе изменять и (или) отзывать поданные предложения на переторжку после окончания ее проведения.</w:t>
      </w:r>
    </w:p>
    <w:p>
      <w:pPr>
        <w:pStyle w:val="Style26"/>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6"/>
        <w:rPr/>
      </w:pPr>
      <w:r>
        <w:rPr/>
        <w:t>Процедура переторжки проводится на ЭП в порядке, предусмотренном настоящим подразделом и Регламентом ЭП.</w:t>
      </w:r>
    </w:p>
    <w:p>
      <w:pPr>
        <w:pStyle w:val="Style26"/>
        <w:keepNext w:val="true"/>
        <w:rPr/>
      </w:pPr>
      <w:r>
        <w:rPr/>
        <w:t>В зависимости от правил, предусмотренных Регламентом ЭП, переторжка может проводиться:</w:t>
      </w:r>
    </w:p>
    <w:p>
      <w:pPr>
        <w:pStyle w:val="Style27"/>
        <w:rPr/>
      </w:pPr>
      <w:r>
        <w:rPr/>
        <w:t>в заочной форме путем однократной подачи предложения на переторжку к установленному сроку;</w:t>
      </w:r>
    </w:p>
    <w:p>
      <w:pPr>
        <w:pStyle w:val="Style27"/>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6"/>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6"/>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6"/>
        <w:rPr/>
      </w:pPr>
      <w:bookmarkStart w:id="163"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63"/>
    </w:p>
    <w:p>
      <w:pPr>
        <w:pStyle w:val="Style26"/>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6"/>
        <w:keepNext w:val="true"/>
        <w:rPr/>
      </w:pPr>
      <w:bookmarkStart w:id="164" w:name="_Ref136244167"/>
      <w:r>
        <w:rPr/>
        <w:t>Документы заявки, подлежащие корректировке по результатам переторжки:</w:t>
      </w:r>
      <w:bookmarkEnd w:id="164"/>
    </w:p>
    <w:p>
      <w:pPr>
        <w:pStyle w:val="Style27"/>
        <w:rPr/>
      </w:pPr>
      <w:r>
        <w:rPr/>
        <w:t>Письмо о подаче оферты (форма 2) (</w:t>
      </w:r>
      <w:hyperlink w:anchor="Прил04_ФормыЗаявки">
        <w:r>
          <w:rPr>
            <w:rStyle w:val="Style14"/>
          </w:rPr>
          <w:t>Приложение № 4</w:t>
        </w:r>
      </w:hyperlink>
      <w:r>
        <w:rPr/>
        <w:t>);</w:t>
      </w:r>
    </w:p>
    <w:p>
      <w:pPr>
        <w:pStyle w:val="Style27"/>
        <w:rPr/>
      </w:pPr>
      <w:r>
        <w:rPr/>
        <w:t>Коммерческое предложение (форма 3) (</w:t>
      </w:r>
      <w:hyperlink w:anchor="Прил04_ФормыЗаявки">
        <w:r>
          <w:rPr>
            <w:rStyle w:val="Style14"/>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4"/>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7"/>
        <w:rPr/>
      </w:pPr>
      <w:r>
        <w:rPr/>
        <w:t>План распределения объемов поставки продукции (форма 10) (</w:t>
      </w:r>
      <w:hyperlink w:anchor="Прил04_ФормыЗаявки">
        <w:r>
          <w:rPr>
            <w:rStyle w:val="Style14"/>
          </w:rPr>
          <w:t>Приложение № 4</w:t>
        </w:r>
      </w:hyperlink>
      <w:r>
        <w:rPr/>
        <w:t>) – только если заявка подана Коллективным участником или Генеральным подрядчиком;</w:t>
      </w:r>
    </w:p>
    <w:p>
      <w:pPr>
        <w:pStyle w:val="Style27"/>
        <w:rPr/>
      </w:pPr>
      <w:bookmarkStart w:id="165" w:name="_Ref130376111"/>
      <w:r>
        <w:rPr/>
        <w:t>иной документ, указанный в протоколе закупки (которым назначена переторжка), связанный с предметом проводимой переторжки.</w:t>
      </w:r>
      <w:bookmarkEnd w:id="165"/>
    </w:p>
    <w:p>
      <w:pPr>
        <w:pStyle w:val="Style26"/>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6"/>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6"/>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5"/>
        <w:rPr/>
      </w:pPr>
      <w:bookmarkStart w:id="166" w:name="_Ref125362626"/>
      <w:bookmarkStart w:id="167" w:name="_Ref125365335"/>
      <w:bookmarkStart w:id="168" w:name="_Ref125365519"/>
      <w:bookmarkStart w:id="169" w:name="_Ref125366534"/>
      <w:bookmarkStart w:id="170" w:name="_Ref125369041"/>
      <w:bookmarkStart w:id="171" w:name="_Ref125369308"/>
      <w:bookmarkStart w:id="172" w:name="_Toc228976350"/>
      <w:r>
        <w:rPr/>
        <w:t>Оценка и сопоставление заявок</w:t>
      </w:r>
      <w:bookmarkEnd w:id="166"/>
      <w:bookmarkEnd w:id="167"/>
      <w:bookmarkEnd w:id="168"/>
      <w:bookmarkEnd w:id="169"/>
      <w:bookmarkEnd w:id="170"/>
      <w:bookmarkEnd w:id="171"/>
      <w:bookmarkEnd w:id="172"/>
    </w:p>
    <w:p>
      <w:pPr>
        <w:pStyle w:val="Style26"/>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4"/>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6"/>
        <w:rPr/>
      </w:pPr>
      <w:r>
        <w:rPr/>
        <w:t xml:space="preserve">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7"/>
        <w:rPr/>
      </w:pPr>
      <w:r>
        <w:rPr/>
        <w:t>в соответствии с единственным ценовым критерием оценки (критерием выбора Победителя) – стоимость заявки (цена Договора);</w:t>
      </w:r>
    </w:p>
    <w:p>
      <w:pPr>
        <w:pStyle w:val="Style27"/>
        <w:rPr/>
      </w:pPr>
      <w:r>
        <w:rPr/>
        <w:t>в едином базисе без учета НДС;</w:t>
      </w:r>
    </w:p>
    <w:p>
      <w:pPr>
        <w:pStyle w:val="Style27"/>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6"/>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6"/>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6"/>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6"/>
        <w:rPr/>
      </w:pPr>
      <w:r>
        <w:rPr/>
        <w:t>Результаты оценки и сопоставления заявок вносятся в итоговый протокол по результатам закупки.</w:t>
      </w:r>
    </w:p>
    <w:p>
      <w:pPr>
        <w:pStyle w:val="Style25"/>
        <w:rPr/>
      </w:pPr>
      <w:bookmarkStart w:id="173" w:name="_Ref186217606"/>
      <w:bookmarkStart w:id="174" w:name="_Ref130985951"/>
      <w:bookmarkStart w:id="175" w:name="_Ref132894106"/>
      <w:bookmarkStart w:id="176" w:name="_Ref132894111"/>
      <w:bookmarkStart w:id="177" w:name="_Toc228976351"/>
      <w:bookmarkStart w:id="178" w:name="_Ref125366064"/>
      <w:bookmarkStart w:id="179" w:name="_Ref125369991"/>
      <w:bookmarkStart w:id="180" w:name="_Ref125370507"/>
      <w:bookmarkStart w:id="181" w:name="_Ref130458671"/>
      <w:r>
        <w:rPr/>
        <w:t>Применение законодательства о национальном режиме</w:t>
      </w:r>
      <w:bookmarkEnd w:id="173"/>
      <w:bookmarkEnd w:id="174"/>
      <w:bookmarkEnd w:id="175"/>
      <w:bookmarkEnd w:id="176"/>
      <w:bookmarkEnd w:id="177"/>
      <w:bookmarkEnd w:id="178"/>
      <w:bookmarkEnd w:id="179"/>
      <w:bookmarkEnd w:id="180"/>
      <w:bookmarkEnd w:id="181"/>
    </w:p>
    <w:p>
      <w:pPr>
        <w:pStyle w:val="Style26"/>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6"/>
        <w:rPr/>
      </w:pPr>
      <w:bookmarkStart w:id="182" w:name="_Ref207797062"/>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82"/>
    </w:p>
    <w:p>
      <w:pPr>
        <w:pStyle w:val="Style26"/>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p>
    <w:p>
      <w:pPr>
        <w:pStyle w:val="Style26"/>
        <w:rPr/>
      </w:pPr>
      <w:bookmarkStart w:id="183"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184"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185" w:name="_Hlk198901350"/>
      <w:r>
        <w:rPr/>
        <w:t>(в том числе поставляемых при выполнении закупаемых работ, оказании закупаемых услуг))</w:t>
      </w:r>
      <w:bookmarkEnd w:id="185"/>
      <w:r>
        <w:rPr/>
        <w:t>, при условии наличия допущенной заявки с иностранной продукцией (на поставку товара иностранного происхождения)</w:t>
      </w:r>
      <w:bookmarkEnd w:id="184"/>
      <w:r>
        <w:rPr/>
        <w:t>.</w:t>
      </w:r>
      <w:bookmarkEnd w:id="183"/>
    </w:p>
    <w:p>
      <w:pPr>
        <w:pStyle w:val="Style26"/>
        <w:rPr/>
      </w:pPr>
      <w:bookmarkStart w:id="186" w:name="_Ref192700787"/>
      <w:bookmarkStart w:id="187" w:name="_Ref196303561"/>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86"/>
      <w:bookmarkEnd w:id="187"/>
    </w:p>
    <w:p>
      <w:pPr>
        <w:pStyle w:val="Style26"/>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_Ref207797062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4"/>
          </w:rPr>
          <w:t>Приложение № 4</w:t>
        </w:r>
      </w:hyperlink>
      <w:r>
        <w:rPr/>
        <w:t xml:space="preserve">), </w:t>
      </w:r>
      <w:bookmarkStart w:id="188" w:name="_Hlk207281039"/>
      <w:r>
        <w:rPr/>
        <w:t>а также в Технических требованиях (Приложение №1) в части установления требований к подтверждающим документам</w:t>
      </w:r>
      <w:bookmarkEnd w:id="188"/>
      <w:r>
        <w:rPr/>
        <w:t>.</w:t>
      </w:r>
    </w:p>
    <w:p>
      <w:pPr>
        <w:pStyle w:val="Style26"/>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7"/>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7"/>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6"/>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6"/>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6"/>
        <w:rPr/>
      </w:pPr>
      <w:bookmarkStart w:id="189"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189"/>
      <w:r>
        <w:rPr/>
        <w:t>.</w:t>
      </w:r>
    </w:p>
    <w:p>
      <w:pPr>
        <w:pStyle w:val="Style26"/>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6"/>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6"/>
        <w:numPr>
          <w:ilvl w:val="0"/>
          <w:numId w:val="0"/>
        </w:numPr>
        <w:ind w:left="1134" w:hanging="0"/>
        <w:outlineLvl w:val="9"/>
        <w:rPr/>
      </w:pPr>
      <w:r>
        <w:rPr/>
      </w:r>
    </w:p>
    <w:p>
      <w:pPr>
        <w:pStyle w:val="Style25"/>
        <w:rPr/>
      </w:pPr>
      <w:bookmarkStart w:id="190" w:name="_Ref125362658"/>
      <w:bookmarkStart w:id="191" w:name="_Ref125366091"/>
      <w:bookmarkStart w:id="192" w:name="_Ref125367242"/>
      <w:bookmarkStart w:id="193" w:name="_Toc228976352"/>
      <w:r>
        <w:rPr/>
        <w:t>Подведение итогов закупки (определение Победителя)</w:t>
      </w:r>
      <w:bookmarkEnd w:id="190"/>
      <w:bookmarkEnd w:id="191"/>
      <w:bookmarkEnd w:id="192"/>
      <w:bookmarkEnd w:id="193"/>
    </w:p>
    <w:p>
      <w:pPr>
        <w:pStyle w:val="Style26"/>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6"/>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6"/>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4"/>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6"/>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6"/>
        <w:keepNext w:val="true"/>
        <w:rPr/>
      </w:pPr>
      <w:bookmarkStart w:id="194"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194"/>
    </w:p>
    <w:p>
      <w:pPr>
        <w:pStyle w:val="Style27"/>
        <w:rPr/>
      </w:pPr>
      <w:r>
        <w:rPr/>
        <w:t>дата подписания протокола;</w:t>
      </w:r>
    </w:p>
    <w:p>
      <w:pPr>
        <w:pStyle w:val="Style27"/>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7"/>
        <w:rPr/>
      </w:pPr>
      <w:r>
        <w:rPr/>
        <w:t>идентификационные номера заявок Участников, допущенных по результатам рассмотрения заявок, присваиваемые Оператором ЭП;</w:t>
      </w:r>
    </w:p>
    <w:p>
      <w:pPr>
        <w:pStyle w:val="Style27"/>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8"/>
        <w:rPr/>
      </w:pPr>
      <w:r>
        <w:rPr/>
        <w:t>количества заявок, которые были отклонены;</w:t>
      </w:r>
    </w:p>
    <w:p>
      <w:pPr>
        <w:pStyle w:val="Style28"/>
        <w:rPr/>
      </w:pPr>
      <w:r>
        <w:rPr/>
        <w:t>оснований отклонения каждой заявки с указанием положений Документации о закупке, которым не соответствует такая заявка;</w:t>
      </w:r>
    </w:p>
    <w:p>
      <w:pPr>
        <w:pStyle w:val="Style27"/>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7"/>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7"/>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7"/>
        <w:rPr/>
      </w:pPr>
      <w:r>
        <w:rPr/>
        <w:t>причины, по которым закупка признана несостоявшейся (в случае ее признания таковой),</w:t>
      </w:r>
    </w:p>
    <w:p>
      <w:pPr>
        <w:pStyle w:val="Style30"/>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6"/>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6"/>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5"/>
        <w:rPr/>
      </w:pPr>
      <w:bookmarkStart w:id="195" w:name="_Ref125365570"/>
      <w:bookmarkStart w:id="196" w:name="_Toc228976353"/>
      <w:bookmarkStart w:id="197" w:name="_Ref125366796"/>
      <w:bookmarkStart w:id="198" w:name="_Ref125366631"/>
      <w:bookmarkStart w:id="199" w:name="_Ref125365305"/>
      <w:bookmarkStart w:id="200" w:name="_Ref125364187"/>
      <w:bookmarkStart w:id="201" w:name="_Ref125364149"/>
      <w:r>
        <w:rPr/>
        <w:t>Признание закупки несостоявшейся</w:t>
      </w:r>
      <w:bookmarkEnd w:id="195"/>
      <w:bookmarkEnd w:id="196"/>
      <w:bookmarkEnd w:id="197"/>
      <w:bookmarkEnd w:id="198"/>
      <w:bookmarkEnd w:id="199"/>
      <w:bookmarkEnd w:id="200"/>
      <w:bookmarkEnd w:id="201"/>
    </w:p>
    <w:p>
      <w:pPr>
        <w:pStyle w:val="Style26"/>
        <w:keepNext w:val="true"/>
        <w:rPr/>
      </w:pPr>
      <w:r>
        <w:rPr/>
        <w:t>Закупка признается несостоявшейся в следующих случаях:</w:t>
      </w:r>
    </w:p>
    <w:p>
      <w:pPr>
        <w:pStyle w:val="Style27"/>
        <w:rPr/>
      </w:pPr>
      <w:r>
        <w:rPr/>
        <w:t>если по окончанию срока подачи заявок поступило менее 2 (двух) заявок (с учетом возможных отзывов заявок);</w:t>
      </w:r>
    </w:p>
    <w:p>
      <w:pPr>
        <w:pStyle w:val="Style27"/>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7"/>
        <w:rPr/>
      </w:pPr>
      <w:bookmarkStart w:id="202"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202"/>
      <w:r>
        <w:rPr/>
        <w:t>).</w:t>
      </w:r>
    </w:p>
    <w:p>
      <w:pPr>
        <w:pStyle w:val="Style26"/>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6"/>
        <w:keepNext w:val="true"/>
        <w:rPr/>
      </w:pPr>
      <w:r>
        <w:rPr/>
        <w:t>В случае признания закупки несостоявшейся (с учетом условий, предусмотренных Положением о закупке):</w:t>
      </w:r>
    </w:p>
    <w:p>
      <w:pPr>
        <w:pStyle w:val="Style27"/>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4"/>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9"/>
        </w:numPr>
        <w:tabs>
          <w:tab w:val="clear" w:pos="2552"/>
        </w:tabs>
        <w:ind w:left="2127" w:hanging="426"/>
        <w:rPr>
          <w:sz w:val="26"/>
          <w:szCs w:val="26"/>
        </w:rPr>
      </w:pPr>
      <w:r>
        <w:rPr>
          <w:sz w:val="26"/>
          <w:szCs w:val="26"/>
        </w:rPr>
        <w:t>повторное проведение закупки;</w:t>
      </w:r>
    </w:p>
    <w:p>
      <w:pPr>
        <w:pStyle w:val="-1"/>
        <w:numPr>
          <w:ilvl w:val="0"/>
          <w:numId w:val="19"/>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20"/>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20"/>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20"/>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9"/>
        </w:numPr>
        <w:tabs>
          <w:tab w:val="clear" w:pos="2552"/>
        </w:tabs>
        <w:ind w:left="2127" w:hanging="426"/>
        <w:rPr>
          <w:sz w:val="26"/>
          <w:szCs w:val="26"/>
        </w:rPr>
      </w:pPr>
      <w:bookmarkStart w:id="203"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03"/>
    </w:p>
    <w:p>
      <w:pPr>
        <w:pStyle w:val="Style27"/>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204" w:name="_Hlk219297054"/>
      <w:r>
        <w:rPr/>
        <w:t>либо по результатам проведения закупки от заключения договора уклонились все допущенные Участники</w:t>
      </w:r>
      <w:bookmarkEnd w:id="204"/>
      <w:r>
        <w:rPr/>
        <w:t xml:space="preserve"> – Заказчик проводит повторную закупку.</w:t>
      </w:r>
    </w:p>
    <w:p>
      <w:pPr>
        <w:pStyle w:val="Style34"/>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20"/>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20"/>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20"/>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5"/>
        <w:rPr/>
      </w:pPr>
      <w:bookmarkStart w:id="205" w:name="_Toc228976354"/>
      <w:bookmarkStart w:id="206" w:name="_Ref126141962"/>
      <w:r>
        <w:rPr/>
        <w:t>Отказ от проведения закупки</w:t>
      </w:r>
      <w:bookmarkEnd w:id="206"/>
      <w:r>
        <w:rPr/>
        <w:t xml:space="preserve"> (отмена закупки)</w:t>
      </w:r>
      <w:bookmarkEnd w:id="205"/>
    </w:p>
    <w:p>
      <w:pPr>
        <w:pStyle w:val="Style26"/>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6"/>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6"/>
        <w:rPr/>
      </w:pPr>
      <w:r>
        <w:rPr/>
        <w:t>Дополнительно организатор уведомляет всех Участников об отмене закупки посредством ЭП.</w:t>
      </w:r>
    </w:p>
    <w:p>
      <w:pPr>
        <w:pStyle w:val="Style26"/>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5"/>
        <w:rPr/>
      </w:pPr>
      <w:bookmarkStart w:id="207" w:name="_Ref130455226"/>
      <w:bookmarkStart w:id="208" w:name="_Toc228976355"/>
      <w:r>
        <w:rPr/>
        <w:t>Особенности проведения закупки с необходимостью обеспечения заявки</w:t>
      </w:r>
      <w:bookmarkEnd w:id="207"/>
      <w:bookmarkEnd w:id="208"/>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6"/>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6"/>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7"/>
        <w:rPr/>
      </w:pPr>
      <w:r>
        <w:rPr/>
        <w:t>банковская гарантия должна быть безотзывной и безусловной (гарантия по первому требованию);</w:t>
      </w:r>
    </w:p>
    <w:p>
      <w:pPr>
        <w:pStyle w:val="Style27"/>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7"/>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_Ref228968767 \r \h </w:instrText>
      </w:r>
      <w:r>
        <w:rPr/>
        <w:fldChar w:fldCharType="separate"/>
      </w:r>
      <w:r>
        <w:rPr/>
        <w:t>4.17.11</w:t>
      </w:r>
      <w:r>
        <w:rPr/>
        <w:fldChar w:fldCharType="end"/>
      </w:r>
      <w:r>
        <w:rPr/>
        <w:t>;</w:t>
      </w:r>
    </w:p>
    <w:p>
      <w:pPr>
        <w:pStyle w:val="Style27"/>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7"/>
        <w:rPr/>
      </w:pPr>
      <w:r>
        <w:rPr/>
        <w:t>платеж по банковской гарантии должен быть осуществлен в течение 10 (десяти) рабочих дней после обращения бенефициара;</w:t>
      </w:r>
    </w:p>
    <w:p>
      <w:pPr>
        <w:pStyle w:val="Style27"/>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7"/>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7"/>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Pr>
          <w:rStyle w:val="FootnoteReference"/>
        </w:rPr>
        <w:footnoteReference w:id="12"/>
      </w:r>
      <w:r>
        <w:rPr/>
        <w:t xml:space="preserve"> в качестве органа, компетентного разрешать споры из банковской гарантии.</w:t>
      </w:r>
    </w:p>
    <w:p>
      <w:pPr>
        <w:pStyle w:val="Style26"/>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6"/>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6"/>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6"/>
        <w:rPr/>
      </w:pPr>
      <w:r>
        <w:rPr/>
        <w:t>Подать заявку (принять участие в закупке) могут только Участники, предоставившие надлежащее обеспечение их заявок.</w:t>
      </w:r>
    </w:p>
    <w:p>
      <w:pPr>
        <w:pStyle w:val="Style26"/>
        <w:rPr/>
      </w:pPr>
      <w:r>
        <w:rPr/>
        <w:t>Требование об обеспечении заявки в равной мере распространяется на всех Участников.</w:t>
      </w:r>
    </w:p>
    <w:p>
      <w:pPr>
        <w:pStyle w:val="Style26"/>
        <w:keepNext w:val="true"/>
        <w:rPr/>
      </w:pPr>
      <w:bookmarkStart w:id="209" w:name="_Ref228968767"/>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09"/>
    </w:p>
    <w:p>
      <w:pPr>
        <w:pStyle w:val="Style27"/>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4"/>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7"/>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4"/>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4"/>
          </w:rPr>
          <w:t>Проектом договора</w:t>
        </w:r>
      </w:hyperlink>
      <w:r>
        <w:rPr/>
        <w:t>).</w:t>
      </w:r>
    </w:p>
    <w:p>
      <w:pPr>
        <w:pStyle w:val="Style26"/>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6"/>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20 (двадцати) рабочих дней с даты:</w:t>
      </w:r>
    </w:p>
    <w:p>
      <w:pPr>
        <w:pStyle w:val="Style27"/>
        <w:rPr/>
      </w:pPr>
      <w:r>
        <w:rPr/>
        <w:t>принятия решения об отказе от проведения закупки – всем Участникам, подавшим заявки к моменту принятия такого решения;</w:t>
      </w:r>
    </w:p>
    <w:p>
      <w:pPr>
        <w:pStyle w:val="Style27"/>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7"/>
        <w:rPr/>
      </w:pPr>
      <w:r>
        <w:rPr/>
        <w:t>официального размещения протокола рассмотрения заявок (при условии его оформления) – Участникам, чьи заявки были отклонены;</w:t>
      </w:r>
    </w:p>
    <w:p>
      <w:pPr>
        <w:pStyle w:val="Style27"/>
        <w:rPr/>
      </w:pPr>
      <w:r>
        <w:rPr/>
        <w:t>официального размещения итогового протокола по результатам закупки – всем Участникам, кроме Победителя;</w:t>
      </w:r>
    </w:p>
    <w:p>
      <w:pPr>
        <w:pStyle w:val="Style27"/>
        <w:rPr/>
      </w:pPr>
      <w:r>
        <w:rPr/>
        <w:t>заключения Договора по результатам закупки – Победителю, с которым заключен Договор;</w:t>
      </w:r>
    </w:p>
    <w:p>
      <w:pPr>
        <w:pStyle w:val="Style27"/>
        <w:rPr/>
      </w:pPr>
      <w:r>
        <w:rPr/>
        <w:t>признания закупки несостоявшейся – Участнику, которому обеспечение не было возвращено по иным основаниям.</w:t>
      </w:r>
    </w:p>
    <w:p>
      <w:pPr>
        <w:pStyle w:val="Style26"/>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5"/>
        <w:rPr/>
      </w:pPr>
      <w:bookmarkStart w:id="210" w:name="_Ref149317414"/>
      <w:bookmarkStart w:id="211" w:name="_Toc228976356"/>
      <w:bookmarkStart w:id="212" w:name="_Ref130225422"/>
      <w:r>
        <w:rPr/>
        <w:t>Особенности проведения многолотовой закупки</w:t>
      </w:r>
      <w:bookmarkEnd w:id="210"/>
      <w:bookmarkEnd w:id="211"/>
      <w:bookmarkEnd w:id="212"/>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6"/>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6"/>
        <w:keepNext w:val="true"/>
        <w:rPr/>
      </w:pPr>
      <w:r>
        <w:rPr/>
        <w:t>В случае подачи заявки на несколько лотов дополнительно должны быть соблюдены следующие требования:</w:t>
      </w:r>
    </w:p>
    <w:p>
      <w:pPr>
        <w:pStyle w:val="Style27"/>
        <w:rPr/>
      </w:pPr>
      <w:r>
        <w:rPr/>
        <w:t>Письмо о подаче оферты (форма 2) (</w:t>
      </w:r>
      <w:hyperlink w:anchor="Прил04_ФормыЗаявки">
        <w:r>
          <w:rPr>
            <w:rStyle w:val="Style14"/>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7"/>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4"/>
          </w:rPr>
          <w:t>Приложение № 4</w:t>
        </w:r>
      </w:hyperlink>
      <w:r>
        <w:rPr/>
        <w:t>, должны быть подготовлены отдельно по каждому из лотов с указанием номера и названия лота.</w:t>
      </w:r>
    </w:p>
    <w:p>
      <w:pPr>
        <w:pStyle w:val="Style26"/>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5"/>
        <w:rPr/>
      </w:pPr>
      <w:bookmarkStart w:id="213" w:name="_Ref125550863"/>
      <w:bookmarkStart w:id="214" w:name="_Toc228976357"/>
      <w:r>
        <w:rPr/>
        <w:t>Особенности проведения закупки с возможностью подачи альтернативных предложений</w:t>
      </w:r>
      <w:bookmarkEnd w:id="213"/>
      <w:bookmarkEnd w:id="214"/>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6"/>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6"/>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4"/>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6"/>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6"/>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24"/>
        <w:rPr/>
      </w:pPr>
      <w:bookmarkStart w:id="215" w:name="_Ref125361212"/>
      <w:bookmarkStart w:id="216" w:name="_Ref125367087"/>
      <w:bookmarkStart w:id="217" w:name="_Ref125367083"/>
      <w:bookmarkStart w:id="218" w:name="_Ref125366769"/>
      <w:bookmarkStart w:id="219" w:name="_Ref125363439"/>
      <w:bookmarkStart w:id="220" w:name="_Ref125362671"/>
      <w:bookmarkStart w:id="221" w:name="_Toc228976358"/>
      <w:bookmarkStart w:id="222" w:name="_Ref130224037"/>
      <w:bookmarkStart w:id="223" w:name="_Ref126142429"/>
      <w:r>
        <w:rPr/>
        <w:t>Порядок заключения Договора</w:t>
      </w:r>
      <w:bookmarkEnd w:id="215"/>
      <w:bookmarkEnd w:id="216"/>
      <w:bookmarkEnd w:id="217"/>
      <w:bookmarkEnd w:id="218"/>
      <w:bookmarkEnd w:id="219"/>
      <w:bookmarkEnd w:id="220"/>
      <w:bookmarkEnd w:id="221"/>
      <w:bookmarkEnd w:id="222"/>
      <w:bookmarkEnd w:id="223"/>
    </w:p>
    <w:p>
      <w:pPr>
        <w:pStyle w:val="Style25"/>
        <w:rPr/>
      </w:pPr>
      <w:bookmarkStart w:id="224" w:name="_Ref139028625"/>
      <w:bookmarkStart w:id="225" w:name="_Toc228976359"/>
      <w:r>
        <w:rPr/>
        <w:t>Общие положения</w:t>
      </w:r>
      <w:bookmarkEnd w:id="224"/>
      <w:bookmarkEnd w:id="225"/>
    </w:p>
    <w:p>
      <w:pPr>
        <w:pStyle w:val="Style26"/>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5"/>
        <w:rPr/>
      </w:pPr>
      <w:bookmarkStart w:id="226" w:name="_Ref135736094"/>
      <w:bookmarkStart w:id="227" w:name="_Ref125368755"/>
      <w:bookmarkStart w:id="228" w:name="_Toc228976360"/>
      <w:bookmarkStart w:id="229" w:name="_Ref138232981"/>
      <w:bookmarkStart w:id="230" w:name="_Ref125366947"/>
      <w:r>
        <w:rPr/>
        <w:t>Заключение Договора</w:t>
      </w:r>
      <w:bookmarkEnd w:id="226"/>
      <w:bookmarkEnd w:id="227"/>
      <w:bookmarkEnd w:id="228"/>
      <w:bookmarkEnd w:id="229"/>
      <w:bookmarkEnd w:id="230"/>
    </w:p>
    <w:p>
      <w:pPr>
        <w:pStyle w:val="Style26"/>
        <w:rPr/>
      </w:pPr>
      <w:bookmarkStart w:id="231" w:name="_Ref125362935"/>
      <w:bookmarkStart w:id="232"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31"/>
      <w:bookmarkEnd w:id="232"/>
    </w:p>
    <w:p>
      <w:pPr>
        <w:pStyle w:val="Style26"/>
        <w:rPr/>
      </w:pPr>
      <w:r>
        <w:rPr/>
        <w:t>Договор не может быть заключен, если это запрещено законодательством о национальном режиме .</w:t>
      </w:r>
    </w:p>
    <w:p>
      <w:pPr>
        <w:pStyle w:val="Style26"/>
        <w:rPr/>
      </w:pPr>
      <w:bookmarkStart w:id="233" w:name="_Ref125363464"/>
      <w:bookmarkStart w:id="234" w:name="_Hlk207281466"/>
      <w:bookmarkEnd w:id="234"/>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6"/>
        <w:rPr/>
      </w:pPr>
      <w:bookmarkStart w:id="235" w:name="_Hlk207281494"/>
      <w:bookmarkStart w:id="236" w:name="_Hlk207281466_Копия_1"/>
      <w:bookmarkEnd w:id="236"/>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4"/>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6"/>
        <w:numPr>
          <w:ilvl w:val="0"/>
          <w:numId w:val="17"/>
        </w:numPr>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35"/>
    </w:p>
    <w:p>
      <w:pPr>
        <w:pStyle w:val="Style26"/>
        <w:numPr>
          <w:ilvl w:val="0"/>
          <w:numId w:val="17"/>
        </w:numPr>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4"/>
          </w:rPr>
          <w:t>Приложения № 4</w:t>
        </w:r>
      </w:hyperlink>
      <w:r>
        <w:rPr/>
        <w:t>)) адрес электронной почты ответственного лица).</w:t>
      </w:r>
      <w:bookmarkEnd w:id="233"/>
    </w:p>
    <w:p>
      <w:pPr>
        <w:pStyle w:val="Style26"/>
        <w:keepNext w:val="true"/>
        <w:rPr/>
      </w:pPr>
      <w:bookmarkStart w:id="237"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38" w:name="_Hlk207281699"/>
      <w:r>
        <w:rPr/>
        <w:t xml:space="preserve">Portable Document Format </w:t>
      </w:r>
      <w:bookmarkEnd w:id="238"/>
      <w:r>
        <w:rPr/>
        <w:t>(*.</w:t>
      </w:r>
      <w:r>
        <w:rPr>
          <w:lang w:val="en-US"/>
        </w:rPr>
        <w:t>pdf</w:t>
      </w:r>
      <w:r>
        <w:rPr/>
        <w:t>)):</w:t>
      </w:r>
      <w:bookmarkEnd w:id="237"/>
    </w:p>
    <w:p>
      <w:pPr>
        <w:pStyle w:val="Style27"/>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7"/>
        <w:rPr/>
      </w:pPr>
      <w:bookmarkStart w:id="239"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39"/>
      <w:r>
        <w:rPr/>
        <w:t>.</w:t>
      </w:r>
    </w:p>
    <w:p>
      <w:pPr>
        <w:pStyle w:val="Style26"/>
        <w:keepNext w:val="true"/>
        <w:rPr/>
      </w:pPr>
      <w:bookmarkStart w:id="240"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4"/>
          </w:rPr>
          <w:t>Приложение № 3</w:t>
        </w:r>
      </w:hyperlink>
      <w:r>
        <w:rPr/>
        <w:t>), следующие документы (скан-копии в формате Portable Document Format (*.</w:t>
      </w:r>
      <w:r>
        <w:rPr>
          <w:lang w:val="en-US"/>
        </w:rPr>
        <w:t>pdf</w:t>
      </w:r>
      <w:r>
        <w:rPr/>
        <w:t>))</w:t>
      </w:r>
      <w:r>
        <w:rPr>
          <w:rStyle w:val="FootnoteReference"/>
        </w:rPr>
        <w:footnoteReference w:id="13"/>
      </w:r>
      <w:r>
        <w:rPr/>
        <w:t>:</w:t>
      </w:r>
      <w:bookmarkEnd w:id="240"/>
    </w:p>
    <w:p>
      <w:pPr>
        <w:pStyle w:val="Style27"/>
        <w:keepNext w:val="true"/>
        <w:rPr/>
      </w:pPr>
      <w:r>
        <w:rPr/>
        <w:t>для юридического лица:</w:t>
      </w:r>
    </w:p>
    <w:p>
      <w:pPr>
        <w:pStyle w:val="Style28"/>
        <w:rPr/>
      </w:pPr>
      <w:r>
        <w:rPr/>
        <w:t>копия устава в действующей редакции с отметкой ИФНС либо копия нотариально заверенного устава (с отметкой нотариуса);</w:t>
      </w:r>
    </w:p>
    <w:p>
      <w:pPr>
        <w:pStyle w:val="Style28"/>
        <w:rPr/>
      </w:pPr>
      <w:bookmarkStart w:id="241"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41"/>
    </w:p>
    <w:p>
      <w:pPr>
        <w:pStyle w:val="Style28"/>
        <w:rPr/>
      </w:pPr>
      <w:r>
        <w:rPr/>
        <w:t>если договор подписывается лицом, действующим на основании доверенности, дополнительно предоставляется соответствующая доверенность либо ее нотариально заверенная копия (с указанием правомочий на подписание договора) и документы, подтверждающие соответствующие полномочия лица, выдавшего доверенность;</w:t>
      </w:r>
    </w:p>
    <w:p>
      <w:pPr>
        <w:pStyle w:val="Style28"/>
        <w:rPr/>
      </w:pPr>
      <w:r>
        <w:rPr/>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 которых проводится закупка);</w:t>
      </w:r>
    </w:p>
    <w:p>
      <w:pPr>
        <w:pStyle w:val="Style27"/>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7"/>
        <w:rPr/>
      </w:pPr>
      <w:r>
        <w:rPr/>
        <w:t>для физического лица: нотариально заверенная копия всех страниц документа, удостоверяющего личность (паспорта);</w:t>
      </w:r>
    </w:p>
    <w:p>
      <w:pPr>
        <w:pStyle w:val="Style27"/>
        <w:rPr/>
      </w:pPr>
      <w:bookmarkStart w:id="242" w:name="_Ref125361554"/>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242"/>
    </w:p>
    <w:p>
      <w:pPr>
        <w:pStyle w:val="Style26"/>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6"/>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6"/>
        <w:keepNext w:val="true"/>
        <w:rPr/>
      </w:pPr>
      <w:bookmarkStart w:id="243"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43"/>
    </w:p>
    <w:p>
      <w:pPr>
        <w:pStyle w:val="Style27"/>
        <w:rPr/>
      </w:pPr>
      <w:r>
        <w:rPr/>
        <w:t>протокол преддоговорных переговоров между Заказчиком и Победителем (при проведении таковых);</w:t>
      </w:r>
    </w:p>
    <w:p>
      <w:pPr>
        <w:pStyle w:val="Style27"/>
        <w:rPr/>
      </w:pPr>
      <w:r>
        <w:rPr/>
        <w:t>итоговый протокол по результатам закупки;</w:t>
      </w:r>
    </w:p>
    <w:p>
      <w:pPr>
        <w:pStyle w:val="Style27"/>
        <w:rPr/>
      </w:pPr>
      <w:r>
        <w:rPr/>
        <w:t>Извещение и Документация о закупке со всеми изменениями;</w:t>
      </w:r>
    </w:p>
    <w:p>
      <w:pPr>
        <w:pStyle w:val="Style27"/>
        <w:rPr/>
      </w:pPr>
      <w:r>
        <w:rPr/>
        <w:t>заявка Победителя со всеми дополнениями и разъяснениями.</w:t>
      </w:r>
    </w:p>
    <w:p>
      <w:pPr>
        <w:pStyle w:val="Style26"/>
        <w:rPr/>
      </w:pPr>
      <w:bookmarkStart w:id="244"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44"/>
    </w:p>
    <w:p>
      <w:pPr>
        <w:pStyle w:val="Style26"/>
        <w:keepNext w:val="true"/>
        <w:rPr/>
      </w:pPr>
      <w:bookmarkStart w:id="245" w:name="_Ref125552524"/>
      <w:r>
        <w:rPr/>
        <w:t>Если Договор заключается в электронной форме:</w:t>
      </w:r>
    </w:p>
    <w:p>
      <w:pPr>
        <w:pStyle w:val="Style27"/>
        <w:rPr/>
      </w:pPr>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45"/>
      <w:r>
        <w:rPr/>
        <w:t>;</w:t>
      </w:r>
    </w:p>
    <w:p>
      <w:pPr>
        <w:pStyle w:val="Style27"/>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6"/>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5"/>
        <w:rPr/>
      </w:pPr>
      <w:bookmarkStart w:id="246" w:name="_Ref125552570"/>
      <w:bookmarkStart w:id="247" w:name="_Toc228976361"/>
      <w:r>
        <w:rPr/>
        <w:t>Преддоговорные переговоры</w:t>
      </w:r>
      <w:bookmarkEnd w:id="246"/>
      <w:bookmarkEnd w:id="247"/>
    </w:p>
    <w:p>
      <w:pPr>
        <w:pStyle w:val="Style26"/>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7"/>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7"/>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7"/>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7"/>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7"/>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6"/>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6"/>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6"/>
        <w:rPr/>
      </w:pPr>
      <w:r>
        <w:rPr/>
        <w:t>Результаты преддоговорных переговоров фиксируются в форме протокола</w:t>
      </w:r>
      <w:r>
        <w:rPr>
          <w:rStyle w:val="FootnoteReference"/>
        </w:rPr>
        <w:footnoteReference w:id="14"/>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6"/>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5"/>
        <w:rPr/>
      </w:pPr>
      <w:bookmarkStart w:id="248" w:name="_Ref125367068"/>
      <w:bookmarkStart w:id="249" w:name="_Toc228976362"/>
      <w:r>
        <w:rPr/>
        <w:t>Уклонение Победителя от заключения Договора</w:t>
      </w:r>
      <w:bookmarkEnd w:id="248"/>
      <w:bookmarkEnd w:id="249"/>
    </w:p>
    <w:p>
      <w:pPr>
        <w:pStyle w:val="Style26"/>
        <w:keepNext w:val="true"/>
        <w:rPr/>
      </w:pPr>
      <w:r>
        <w:rPr/>
        <w:t>Если Победитель закупки:</w:t>
      </w:r>
    </w:p>
    <w:p>
      <w:pPr>
        <w:pStyle w:val="Style27"/>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7"/>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7"/>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4"/>
          </w:rPr>
          <w:t>Приложение № 5</w:t>
        </w:r>
      </w:hyperlink>
      <w:r>
        <w:rPr/>
        <w:t>), с приложением подтверждающих документов;</w:t>
      </w:r>
    </w:p>
    <w:p>
      <w:pPr>
        <w:pStyle w:val="Style27"/>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7"/>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7"/>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7"/>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4"/>
          </w:rPr>
          <w:t>Приложения № 1 – Технические требования</w:t>
        </w:r>
      </w:hyperlink>
      <w:r>
        <w:rPr/>
        <w:t xml:space="preserve"> (в случае установления таковых);</w:t>
      </w:r>
    </w:p>
    <w:p>
      <w:pPr>
        <w:pStyle w:val="Style27"/>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7"/>
        <w:rPr/>
      </w:pPr>
      <w:r>
        <w:rPr/>
        <w:t>не выполнит другие условия, прямо предусмотренные Документацией о закупке,</w:t>
      </w:r>
    </w:p>
    <w:p>
      <w:pPr>
        <w:pStyle w:val="Style30"/>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4"/>
        <w:rPr/>
      </w:pPr>
      <w:bookmarkStart w:id="250" w:name="_Toc228976363"/>
      <w:bookmarkStart w:id="251" w:name="Прил01_ТехТребования"/>
      <w:bookmarkStart w:id="252" w:name="_Ref125370843"/>
      <w:bookmarkStart w:id="253" w:name="_Ref125370750"/>
      <w:bookmarkStart w:id="254" w:name="_Ref125370746"/>
      <w:bookmarkStart w:id="255" w:name="_Ref125370741"/>
      <w:bookmarkStart w:id="256" w:name="_Ref125370732"/>
      <w:bookmarkStart w:id="257" w:name="_Ref125364088"/>
      <w:bookmarkStart w:id="258" w:name="_Ref125364201"/>
      <w:bookmarkStart w:id="259" w:name="_Ref125363016"/>
      <w:bookmarkStart w:id="260" w:name="_Ref125363023"/>
      <w:bookmarkStart w:id="261" w:name="_Ref125363034"/>
      <w:bookmarkStart w:id="262" w:name="_Ref125363600"/>
      <w:bookmarkStart w:id="263" w:name="_Ref125363752"/>
      <w:r>
        <w:rPr/>
        <w:t>Приложение № 1 – Технические требования</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Style25"/>
        <w:rPr/>
      </w:pPr>
      <w:bookmarkStart w:id="264" w:name="_Toc228976364"/>
      <w:r>
        <w:rPr/>
        <w:t>Пояснения к Техническим требованиям</w:t>
      </w:r>
      <w:bookmarkEnd w:id="264"/>
    </w:p>
    <w:p>
      <w:pPr>
        <w:pStyle w:val="Style26"/>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4"/>
        <w:rPr/>
      </w:pPr>
      <w:bookmarkStart w:id="265" w:name="_Ref125361746"/>
      <w:bookmarkStart w:id="266" w:name="_Ref125363040"/>
      <w:bookmarkStart w:id="267" w:name="_Ref125363605"/>
      <w:bookmarkStart w:id="268" w:name="_Ref125363759"/>
      <w:bookmarkStart w:id="269" w:name="_Ref125364081"/>
      <w:bookmarkStart w:id="270" w:name="_Ref125364206"/>
      <w:bookmarkStart w:id="271" w:name="_Ref125370754"/>
      <w:bookmarkStart w:id="272" w:name="Прил02_ПроектДоговора"/>
      <w:bookmarkStart w:id="273" w:name="_Toc228976365"/>
      <w:r>
        <w:rPr/>
        <w:t>Приложение № 2 – Проект договора</w:t>
      </w:r>
      <w:bookmarkEnd w:id="265"/>
      <w:bookmarkEnd w:id="266"/>
      <w:bookmarkEnd w:id="267"/>
      <w:bookmarkEnd w:id="268"/>
      <w:bookmarkEnd w:id="269"/>
      <w:bookmarkEnd w:id="270"/>
      <w:bookmarkEnd w:id="271"/>
      <w:bookmarkEnd w:id="272"/>
      <w:bookmarkEnd w:id="273"/>
    </w:p>
    <w:p>
      <w:pPr>
        <w:pStyle w:val="Style25"/>
        <w:rPr/>
      </w:pPr>
      <w:bookmarkStart w:id="274" w:name="_Toc228976366"/>
      <w:r>
        <w:rPr/>
        <w:t>Пояснения к Проекту договора</w:t>
      </w:r>
      <w:bookmarkEnd w:id="274"/>
    </w:p>
    <w:p>
      <w:pPr>
        <w:pStyle w:val="Style26"/>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6"/>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275" w:name="_Hlk132883778"/>
      <w:r>
        <w:rPr/>
        <w:t>как «Некритичные пункты Проекта договора»</w:t>
      </w:r>
      <w:bookmarkEnd w:id="275"/>
      <w:r>
        <w:rPr/>
        <w:t>.</w:t>
      </w:r>
    </w:p>
    <w:p>
      <w:pPr>
        <w:pStyle w:val="Style26"/>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6"/>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76" w:name="_MON_1736255517"/>
    </w:p>
    <w:p>
      <w:pPr>
        <w:sectPr>
          <w:headerReference w:type="default" r:id="rId16"/>
          <w:headerReference w:type="first" r:id="rId17"/>
          <w:footerReference w:type="default" r:id="rId18"/>
          <w:footerReference w:type="first" r:id="rId1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0"/>
        <w:jc w:val="center"/>
        <w:rPr/>
      </w:pPr>
      <w:bookmarkEnd w:id="276"/>
      <w:r>
        <w:rPr/>
        <w:object>
          <v:shapetype id="_x0000_tole_rId14" coordsize="21600,21600" o:spt="ole_rId1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4" type="_x0000_tole_rId14" style="width:79.85pt;height:49pt;mso-wrap-distance-right:0pt" filled="f" o:ole="">
            <v:imagedata r:id="rId15" o:title=""/>
          </v:shape>
          <o:OLEObject Type="Embed" ProgID="Word.Document.12" ShapeID="ole_rId14" DrawAspect="Icon" ObjectID="_1011645054" r:id="rId14"/>
        </w:object>
      </w:r>
    </w:p>
    <w:p>
      <w:pPr>
        <w:pStyle w:val="Style24"/>
        <w:rPr/>
      </w:pPr>
      <w:bookmarkStart w:id="277" w:name="_Ref125361494"/>
      <w:bookmarkStart w:id="278" w:name="_Ref125361908"/>
      <w:bookmarkStart w:id="279" w:name="_Ref125365476"/>
      <w:bookmarkStart w:id="280" w:name="_Ref125370013"/>
      <w:bookmarkStart w:id="281" w:name="Прил03_ТребованияУчастникам"/>
      <w:bookmarkStart w:id="282" w:name="_Toc228976367"/>
      <w:r>
        <w:rPr/>
        <w:t>Приложение № 3 – Требования к Участникам</w:t>
      </w:r>
      <w:bookmarkEnd w:id="277"/>
      <w:bookmarkEnd w:id="278"/>
      <w:bookmarkEnd w:id="279"/>
      <w:bookmarkEnd w:id="280"/>
      <w:bookmarkEnd w:id="281"/>
      <w:bookmarkEnd w:id="282"/>
    </w:p>
    <w:p>
      <w:pPr>
        <w:pStyle w:val="Style25"/>
        <w:rPr/>
      </w:pPr>
      <w:bookmarkStart w:id="283" w:name="_Toc228976368"/>
      <w:r>
        <w:rPr/>
        <w:t>Пояснения к требованиям к Участникам</w:t>
      </w:r>
      <w:bookmarkEnd w:id="283"/>
    </w:p>
    <w:p>
      <w:pPr>
        <w:pStyle w:val="Style26"/>
        <w:rPr/>
      </w:pPr>
      <w:bookmarkStart w:id="284" w:name="_Hlk125628168"/>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84"/>
    </w:p>
    <w:p>
      <w:pPr>
        <w:pStyle w:val="Style25"/>
        <w:spacing w:before="360" w:after="120"/>
        <w:rPr/>
      </w:pPr>
      <w:bookmarkStart w:id="285" w:name="_Toc228976369"/>
      <w:bookmarkStart w:id="286" w:name="_Ref125361590"/>
      <w:bookmarkStart w:id="287" w:name="_Ref125370071"/>
      <w:bookmarkStart w:id="288" w:name="_Ref125370064"/>
      <w:bookmarkStart w:id="289" w:name="_Ref125370058"/>
      <w:bookmarkStart w:id="290" w:name="_Ref125369088"/>
      <w:bookmarkStart w:id="291" w:name="_Ref125368895"/>
      <w:bookmarkStart w:id="292" w:name="_Ref125366879"/>
      <w:bookmarkStart w:id="293" w:name="_Ref125361926"/>
      <w:bookmarkStart w:id="294" w:name="_Ref125361846"/>
      <w:bookmarkStart w:id="295" w:name="_Ref125361832"/>
      <w:bookmarkStart w:id="296" w:name="_Ref125361617"/>
      <w:bookmarkStart w:id="297" w:name="_Ref125361435"/>
      <w:bookmarkStart w:id="298" w:name="_Ref125368812"/>
      <w:r>
        <w:rPr/>
        <w:t>Обязательные требования</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0"/>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9" w:name="_Ref125552433"/>
            <w:bookmarkStart w:id="300" w:name="_Ref125552433"/>
            <w:bookmarkEnd w:id="300"/>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0"/>
              <w:widowControl w:val="false"/>
              <w:numPr>
                <w:ilvl w:val="0"/>
                <w:numId w:val="16"/>
              </w:numPr>
              <w:suppressAutoHyphens w:val="true"/>
              <w:spacing w:before="60" w:after="60"/>
              <w:ind w:left="568" w:hanging="284"/>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0"/>
              <w:widowControl w:val="false"/>
              <w:numPr>
                <w:ilvl w:val="0"/>
                <w:numId w:val="16"/>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0"/>
              <w:widowControl w:val="false"/>
              <w:numPr>
                <w:ilvl w:val="0"/>
                <w:numId w:val="16"/>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0"/>
              <w:widowControl w:val="false"/>
              <w:numPr>
                <w:ilvl w:val="0"/>
                <w:numId w:val="16"/>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0"/>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0"/>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1" w:name="_Ref139028406"/>
            <w:bookmarkStart w:id="302" w:name="_Ref139028406"/>
            <w:bookmarkEnd w:id="302"/>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5"/>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6"/>
            </w:r>
            <w:r>
              <w:rPr>
                <w:rFonts w:eastAsia="Calibri" w:cs=""/>
                <w:kern w:val="0"/>
                <w:sz w:val="26"/>
                <w:szCs w:val="22"/>
                <w:lang w:val="ru-RU" w:eastAsia="en-US" w:bidi="ar-SA"/>
              </w:rPr>
              <w:t>:</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0"/>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3" w:name="_Ref186217850"/>
            <w:bookmarkStart w:id="304" w:name="_Ref186217850"/>
            <w:bookmarkEnd w:id="304"/>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0"/>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5" w:name="_Ref186217855"/>
            <w:bookmarkStart w:id="306" w:name="_Ref186217855"/>
            <w:bookmarkEnd w:id="306"/>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5"/>
        <w:spacing w:before="360" w:after="120"/>
        <w:rPr/>
      </w:pPr>
      <w:bookmarkStart w:id="307" w:name="_Toc228976370"/>
      <w:bookmarkStart w:id="308" w:name="_Ref125709888"/>
      <w:bookmarkStart w:id="309" w:name="_Ref125709401"/>
      <w:bookmarkStart w:id="310" w:name="_Ref125709250"/>
      <w:bookmarkStart w:id="311" w:name="_Ref125709153"/>
      <w:bookmarkStart w:id="312" w:name="_Ref125370079"/>
      <w:bookmarkStart w:id="313" w:name="_Ref125369099"/>
      <w:bookmarkStart w:id="314" w:name="_Ref125368916"/>
      <w:bookmarkStart w:id="315" w:name="_Ref125368818"/>
      <w:bookmarkStart w:id="316" w:name="_Ref125367539"/>
      <w:bookmarkStart w:id="317" w:name="_Ref125368901"/>
      <w:bookmarkStart w:id="318" w:name="_Ref125361442"/>
      <w:bookmarkStart w:id="319" w:name="_Ref125361633"/>
      <w:bookmarkStart w:id="320" w:name="_Ref125361671"/>
      <w:bookmarkStart w:id="321" w:name="_Ref125361937"/>
      <w:bookmarkStart w:id="322" w:name="_Ref125361869"/>
      <w:bookmarkStart w:id="323" w:name="_Ref125367521"/>
      <w:bookmarkStart w:id="324" w:name="_Ref125365459"/>
      <w:r>
        <w:rPr/>
        <w:t>Специальные требования</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0"/>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p>
            <w:pPr>
              <w:pStyle w:val="Style33"/>
              <w:widowControl w:val="false"/>
              <w:suppressAutoHyphens w:val="true"/>
              <w:spacing w:before="60" w:after="60"/>
              <w:rPr>
                <w:lang w:val="en-US"/>
              </w:rPr>
            </w:pPr>
            <w:r>
              <w:rPr>
                <w:lang w:val="en-US"/>
              </w:rPr>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p>
            <w:pPr>
              <w:pStyle w:val="Style33"/>
              <w:widowControl w:val="false"/>
              <w:suppressAutoHyphens w:val="true"/>
              <w:spacing w:before="60" w:after="60"/>
              <w:rPr>
                <w:lang w:val="en-US"/>
              </w:rPr>
            </w:pPr>
            <w:r>
              <w:rPr>
                <w:lang w:val="en-US"/>
              </w:rPr>
            </w:r>
          </w:p>
        </w:tc>
      </w:tr>
    </w:tbl>
    <w:p>
      <w:pPr>
        <w:pStyle w:val="Style25"/>
        <w:spacing w:before="360" w:after="120"/>
        <w:rPr/>
      </w:pPr>
      <w:bookmarkStart w:id="325" w:name="_Ref125550270"/>
      <w:bookmarkStart w:id="326" w:name="_Ref125550353"/>
      <w:bookmarkStart w:id="327" w:name="_Ref125553242"/>
      <w:bookmarkStart w:id="328" w:name="_Ref125553296"/>
      <w:bookmarkStart w:id="329" w:name="_Ref125553475"/>
      <w:bookmarkStart w:id="330" w:name="_Ref125553681"/>
      <w:bookmarkStart w:id="331" w:name="_Ref125709154"/>
      <w:bookmarkStart w:id="332" w:name="_Ref125709256"/>
      <w:bookmarkStart w:id="333" w:name="_Ref125709541"/>
      <w:bookmarkStart w:id="334" w:name="_Ref125709895"/>
      <w:bookmarkStart w:id="335" w:name="_Toc228976371"/>
      <w:r>
        <w:rPr/>
        <w:t>Квалификационные требования</w:t>
      </w:r>
      <w:bookmarkEnd w:id="325"/>
      <w:bookmarkEnd w:id="326"/>
      <w:bookmarkEnd w:id="327"/>
      <w:bookmarkEnd w:id="328"/>
      <w:bookmarkEnd w:id="329"/>
      <w:bookmarkEnd w:id="330"/>
      <w:bookmarkEnd w:id="331"/>
      <w:bookmarkEnd w:id="332"/>
      <w:bookmarkEnd w:id="333"/>
      <w:bookmarkEnd w:id="334"/>
      <w:bookmarkEnd w:id="335"/>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0"/>
              <w:widowControl w:val="false"/>
              <w:numPr>
                <w:ilvl w:val="0"/>
                <w:numId w:val="11"/>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Normal"/>
              <w:widowControl w:val="false"/>
              <w:suppressAutoHyphens w:val="true"/>
              <w:spacing w:before="60" w:after="0"/>
              <w:jc w:val="both"/>
              <w:rPr>
                <w:sz w:val="26"/>
                <w:szCs w:val="26"/>
              </w:rPr>
            </w:pPr>
            <w:r>
              <w:rPr>
                <w:sz w:val="26"/>
                <w:szCs w:val="26"/>
              </w:rPr>
              <w:t>Требования к наличию опыта:</w:t>
            </w:r>
          </w:p>
          <w:p>
            <w:pPr>
              <w:pStyle w:val="Normal"/>
              <w:widowControl w:val="false"/>
              <w:tabs>
                <w:tab w:val="clear" w:pos="708"/>
                <w:tab w:val="left" w:pos="4339" w:leader="none"/>
              </w:tabs>
              <w:suppressAutoHyphens w:val="true"/>
              <w:jc w:val="both"/>
              <w:rPr>
                <w:sz w:val="26"/>
                <w:szCs w:val="26"/>
              </w:rPr>
            </w:pPr>
            <w:r>
              <w:rPr>
                <w:sz w:val="26"/>
                <w:szCs w:val="26"/>
                <w:lang w:val="en-US"/>
              </w:rPr>
              <w:t xml:space="preserve">Участнику закупки в качестве повышения предпочтительности своей заявки </w:t>
            </w:r>
            <w:r>
              <w:rPr>
                <w:b/>
                <w:sz w:val="26"/>
                <w:szCs w:val="26"/>
                <w:lang w:val="en-US"/>
              </w:rPr>
              <w:t>рекомендуется предоставить</w:t>
            </w:r>
            <w:r>
              <w:rPr>
                <w:sz w:val="26"/>
                <w:szCs w:val="26"/>
                <w:lang w:val="en-US"/>
              </w:rPr>
              <w:t xml:space="preserve"> сведения для оценки Участника по неценовому критерию: </w:t>
            </w:r>
            <w:r>
              <w:rPr>
                <w:color w:val="000000" w:themeColor="text1"/>
                <w:sz w:val="26"/>
                <w:szCs w:val="26"/>
                <w:lang w:val="en-US"/>
              </w:rPr>
              <w:t xml:space="preserve">Наличие опыта поставки продукции, соответствующей профилю лота, а именно: </w:t>
            </w:r>
            <w:r>
              <w:rPr>
                <w:i/>
                <w:iCs/>
                <w:sz w:val="26"/>
                <w:szCs w:val="26"/>
                <w:lang w:val="en-US"/>
              </w:rPr>
              <w:t>опыта поставки запасных частей для гидромеханического оборудования</w:t>
            </w:r>
            <w:r>
              <w:rPr>
                <w:color w:val="000000" w:themeColor="text1"/>
                <w:sz w:val="26"/>
                <w:szCs w:val="26"/>
                <w:lang w:val="en-US"/>
              </w:rPr>
              <w:t>, при этом участником должны быть исполнены обязательства в общем (совокупном) объеме не менее 50 % от НМЦ лота за последние 5 (пять) лет, предшествующих дате подачи заявок.</w:t>
            </w:r>
          </w:p>
        </w:tc>
        <w:tc>
          <w:tcPr>
            <w:tcW w:w="8327" w:type="dxa"/>
            <w:tcBorders/>
          </w:tcPr>
          <w:p>
            <w:pPr>
              <w:pStyle w:val="Normal"/>
              <w:widowControl w:val="false"/>
              <w:suppressAutoHyphens w:val="true"/>
              <w:spacing w:before="120" w:after="0"/>
              <w:jc w:val="both"/>
              <w:rPr/>
            </w:pPr>
            <w:r>
              <w:rPr>
                <w:rFonts w:eastAsia="Calibri"/>
                <w:iCs/>
                <w:sz w:val="26"/>
                <w:szCs w:val="26"/>
              </w:rPr>
              <w:t xml:space="preserve">В составе заявки Участник должен предоставить сведения о ранее выполненных договорах по форме «Справка об опыте Участника» </w:t>
            </w:r>
            <w:r>
              <w:rPr>
                <w:rFonts w:eastAsia="Calibri" w:cs=""/>
                <w:iCs/>
                <w:kern w:val="0"/>
                <w:sz w:val="26"/>
                <w:szCs w:val="26"/>
                <w:lang w:val="ru-RU" w:eastAsia="en-US" w:bidi="ar-SA"/>
              </w:rPr>
              <w:t>(форма 6) (</w:t>
            </w:r>
            <w:hyperlink w:anchor="Прил04_ФормыЗаявки">
              <w:r>
                <w:rPr>
                  <w:rStyle w:val="Style14"/>
                  <w:rFonts w:eastAsia="Calibri" w:cs=""/>
                  <w:iCs/>
                  <w:kern w:val="0"/>
                  <w:sz w:val="26"/>
                  <w:szCs w:val="26"/>
                  <w:lang w:val="ru-RU" w:eastAsia="en-US" w:bidi="ar-SA"/>
                </w:rPr>
                <w:t>Приложение № 4</w:t>
              </w:r>
            </w:hyperlink>
            <w:r>
              <w:rPr>
                <w:rFonts w:eastAsia="Calibri" w:cs=""/>
                <w:iCs/>
                <w:kern w:val="0"/>
                <w:sz w:val="26"/>
                <w:szCs w:val="26"/>
                <w:lang w:val="ru-RU" w:eastAsia="en-US" w:bidi="ar-SA"/>
              </w:rPr>
              <w:t>)</w:t>
            </w:r>
            <w:r>
              <w:rPr>
                <w:rFonts w:eastAsia="Calibri"/>
                <w:iCs/>
                <w:sz w:val="26"/>
                <w:szCs w:val="26"/>
              </w:rPr>
              <w:t>, приведенной в Документации о закупке, с обязательным предоставлением подтверждающих наличие требуемого опыта документов, а именно:</w:t>
            </w:r>
          </w:p>
          <w:p>
            <w:pPr>
              <w:pStyle w:val="Normal"/>
              <w:widowControl w:val="false"/>
              <w:suppressAutoHyphens w:val="true"/>
              <w:ind w:left="28" w:hanging="0"/>
              <w:jc w:val="both"/>
              <w:rPr>
                <w:sz w:val="26"/>
                <w:szCs w:val="26"/>
              </w:rPr>
            </w:pPr>
            <w:r>
              <w:rPr>
                <w:rFonts w:eastAsia="Calibri"/>
                <w:iCs/>
                <w:sz w:val="26"/>
                <w:szCs w:val="26"/>
              </w:rPr>
              <w:t>- копии договоров, подписанных с обеих сторон;</w:t>
            </w:r>
          </w:p>
          <w:p>
            <w:pPr>
              <w:pStyle w:val="Normal"/>
              <w:widowControl w:val="false"/>
              <w:suppressAutoHyphens w:val="true"/>
              <w:ind w:left="28" w:hanging="0"/>
              <w:jc w:val="both"/>
              <w:rPr>
                <w:sz w:val="26"/>
                <w:szCs w:val="26"/>
              </w:rPr>
            </w:pPr>
            <w:r>
              <w:rPr>
                <w:rFonts w:eastAsia="Calibri"/>
                <w:iCs/>
                <w:sz w:val="26"/>
                <w:szCs w:val="26"/>
              </w:rPr>
              <w:t>- копии товарных накладных по форме ТОРГ-12 или УПД (Универсальный передаточный документ), подписанных с обеих сторон.</w:t>
            </w:r>
          </w:p>
          <w:p>
            <w:pPr>
              <w:pStyle w:val="Normal"/>
              <w:widowControl w:val="false"/>
              <w:suppressAutoHyphens w:val="true"/>
              <w:jc w:val="both"/>
              <w:rPr>
                <w:sz w:val="26"/>
                <w:szCs w:val="26"/>
              </w:rPr>
            </w:pPr>
            <w:r>
              <w:rPr>
                <w:rFonts w:eastAsia="Calibri" w:cs=""/>
                <w:iCs/>
                <w:kern w:val="0"/>
                <w:sz w:val="26"/>
                <w:szCs w:val="26"/>
                <w:lang w:val="ru-RU" w:eastAsia="en-US" w:bidi="ar-SA"/>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pPr>
        <w:pStyle w:val="Style25"/>
        <w:spacing w:before="360" w:after="120"/>
        <w:rPr/>
      </w:pPr>
      <w:bookmarkStart w:id="336" w:name="_Ref125552455"/>
      <w:bookmarkStart w:id="337" w:name="_Toc228976372"/>
      <w:bookmarkStart w:id="338" w:name="_Ref125709228"/>
      <w:bookmarkStart w:id="339" w:name="_Ref125553703"/>
      <w:bookmarkStart w:id="340" w:name="_Ref125553692"/>
      <w:bookmarkStart w:id="341" w:name="_Ref125553500"/>
      <w:r>
        <w:rPr/>
        <w:t>Дополнительные требования к Коллективным участникам</w:t>
      </w:r>
      <w:bookmarkEnd w:id="336"/>
      <w:bookmarkEnd w:id="337"/>
      <w:bookmarkEnd w:id="338"/>
      <w:bookmarkEnd w:id="339"/>
      <w:bookmarkEnd w:id="340"/>
      <w:bookmarkEnd w:id="341"/>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Коллективному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30"/>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25370156"/>
            <w:bookmarkStart w:id="343" w:name="_Ref125370156"/>
            <w:bookmarkEnd w:id="343"/>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Члены Коллективного участника должны иметь между собой соглашение (или иной документ), соответствующее нормам ГК РФ:</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_Ref125366972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3.2.3</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8" w:type="dxa"/>
            <w:tcBorders/>
          </w:tcPr>
          <w:p>
            <w:pPr>
              <w:pStyle w:val="Style30"/>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25553738"/>
            <w:bookmarkStart w:id="345" w:name="_Ref125553738"/>
            <w:bookmarkEnd w:id="345"/>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0"/>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25370162"/>
            <w:bookmarkStart w:id="347" w:name="_Ref125370162"/>
            <w:bookmarkEnd w:id="347"/>
          </w:p>
        </w:tc>
        <w:tc>
          <w:tcPr>
            <w:tcW w:w="5671"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_Ref125368791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_Ref134705077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3.2.7</w:t>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внутри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25"/>
        <w:spacing w:before="360" w:after="120"/>
        <w:rPr/>
      </w:pPr>
      <w:bookmarkStart w:id="348" w:name="_Ref125362031"/>
      <w:bookmarkStart w:id="349" w:name="_Ref125369117"/>
      <w:bookmarkStart w:id="350" w:name="_Ref125370173"/>
      <w:bookmarkStart w:id="351" w:name="_Ref125370180"/>
      <w:bookmarkStart w:id="352" w:name="_Ref125370209"/>
      <w:bookmarkStart w:id="353" w:name="_Ref125709777"/>
      <w:bookmarkStart w:id="354" w:name="_Ref125709973"/>
      <w:bookmarkStart w:id="355" w:name="_Toc228976373"/>
      <w:bookmarkStart w:id="356" w:name="_Ref125361823"/>
      <w:r>
        <w:rPr/>
        <w:t>Дополнительные требования к Генеральным подрядчикам</w:t>
      </w:r>
      <w:bookmarkEnd w:id="348"/>
      <w:bookmarkEnd w:id="349"/>
      <w:bookmarkEnd w:id="350"/>
      <w:bookmarkEnd w:id="351"/>
      <w:bookmarkEnd w:id="352"/>
      <w:bookmarkEnd w:id="353"/>
      <w:bookmarkEnd w:id="354"/>
      <w:bookmarkEnd w:id="355"/>
      <w:bookmarkEnd w:id="356"/>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0"/>
              <w:widowControl w:val="false"/>
              <w:numPr>
                <w:ilvl w:val="0"/>
                <w:numId w:val="6"/>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7" w:name="_Ref125370187"/>
            <w:bookmarkStart w:id="358" w:name="_Ref125370187"/>
            <w:bookmarkEnd w:id="358"/>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0"/>
              <w:widowControl w:val="false"/>
              <w:numPr>
                <w:ilvl w:val="0"/>
                <w:numId w:val="6"/>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9" w:name="_Ref125370199"/>
            <w:bookmarkStart w:id="360" w:name="_Ref125370199"/>
            <w:bookmarkEnd w:id="360"/>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Генеральный подрядчик должен доказать, что каждый из привлекаемых им субподрядчиков:</w:t>
            </w:r>
          </w:p>
          <w:p>
            <w:pPr>
              <w:pStyle w:val="Style30"/>
              <w:widowControl w:val="false"/>
              <w:numPr>
                <w:ilvl w:val="0"/>
                <w:numId w:val="15"/>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осведомлен о привлечении его в качестве субподрядчика;</w:t>
            </w:r>
          </w:p>
          <w:p>
            <w:pPr>
              <w:pStyle w:val="Style30"/>
              <w:widowControl w:val="false"/>
              <w:numPr>
                <w:ilvl w:val="0"/>
                <w:numId w:val="15"/>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0"/>
              <w:widowControl w:val="false"/>
              <w:numPr>
                <w:ilvl w:val="0"/>
                <w:numId w:val="6"/>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1" w:name="_Ref125370193"/>
            <w:bookmarkStart w:id="362" w:name="_Ref125370193"/>
            <w:bookmarkEnd w:id="362"/>
          </w:p>
        </w:tc>
        <w:tc>
          <w:tcPr>
            <w:tcW w:w="5671"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30"/>
              <w:widowControl w:val="false"/>
              <w:numPr>
                <w:ilvl w:val="0"/>
                <w:numId w:val="6"/>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3" w:name="_Ref125553847"/>
            <w:bookmarkStart w:id="364" w:name="_Ref125553847"/>
            <w:bookmarkEnd w:id="364"/>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p>
            <w:pPr>
              <w:pStyle w:val="Style33"/>
              <w:widowControl w:val="false"/>
              <w:suppressAutoHyphens w:val="true"/>
              <w:spacing w:before="60" w:after="60"/>
              <w:rPr>
                <w:lang w:val="en-US"/>
              </w:rPr>
            </w:pPr>
            <w:r>
              <w:rPr>
                <w:lang w:val="en-US"/>
              </w:rPr>
            </w:r>
          </w:p>
        </w:tc>
      </w:tr>
    </w:tbl>
    <w:p>
      <w:pPr>
        <w:sectPr>
          <w:headerReference w:type="default" r:id="rId20"/>
          <w:headerReference w:type="first" r:id="rId21"/>
          <w:footerReference w:type="default" r:id="rId22"/>
          <w:footerReference w:type="first" r:id="rId2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4"/>
        <w:rPr/>
      </w:pPr>
      <w:bookmarkStart w:id="365" w:name="_Toc228976374"/>
      <w:bookmarkStart w:id="366" w:name="Прил04_ФормыЗаявки"/>
      <w:bookmarkEnd w:id="366"/>
      <w:r>
        <w:rPr/>
        <w:t>Приложение № 4 – Образцы форм документов, включаемых в состав заявки</w:t>
      </w:r>
      <w:bookmarkEnd w:id="365"/>
    </w:p>
    <w:p>
      <w:pPr>
        <w:pStyle w:val="Style25"/>
        <w:rPr/>
      </w:pPr>
      <w:bookmarkStart w:id="367" w:name="_Toc228976375"/>
      <w:r>
        <w:rPr/>
        <w:t>Пояснения к Образцам форм документов, включаемых в состав заявки</w:t>
      </w:r>
      <w:bookmarkEnd w:id="367"/>
    </w:p>
    <w:p>
      <w:pPr>
        <w:pStyle w:val="Style26"/>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4"/>
        <w:rPr/>
      </w:pPr>
      <w:bookmarkStart w:id="368" w:name="_Toc228976376"/>
      <w:bookmarkStart w:id="369" w:name="Прил05_ФормыПобедителя"/>
      <w:bookmarkEnd w:id="369"/>
      <w:r>
        <w:rPr/>
        <w:t>Приложение № 5 – Образцы форм документов, предоставляемых Победителем</w:t>
      </w:r>
      <w:bookmarkEnd w:id="368"/>
    </w:p>
    <w:p>
      <w:pPr>
        <w:pStyle w:val="Style25"/>
        <w:rPr/>
      </w:pPr>
      <w:bookmarkStart w:id="370" w:name="_Toc228976377"/>
      <w:r>
        <w:rPr/>
        <w:t>Пояснения к Образцам форм документов, предоставляемых Победителем</w:t>
      </w:r>
      <w:bookmarkEnd w:id="370"/>
    </w:p>
    <w:p>
      <w:pPr>
        <w:pStyle w:val="Style26"/>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5"/>
        <w:rPr/>
      </w:pPr>
      <w:bookmarkStart w:id="371" w:name="_Toc228976378"/>
      <w:bookmarkStart w:id="372" w:name="_Ref130395470"/>
      <w:r>
        <w:rPr/>
        <w:t>Форма справки «Сведения о цепочке собственников, включая бенефициаров (в том числе конечных)»</w:t>
      </w:r>
      <w:bookmarkEnd w:id="371"/>
      <w:bookmarkEnd w:id="372"/>
    </w:p>
    <w:p>
      <w:pPr>
        <w:pStyle w:val="Style26"/>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6"/>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p>
    <w:p>
      <w:pPr>
        <w:pStyle w:val="Style30"/>
        <w:jc w:val="center"/>
        <w:rPr/>
      </w:pPr>
      <w:r>
        <w:rPr/>
        <w:object>
          <v:shapetype id="_x0000_tole_rId24" coordsize="21600,21600" o:spt="ole_rId2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4" type="_x0000_tole_rId24" style="width:75.65pt;height:49pt;mso-wrap-distance-right:0pt" filled="f" o:ole="">
            <v:imagedata r:id="rId25" o:title=""/>
          </v:shape>
          <o:OLEObject Type="Embed" ProgID="Word.Document.12" ShapeID="ole_rId24" DrawAspect="Icon" ObjectID="_2104296075" r:id="rId24"/>
        </w:object>
      </w:r>
    </w:p>
    <w:p>
      <w:pPr>
        <w:pStyle w:val="Style25"/>
        <w:rPr/>
      </w:pPr>
      <w:bookmarkStart w:id="373" w:name="_Toc228976379"/>
      <w:bookmarkStart w:id="374" w:name="_Ref130395475"/>
      <w:r>
        <w:rPr/>
        <w:t>Форма «Заверение об обстоятельствах»</w:t>
      </w:r>
      <w:bookmarkEnd w:id="373"/>
      <w:bookmarkEnd w:id="374"/>
    </w:p>
    <w:p>
      <w:pPr>
        <w:pStyle w:val="Style26"/>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6"/>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6"/>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6"/>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75" w:name="_MON_1741074184"/>
    </w:p>
    <w:p>
      <w:pPr>
        <w:pStyle w:val="Style30"/>
        <w:spacing w:before="120" w:after="120"/>
        <w:jc w:val="center"/>
        <w:rPr/>
      </w:pPr>
      <w:bookmarkEnd w:id="375"/>
      <w:r>
        <w:rPr/>
        <w:object>
          <v:shapetype id="_x0000_tole_rId26" coordsize="21600,21600" o:spt="ole_rId2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6" type="_x0000_tole_rId26" style="width:79.85pt;height:49pt;mso-wrap-distance-right:0pt;mso-wrap-distance-bottom:6pt" filled="f" o:ole="">
            <v:imagedata r:id="rId27" o:title=""/>
          </v:shape>
          <o:OLEObject Type="Embed" ProgID="Word.Document.12" ShapeID="ole_rId26" DrawAspect="Icon" ObjectID="_1173527601" r:id="rId26"/>
        </w:object>
      </w:r>
    </w:p>
    <w:p>
      <w:pPr>
        <w:pStyle w:val="Style24"/>
        <w:rPr/>
      </w:pPr>
      <w:bookmarkStart w:id="376" w:name="_Toc228976380"/>
      <w:bookmarkStart w:id="377" w:name="_Ref125362865"/>
      <w:bookmarkStart w:id="378" w:name="_Ref125362900"/>
      <w:bookmarkStart w:id="379" w:name="Прил06_СоставЗаявки"/>
      <w:bookmarkEnd w:id="379"/>
      <w:r>
        <w:rPr/>
        <w:t>Приложение № 6 – Состав заявки</w:t>
      </w:r>
      <w:bookmarkEnd w:id="376"/>
      <w:bookmarkEnd w:id="377"/>
      <w:bookmarkEnd w:id="378"/>
    </w:p>
    <w:p>
      <w:pPr>
        <w:pStyle w:val="Style25"/>
        <w:rPr/>
      </w:pPr>
      <w:bookmarkStart w:id="380" w:name="_Toc228976381"/>
      <w:r>
        <w:rPr/>
        <w:t>Состав заявки</w:t>
      </w:r>
      <w:bookmarkEnd w:id="380"/>
    </w:p>
    <w:p>
      <w:pPr>
        <w:pStyle w:val="Style26"/>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4"/>
          </w:rPr>
          <w:t>Приложении № 4</w:t>
        </w:r>
      </w:hyperlink>
      <w:r>
        <w:rPr/>
        <w:t>):</w:t>
      </w:r>
    </w:p>
    <w:tbl>
      <w:tblPr>
        <w:tblStyle w:val="af6"/>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4"/>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1" w:name="_Ref130389408"/>
            <w:bookmarkStart w:id="382" w:name="_Ref130389408"/>
            <w:bookmarkEnd w:id="382"/>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3" w:name="_Ref130389413"/>
            <w:bookmarkStart w:id="384" w:name="_Ref130389413"/>
            <w:bookmarkEnd w:id="384"/>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5" w:name="_Ref130389419"/>
            <w:bookmarkStart w:id="386" w:name="_Ref130389419"/>
            <w:bookmarkEnd w:id="386"/>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_Ref130305355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0"/>
              <w:widowControl w:val="false"/>
              <w:numPr>
                <w:ilvl w:val="0"/>
                <w:numId w:val="10"/>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0"/>
              <w:widowControl w:val="false"/>
              <w:numPr>
                <w:ilvl w:val="0"/>
                <w:numId w:val="10"/>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_Ref125366972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Документации о закупке;</w:t>
            </w:r>
          </w:p>
          <w:p>
            <w:pPr>
              <w:pStyle w:val="Style30"/>
              <w:widowControl w:val="false"/>
              <w:numPr>
                <w:ilvl w:val="0"/>
                <w:numId w:val="10"/>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3.3</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0"/>
              <w:widowControl w:val="false"/>
              <w:numPr>
                <w:ilvl w:val="0"/>
                <w:numId w:val="10"/>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0"/>
              <w:widowControl w:val="false"/>
              <w:numPr>
                <w:ilvl w:val="0"/>
                <w:numId w:val="10"/>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8"/>
          <w:headerReference w:type="first" r:id="rId29"/>
          <w:footerReference w:type="default" r:id="rId30"/>
          <w:footerReference w:type="first" r:id="rId31"/>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6"/>
        <w:rPr>
          <w:rStyle w:val="Style11"/>
          <w:i w:val="false"/>
          <w:i w:val="false"/>
          <w:iCs w:val="false"/>
          <w:shd w:fill="auto" w:val="clear"/>
        </w:rPr>
      </w:pPr>
      <w:r>
        <w:rPr>
          <w:rStyle w:val="Style11"/>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4"/>
        <w:rPr/>
      </w:pPr>
      <w:bookmarkStart w:id="387" w:name="_Ref125365264"/>
      <w:bookmarkStart w:id="388" w:name="_Toc228976382"/>
      <w:bookmarkStart w:id="389" w:name="Прил07_ОтборочныеКритерии"/>
      <w:bookmarkEnd w:id="389"/>
      <w:r>
        <w:rPr/>
        <w:t>Приложение № 7 – Отборочные критерии рассмотрения заявок</w:t>
      </w:r>
      <w:bookmarkEnd w:id="387"/>
      <w:bookmarkEnd w:id="388"/>
    </w:p>
    <w:p>
      <w:pPr>
        <w:pStyle w:val="Style25"/>
        <w:spacing w:before="360" w:after="120"/>
        <w:rPr>
          <w:rStyle w:val="Style11"/>
          <w:i w:val="false"/>
          <w:i w:val="false"/>
          <w:iCs w:val="false"/>
          <w:shd w:fill="auto" w:val="clear"/>
        </w:rPr>
      </w:pPr>
      <w:bookmarkStart w:id="390" w:name="_Toc228976383"/>
      <w:r>
        <w:rPr>
          <w:rStyle w:val="Style11"/>
          <w:i w:val="false"/>
          <w:iCs w:val="false"/>
          <w:shd w:fill="auto" w:val="clear"/>
        </w:rPr>
        <w:t>Отборочные критерии рассмотрения заявок</w:t>
      </w:r>
      <w:bookmarkEnd w:id="390"/>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4"/>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0"/>
              <w:widowControl w:val="false"/>
              <w:suppressAutoHyphens w:val="true"/>
              <w:spacing w:before="60" w:after="60"/>
              <w:jc w:val="center"/>
              <w:rPr>
                <w:rStyle w:val="Style14"/>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4"/>
                  <w:rFonts w:eastAsia="Calibri" w:cs=""/>
                  <w:kern w:val="0"/>
                  <w:sz w:val="26"/>
                  <w:szCs w:val="22"/>
                  <w:lang w:val="ru-RU" w:eastAsia="en-US" w:bidi="ar-SA"/>
                </w:rPr>
                <w:t>Приложение № 6</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0"/>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_Ref186217850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_Ref186217855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 xml:space="preserve">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Коллективного участника установленным в отношении его требованиям:</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_Ref130305355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1"/>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10"/>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_Ref125370156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p>
          <w:p>
            <w:pPr>
              <w:pStyle w:val="Style30"/>
              <w:widowControl w:val="false"/>
              <w:suppressAutoHyphens w:val="true"/>
              <w:spacing w:before="60" w:after="60"/>
              <w:ind w:left="219" w:hanging="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Юр</w:t>
            </w:r>
          </w:p>
        </w:tc>
      </w:tr>
      <w:tr>
        <w:trPr/>
        <w:tc>
          <w:tcPr>
            <w:tcW w:w="1412" w:type="dxa"/>
            <w:tcBorders/>
          </w:tcPr>
          <w:p>
            <w:pPr>
              <w:pStyle w:val="Style30"/>
              <w:widowControl w:val="false"/>
              <w:numPr>
                <w:ilvl w:val="1"/>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10"/>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_Ref125553738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1"/>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10"/>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_Ref125370162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p>
            <w:pPr>
              <w:pStyle w:val="Style30"/>
              <w:widowControl w:val="false"/>
              <w:suppressAutoHyphens w:val="true"/>
              <w:spacing w:before="60" w:after="60"/>
              <w:ind w:left="219" w:hanging="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1"/>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10"/>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1"/>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10"/>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4"/>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0"/>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0"/>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 xml:space="preserve">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0"/>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8"/>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p>
            <w:pPr>
              <w:pStyle w:val="Style30"/>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4"/>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5"/>
        <w:rPr>
          <w:rStyle w:val="Style11"/>
          <w:i w:val="false"/>
          <w:i w:val="false"/>
          <w:iCs w:val="false"/>
          <w:shd w:fill="auto" w:val="clear"/>
        </w:rPr>
      </w:pPr>
      <w:bookmarkStart w:id="391" w:name="_Toc228976384"/>
      <w:r>
        <w:rPr>
          <w:rStyle w:val="Style11"/>
          <w:i w:val="false"/>
          <w:iCs w:val="false"/>
          <w:shd w:fill="auto" w:val="clear"/>
        </w:rPr>
        <w:t>Дополнительные критерии проверки заявок на соответствие условиям Документации о закупке</w:t>
      </w:r>
      <w:bookmarkEnd w:id="391"/>
    </w:p>
    <w:p>
      <w:pPr>
        <w:pStyle w:val="Style30"/>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0"/>
              <w:widowControl w:val="false"/>
              <w:numPr>
                <w:ilvl w:val="0"/>
                <w:numId w:val="14"/>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_Ref132894106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0"/>
        <w:keepNext w:val="true"/>
        <w:tabs>
          <w:tab w:val="clear" w:pos="708"/>
          <w:tab w:val="left" w:pos="851" w:leader="none"/>
        </w:tabs>
        <w:spacing w:before="240" w:after="0"/>
        <w:rPr>
          <w:b/>
          <w:bCs/>
        </w:rPr>
      </w:pPr>
      <w:r>
        <w:rPr>
          <w:b/>
          <w:bCs/>
        </w:rPr>
        <w:t>* Направления оценки заявок:</w:t>
      </w:r>
    </w:p>
    <w:p>
      <w:pPr>
        <w:pStyle w:val="Style30"/>
        <w:tabs>
          <w:tab w:val="clear" w:pos="708"/>
          <w:tab w:val="left" w:pos="1134" w:leader="none"/>
        </w:tabs>
        <w:ind w:left="1701" w:hanging="1701"/>
        <w:rPr/>
      </w:pPr>
      <w:r>
        <w:rPr>
          <w:b/>
          <w:bCs/>
        </w:rPr>
        <w:t>Орг</w:t>
      </w:r>
      <w:r>
        <w:rPr/>
        <w:tab/>
        <w:t>–</w:t>
        <w:tab/>
      </w:r>
      <w:bookmarkStart w:id="392" w:name="_Hlk138342484"/>
      <w:r>
        <w:rPr/>
        <w:t>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392"/>
      <w:r>
        <w:rPr/>
        <w:t xml:space="preserve">; </w:t>
      </w:r>
      <w:bookmarkStart w:id="393" w:name="_Hlk138342546"/>
      <w:r>
        <w:rPr/>
        <w:t xml:space="preserve">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w:t>
      </w:r>
      <w:bookmarkEnd w:id="393"/>
      <w:r>
        <w:rPr/>
        <w:t>,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p>
    <w:p>
      <w:pPr>
        <w:pStyle w:val="Style30"/>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394"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94"/>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395"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395"/>
      <w:r>
        <w:rPr/>
        <w:t>;</w:t>
      </w:r>
    </w:p>
    <w:p>
      <w:pPr>
        <w:pStyle w:val="Style30"/>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0"/>
        <w:keepNext w:val="true"/>
        <w:tabs>
          <w:tab w:val="clear" w:pos="708"/>
          <w:tab w:val="left" w:pos="1134" w:leader="none"/>
        </w:tabs>
        <w:ind w:left="1701" w:hanging="1701"/>
        <w:rPr/>
      </w:pPr>
      <w:r>
        <w:rPr>
          <w:b/>
          <w:bCs/>
        </w:rPr>
        <w:t>Цена</w:t>
      </w:r>
      <w:r>
        <w:rPr/>
        <w:tab/>
        <w:t>–</w:t>
        <w:tab/>
      </w:r>
      <w:bookmarkStart w:id="396" w:name="_Hlk207643647"/>
      <w:r>
        <w:rPr/>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396"/>
      <w:r>
        <w:rPr/>
        <w:t xml:space="preserve"> непревышения ценового предложения участника установленного размера НМЦ;</w:t>
      </w:r>
    </w:p>
    <w:p>
      <w:pPr>
        <w:pStyle w:val="Style30"/>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2"/>
          <w:headerReference w:type="first" r:id="rId33"/>
          <w:footerReference w:type="default" r:id="rId34"/>
          <w:footerReference w:type="first" r:id="rId35"/>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0"/>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4"/>
        <w:rPr/>
      </w:pPr>
      <w:bookmarkStart w:id="397" w:name="_Ref125368172"/>
      <w:bookmarkStart w:id="398" w:name="Прил08_ПорядокОценки"/>
      <w:bookmarkStart w:id="399" w:name="_Toc228976385"/>
      <w:bookmarkStart w:id="400" w:name="_Ref125369438"/>
      <w:bookmarkStart w:id="401" w:name="_Ref125369021"/>
      <w:bookmarkStart w:id="402" w:name="_Ref125368331"/>
      <w:bookmarkStart w:id="403" w:name="_Ref125368313"/>
      <w:bookmarkStart w:id="404" w:name="_Ref125368302"/>
      <w:bookmarkStart w:id="405" w:name="_Ref125368291"/>
      <w:bookmarkStart w:id="406" w:name="_Ref125368283"/>
      <w:bookmarkStart w:id="407" w:name="_Ref125368184"/>
      <w:bookmarkStart w:id="408" w:name="_Ref125368165"/>
      <w:bookmarkStart w:id="409" w:name="_Ref125368150"/>
      <w:bookmarkStart w:id="410" w:name="_Ref125368140"/>
      <w:bookmarkStart w:id="411" w:name="_Ref125366285"/>
      <w:bookmarkStart w:id="412" w:name="_Ref125366280"/>
      <w:bookmarkStart w:id="413" w:name="_Ref125366013"/>
      <w:bookmarkStart w:id="414" w:name="_Ref125361951"/>
      <w:bookmarkStart w:id="415" w:name="_Ref125361648"/>
      <w:bookmarkEnd w:id="398"/>
      <w:r>
        <w:rPr/>
        <w:t>Приложение № 8 – Порядок и критерии оценки и сопоставления заявок</w:t>
      </w:r>
      <w:bookmarkEnd w:id="397"/>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Style25"/>
        <w:rPr/>
      </w:pPr>
      <w:bookmarkStart w:id="416" w:name="_Toc228976386"/>
      <w:r>
        <w:rPr/>
        <w:t>Порядок и критерии оценки и сопоставления заявок</w:t>
      </w:r>
      <w:bookmarkEnd w:id="416"/>
    </w:p>
    <w:p>
      <w:pPr>
        <w:pStyle w:val="Style26"/>
        <w:rPr/>
      </w:pPr>
      <w:r>
        <w:rPr/>
        <w:t>Расчет итоговой оценки предпочтительности каждой заявки, успешно прошедшей отборочную стадию (подраздел </w:t>
      </w:r>
      <w:r>
        <w:rPr/>
        <w:fldChar w:fldCharType="begin"/>
      </w:r>
      <w:r>
        <w:rPr/>
        <w:instrText xml:space="preserve"> REF _Ref125362364 \w \h </w:instrText>
      </w:r>
      <w:r>
        <w:rPr/>
        <w:fldChar w:fldCharType="separate"/>
      </w:r>
      <w:r>
        <w:rPr/>
        <w:t>4.9</w:t>
      </w:r>
      <w:r>
        <w:rPr/>
        <w:fldChar w:fldCharType="end"/>
      </w:r>
      <w:r>
        <w:rPr/>
        <w:t>), осуществляется по следующим критериям оценки и в соответствии со следующим порядком оценки предпочтительности и сопоставления заявок:</w:t>
      </w:r>
    </w:p>
    <w:tbl>
      <w:tblPr>
        <w:tblW w:w="1487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78"/>
        <w:gridCol w:w="1405"/>
        <w:gridCol w:w="1403"/>
        <w:gridCol w:w="1397"/>
        <w:gridCol w:w="1128"/>
        <w:gridCol w:w="1833"/>
        <w:gridCol w:w="6634"/>
      </w:tblGrid>
      <w:tr>
        <w:trPr>
          <w:cantSplit w:val="true"/>
        </w:trPr>
        <w:tc>
          <w:tcPr>
            <w:tcW w:w="1078"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Номер критерия оценки в структуре</w:t>
            </w:r>
          </w:p>
        </w:tc>
        <w:tc>
          <w:tcPr>
            <w:tcW w:w="1405"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Вид критерия оценки / направление оценки заявок</w:t>
            </w:r>
          </w:p>
        </w:tc>
        <w:tc>
          <w:tcPr>
            <w:tcW w:w="2800" w:type="dxa"/>
            <w:gridSpan w:val="2"/>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Наименование критерия оценки</w:t>
            </w:r>
          </w:p>
        </w:tc>
        <w:tc>
          <w:tcPr>
            <w:tcW w:w="1128"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Значимость критерия оценки</w:t>
            </w:r>
          </w:p>
        </w:tc>
        <w:tc>
          <w:tcPr>
            <w:tcW w:w="1833"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Содержание частного критерия оценки</w:t>
            </w:r>
          </w:p>
        </w:tc>
        <w:tc>
          <w:tcPr>
            <w:tcW w:w="6634"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Расчет оценки предпочтительности заявки</w:t>
            </w:r>
          </w:p>
        </w:tc>
      </w:tr>
      <w:tr>
        <w:trPr>
          <w:cantSplit w:val="true"/>
        </w:trPr>
        <w:tc>
          <w:tcPr>
            <w:tcW w:w="1078"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c>
          <w:tcPr>
            <w:tcW w:w="1405"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c>
          <w:tcPr>
            <w:tcW w:w="1403" w:type="dxa"/>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критерий оценки первого уровня</w:t>
            </w:r>
          </w:p>
        </w:tc>
        <w:tc>
          <w:tcPr>
            <w:tcW w:w="1397" w:type="dxa"/>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критерий оценки второго уровня</w:t>
            </w:r>
          </w:p>
        </w:tc>
        <w:tc>
          <w:tcPr>
            <w:tcW w:w="1128"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c>
          <w:tcPr>
            <w:tcW w:w="1833"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c>
          <w:tcPr>
            <w:tcW w:w="6634"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r>
      <w:tr>
        <w:trPr/>
        <w:tc>
          <w:tcPr>
            <w:tcW w:w="1078"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1.</w:t>
            </w:r>
          </w:p>
        </w:tc>
        <w:tc>
          <w:tcPr>
            <w:tcW w:w="1405"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Ценовой (стоимостный) частный критерий оценки первого уровня / ЦЕНА</w:t>
            </w:r>
          </w:p>
        </w:tc>
        <w:tc>
          <w:tcPr>
            <w:tcW w:w="1403"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Цена договора (заявки)</w:t>
            </w:r>
          </w:p>
        </w:tc>
        <w:tc>
          <w:tcPr>
            <w:tcW w:w="1397"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i/>
                <w:i/>
                <w:sz w:val="18"/>
                <w:szCs w:val="18"/>
                <w:lang w:eastAsia="ru-RU"/>
              </w:rPr>
            </w:pPr>
            <w:r>
              <w:rPr>
                <w:i/>
                <w:sz w:val="18"/>
                <w:szCs w:val="18"/>
                <w:lang w:eastAsia="ru-RU"/>
              </w:rPr>
              <w:t>отсутствует</w:t>
            </w:r>
          </w:p>
        </w:tc>
        <w:tc>
          <w:tcPr>
            <w:tcW w:w="1128"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90%</w:t>
              <w:br/>
              <w:t>(В</w:t>
            </w:r>
            <w:r>
              <w:rPr>
                <w:sz w:val="18"/>
                <w:szCs w:val="18"/>
                <w:vertAlign w:val="subscript"/>
                <w:lang w:eastAsia="ru-RU"/>
              </w:rPr>
              <w:t>1</w:t>
            </w:r>
            <w:r>
              <w:rPr>
                <w:sz w:val="18"/>
                <w:szCs w:val="18"/>
                <w:lang w:eastAsia="ru-RU"/>
              </w:rPr>
              <w:t xml:space="preserve"> = 0,90)</w:t>
            </w:r>
          </w:p>
        </w:tc>
        <w:tc>
          <w:tcPr>
            <w:tcW w:w="1833"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Чем меньше цена заявки Участника, тем выше предпочтительность</w:t>
            </w:r>
          </w:p>
        </w:tc>
        <w:tc>
          <w:tcPr>
            <w:tcW w:w="6634"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96" w:after="96"/>
              <w:ind w:left="0" w:hanging="0"/>
              <w:contextualSpacing/>
              <w:jc w:val="left"/>
              <w:rPr>
                <w:sz w:val="18"/>
                <w:szCs w:val="18"/>
                <w:lang w:eastAsia="ru-RU"/>
              </w:rPr>
            </w:pPr>
            <w:r>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pPr>
              <w:pStyle w:val="2"/>
              <w:widowControl w:val="false"/>
              <w:numPr>
                <w:ilvl w:val="0"/>
                <w:numId w:val="0"/>
              </w:numPr>
              <w:spacing w:lineRule="auto" w:line="240" w:before="0" w:after="120"/>
              <w:ind w:left="0" w:hanging="0"/>
              <w:contextualSpacing/>
              <w:jc w:val="center"/>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w:r>
              <w:fldChar w:fldCharType="begin"/>
            </w:r>
            <w:r>
              <w:rPr/>
              <w:instrText xml:space="preserve">vnd.oasis.opendocument.field.UNHANDLED</w:instrText>
            </w:r>
            <w:r>
              <w:rPr/>
            </w:r>
            <w:r>
              <w:rPr/>
              <w:fldChar w:fldCharType="separate"/>
            </w:r>
            <w:r>
              <w:rPr/>
            </w:r>
            <w:r/>
            <w:r>
              <w:rPr/>
              <w:fldChar w:fldCharType="end"/>
            </w:r>
            <w:r>
              <w:rPr/>
            </w:r>
          </w:p>
          <w:p>
            <w:pPr>
              <w:pStyle w:val="2"/>
              <w:widowControl w:val="false"/>
              <w:numPr>
                <w:ilvl w:val="0"/>
                <w:numId w:val="0"/>
              </w:numPr>
              <w:spacing w:lineRule="auto" w:line="240" w:before="96" w:after="0"/>
              <w:ind w:left="0" w:hanging="0"/>
              <w:contextualSpacing/>
              <w:jc w:val="left"/>
              <w:rPr>
                <w:sz w:val="18"/>
                <w:szCs w:val="18"/>
                <w:lang w:eastAsia="ru-RU"/>
              </w:rPr>
            </w:pPr>
            <w:r>
              <w:rPr>
                <w:sz w:val="18"/>
                <w:szCs w:val="18"/>
                <w:lang w:eastAsia="ru-RU"/>
              </w:rPr>
              <w:t>где:</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0"/>
              <w:ind w:left="0" w:hanging="0"/>
              <w:contextualSpacing/>
              <w:jc w:val="left"/>
              <w:rPr>
                <w:sz w:val="18"/>
                <w:szCs w:val="18"/>
                <w:lang w:eastAsia="ru-RU"/>
              </w:rPr>
            </w:pPr>
            <w:r>
              <w:rPr>
                <w:sz w:val="18"/>
                <w:szCs w:val="18"/>
                <w:lang w:eastAsia="ru-RU"/>
              </w:rPr>
              <w:t>Б</w:t>
            </w:r>
            <w:r>
              <w:rPr>
                <w:sz w:val="18"/>
                <w:szCs w:val="18"/>
                <w:vertAlign w:val="subscript"/>
                <w:lang w:eastAsia="ru-RU"/>
              </w:rPr>
              <w:t>1</w:t>
            </w:r>
            <w:r>
              <w:rPr>
                <w:sz w:val="18"/>
                <w:szCs w:val="18"/>
                <w:lang w:eastAsia="ru-RU"/>
              </w:rPr>
              <w:tab/>
              <w:t>–</w:t>
              <w:tab/>
              <w:t>рассчитанная оценка предпочтительности по данному частному критерию оценки в баллах;</w:t>
            </w:r>
          </w:p>
          <w:p>
            <w:pPr>
              <w:pStyle w:val="Normal"/>
              <w:widowControl w:val="false"/>
              <w:spacing w:lineRule="auto" w:line="252"/>
              <w:rPr>
                <w:sz w:val="18"/>
                <w:szCs w:val="18"/>
              </w:rPr>
            </w:pPr>
            <w:r>
              <w:rPr>
                <w:sz w:val="18"/>
                <w:szCs w:val="18"/>
              </w:rPr>
              <w:t>ЦЕНА</w:t>
            </w:r>
            <w:r>
              <w:rPr>
                <w:i/>
                <w:iCs/>
                <w:sz w:val="18"/>
                <w:szCs w:val="18"/>
                <w:vertAlign w:val="subscript"/>
                <w:lang w:val="en-US"/>
              </w:rPr>
              <w:t>i</w:t>
            </w:r>
            <w:r>
              <w:rPr>
                <w:sz w:val="18"/>
                <w:szCs w:val="18"/>
              </w:rPr>
              <w:t xml:space="preserve">  – </w:t>
            </w:r>
            <w:r>
              <w:rPr>
                <w:rFonts w:eastAsia="Calibri"/>
                <w:sz w:val="18"/>
                <w:szCs w:val="16"/>
              </w:rPr>
              <w:t xml:space="preserve">цена договора (заявки), указанная в </w:t>
            </w:r>
            <w:r>
              <w:rPr>
                <w:rFonts w:eastAsia="Calibri"/>
                <w:sz w:val="18"/>
                <w:szCs w:val="16"/>
                <w:lang w:val="en-US"/>
              </w:rPr>
              <w:t>i</w:t>
            </w:r>
            <w:r>
              <w:rPr>
                <w:rFonts w:eastAsia="Calibri"/>
                <w:sz w:val="18"/>
                <w:szCs w:val="16"/>
              </w:rPr>
              <w:t xml:space="preserve">-той заявке (в Коммерческом предложении по установленной в документации о закупке форме (форма 3) допущенного участника, </w:t>
            </w:r>
            <w:r>
              <w:rPr>
                <w:sz w:val="18"/>
                <w:szCs w:val="18"/>
              </w:rPr>
              <w:t>руб. без учета НДС ;</w:t>
            </w:r>
          </w:p>
          <w:p>
            <w:pPr>
              <w:pStyle w:val="Normal"/>
              <w:widowControl w:val="false"/>
              <w:spacing w:lineRule="auto" w:line="252"/>
              <w:rPr>
                <w:sz w:val="18"/>
                <w:szCs w:val="18"/>
              </w:rPr>
            </w:pPr>
            <w:r>
              <w:rPr>
                <w:sz w:val="18"/>
                <w:szCs w:val="18"/>
              </w:rPr>
              <w:t>ЦЕНА</w:t>
            </w:r>
            <w:r>
              <w:rPr>
                <w:vertAlign w:val="subscript"/>
                <w:lang w:val="en-US"/>
              </w:rPr>
              <w:t>min</w:t>
            </w:r>
            <w:r>
              <w:rPr>
                <w:vertAlign w:val="subscript"/>
              </w:rPr>
              <w:t xml:space="preserve"> </w:t>
            </w:r>
            <w:r>
              <w:rPr>
                <w:sz w:val="18"/>
                <w:szCs w:val="18"/>
              </w:rPr>
              <w:t>– минимальная цена договора (заявки) среди всех допущенных заявок участников, руб. без учета НДС;</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0"/>
              <w:ind w:left="0" w:hanging="0"/>
              <w:contextualSpacing/>
              <w:jc w:val="left"/>
              <w:rPr>
                <w:sz w:val="18"/>
                <w:szCs w:val="18"/>
                <w:lang w:eastAsia="ru-RU"/>
              </w:rPr>
            </w:pPr>
            <w:r>
              <w:rPr>
                <w:sz w:val="18"/>
                <w:szCs w:val="18"/>
                <w:lang w:eastAsia="ru-RU"/>
              </w:rPr>
              <w:t>Ш</w:t>
              <w:tab/>
              <w:t>–</w:t>
              <w:tab/>
              <w:t>максимально возможный балл (максимальная возможная оценка предпочтительности) по шкале оценок (Ш = 5).</w:t>
            </w:r>
          </w:p>
          <w:p>
            <w:pPr>
              <w:pStyle w:val="3"/>
              <w:widowControl w:val="false"/>
              <w:numPr>
                <w:ilvl w:val="0"/>
                <w:numId w:val="0"/>
              </w:numPr>
              <w:spacing w:lineRule="auto" w:line="240" w:before="96" w:after="96"/>
              <w:ind w:left="0" w:hanging="0"/>
              <w:contextualSpacing/>
              <w:jc w:val="left"/>
              <w:rPr>
                <w:sz w:val="18"/>
                <w:szCs w:val="18"/>
                <w:lang w:eastAsia="ru-RU"/>
              </w:rPr>
            </w:pPr>
            <w:r>
              <w:rPr>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18"/>
              </w:rPr>
              <w:t>.</w:t>
            </w:r>
          </w:p>
          <w:p>
            <w:pPr>
              <w:pStyle w:val="3"/>
              <w:widowControl w:val="false"/>
              <w:numPr>
                <w:ilvl w:val="0"/>
                <w:numId w:val="0"/>
              </w:numPr>
              <w:spacing w:lineRule="auto" w:line="240" w:before="96" w:after="96"/>
              <w:ind w:left="0" w:hanging="0"/>
              <w:contextualSpacing/>
              <w:jc w:val="left"/>
              <w:rPr>
                <w:sz w:val="18"/>
                <w:szCs w:val="18"/>
                <w:lang w:eastAsia="ru-RU"/>
              </w:rPr>
            </w:pPr>
            <w:r>
              <w:rPr>
                <w:sz w:val="18"/>
                <w:szCs w:val="18"/>
                <w:lang w:eastAsia="ru-RU"/>
              </w:rPr>
              <w:t>Шкала оценок от 0 до 5 баллов.</w:t>
            </w:r>
          </w:p>
        </w:tc>
      </w:tr>
      <w:tr>
        <w:trPr/>
        <w:tc>
          <w:tcPr>
            <w:tcW w:w="1078"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2.</w:t>
            </w:r>
          </w:p>
        </w:tc>
        <w:tc>
          <w:tcPr>
            <w:tcW w:w="1405"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Неценовой критерий оценки первого уровня / ТЕХ</w:t>
            </w:r>
          </w:p>
        </w:tc>
        <w:tc>
          <w:tcPr>
            <w:tcW w:w="1403"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Квалификация (предпочти-тельность) Участника</w:t>
            </w:r>
          </w:p>
        </w:tc>
        <w:tc>
          <w:tcPr>
            <w:tcW w:w="1397"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i/>
                <w:sz w:val="18"/>
                <w:szCs w:val="18"/>
                <w:lang w:eastAsia="ru-RU"/>
              </w:rPr>
              <w:t>отсутствует</w:t>
            </w:r>
          </w:p>
        </w:tc>
        <w:tc>
          <w:tcPr>
            <w:tcW w:w="1128"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10%</w:t>
              <w:br/>
              <w:t>(В</w:t>
            </w:r>
            <w:r>
              <w:rPr>
                <w:sz w:val="18"/>
                <w:szCs w:val="18"/>
                <w:vertAlign w:val="subscript"/>
                <w:lang w:eastAsia="ru-RU"/>
              </w:rPr>
              <w:t>2</w:t>
            </w:r>
            <w:r>
              <w:rPr>
                <w:sz w:val="18"/>
                <w:szCs w:val="18"/>
                <w:lang w:eastAsia="ru-RU"/>
              </w:rPr>
              <w:t xml:space="preserve"> = 0,10)</w:t>
            </w:r>
          </w:p>
        </w:tc>
        <w:tc>
          <w:tcPr>
            <w:tcW w:w="1833"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Чем больше опыт (до оцениваемого предела), тем выше предпочтительность</w:t>
            </w:r>
          </w:p>
        </w:tc>
        <w:tc>
          <w:tcPr>
            <w:tcW w:w="6634"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96" w:after="96"/>
              <w:ind w:left="0" w:hanging="0"/>
              <w:contextualSpacing/>
              <w:jc w:val="left"/>
              <w:rPr>
                <w:sz w:val="18"/>
                <w:szCs w:val="18"/>
                <w:lang w:eastAsia="ru-RU"/>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3"/>
              <w:widowControl w:val="false"/>
              <w:numPr>
                <w:ilvl w:val="0"/>
                <w:numId w:val="0"/>
              </w:numPr>
              <w:spacing w:lineRule="auto" w:line="240" w:before="40" w:after="40"/>
              <w:ind w:left="0" w:hanging="0"/>
              <w:contextualSpacing/>
              <w:jc w:val="left"/>
              <w:rPr>
                <w:sz w:val="18"/>
                <w:szCs w:val="18"/>
                <w:lang w:eastAsia="ru-RU"/>
              </w:rPr>
            </w:pPr>
            <w:r>
              <w:rPr>
                <w:sz w:val="18"/>
                <w:szCs w:val="18"/>
                <w:lang w:eastAsia="ru-RU"/>
              </w:rPr>
              <w:t xml:space="preserve">Порядок осуществления оценки (значение оцениваемого параметра), в зависимости от предоставленных в </w:t>
            </w:r>
            <w:r>
              <w:rPr>
                <w:i/>
                <w:sz w:val="18"/>
                <w:szCs w:val="18"/>
                <w:lang w:val="en-US" w:eastAsia="ru-RU"/>
              </w:rPr>
              <w:t>i</w:t>
            </w:r>
            <w:r>
              <w:rPr>
                <w:sz w:val="18"/>
                <w:szCs w:val="18"/>
                <w:lang w:eastAsia="ru-RU"/>
              </w:rPr>
              <w:t>-ой заявке документов, подтверждающих опыт, требуемый в соответствии п. 4 ТТ, на общую сумму:</w:t>
            </w:r>
          </w:p>
          <w:tbl>
            <w:tblPr>
              <w:tblW w:w="641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82"/>
              <w:gridCol w:w="5529"/>
            </w:tblGrid>
            <w:tr>
              <w:trPr>
                <w:cantSplit w:val="true"/>
              </w:trPr>
              <w:tc>
                <w:tcPr>
                  <w:tcW w:w="882" w:type="dxa"/>
                  <w:tcBorders>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0</w:t>
                  </w:r>
                </w:p>
              </w:tc>
              <w:tc>
                <w:tcPr>
                  <w:tcW w:w="5529" w:type="dxa"/>
                  <w:tcBorders>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До 13 618 026,67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1</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Более 13 618 026,67 руб., без учета НДС, но менее 17 022 533,34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2</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Более 17 022 533,34 руб., без учета НДС, но менее 20 427 040,01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3</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Более 20 427 040,01 руб., без учета НДС, но менее 23 831 546,67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4</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Более 23 831 546,67 руб., без учета НДС, но менее 27 236 053,34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5</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sz w:val="18"/>
                      <w:szCs w:val="18"/>
                      <w:lang w:eastAsia="ru-RU"/>
                    </w:rPr>
                    <w:t>Более 27 236 053,34 руб., без учета НДС.</w:t>
                  </w:r>
                  <w:bookmarkStart w:id="417" w:name="_GoBack"/>
                  <w:bookmarkEnd w:id="417"/>
                </w:p>
              </w:tc>
            </w:tr>
          </w:tbl>
          <w:p>
            <w:pPr>
              <w:pStyle w:val="2"/>
              <w:widowControl w:val="false"/>
              <w:numPr>
                <w:ilvl w:val="0"/>
                <w:numId w:val="0"/>
              </w:numPr>
              <w:spacing w:lineRule="auto" w:line="240" w:before="96" w:after="0"/>
              <w:ind w:left="0" w:hanging="0"/>
              <w:contextualSpacing/>
              <w:jc w:val="left"/>
              <w:rPr>
                <w:sz w:val="18"/>
                <w:szCs w:val="18"/>
                <w:lang w:eastAsia="ru-RU"/>
              </w:rPr>
            </w:pPr>
            <w:r>
              <w:rPr>
                <w:sz w:val="18"/>
                <w:szCs w:val="18"/>
                <w:lang w:eastAsia="ru-RU"/>
              </w:rPr>
              <w:t>где:</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0"/>
              <w:ind w:left="0" w:hanging="0"/>
              <w:contextualSpacing/>
              <w:jc w:val="left"/>
              <w:rPr>
                <w:sz w:val="18"/>
                <w:szCs w:val="18"/>
                <w:lang w:eastAsia="ru-RU"/>
              </w:rPr>
            </w:pPr>
            <w:r>
              <w:rPr>
                <w:sz w:val="18"/>
                <w:szCs w:val="18"/>
                <w:lang w:eastAsia="ru-RU"/>
              </w:rPr>
              <w:t>Б</w:t>
            </w:r>
            <w:r>
              <w:rPr>
                <w:sz w:val="18"/>
                <w:szCs w:val="18"/>
                <w:vertAlign w:val="subscript"/>
                <w:lang w:eastAsia="ru-RU"/>
              </w:rPr>
              <w:t>2</w:t>
            </w:r>
            <w:r>
              <w:rPr>
                <w:sz w:val="18"/>
                <w:szCs w:val="18"/>
                <w:lang w:eastAsia="ru-RU"/>
              </w:rPr>
              <w:tab/>
              <w:t>–</w:t>
              <w:tab/>
              <w:t>рассчитанная оценка предпочтительности по данному частному критерию оценки в баллах.</w:t>
            </w:r>
          </w:p>
          <w:p>
            <w:pPr>
              <w:pStyle w:val="3"/>
              <w:widowControl w:val="false"/>
              <w:numPr>
                <w:ilvl w:val="0"/>
                <w:numId w:val="0"/>
              </w:numPr>
              <w:spacing w:lineRule="auto" w:line="240" w:before="40" w:after="40"/>
              <w:ind w:left="0" w:hanging="0"/>
              <w:contextualSpacing/>
              <w:jc w:val="left"/>
              <w:rPr>
                <w:sz w:val="18"/>
                <w:szCs w:val="18"/>
                <w:lang w:eastAsia="ru-RU"/>
              </w:rPr>
            </w:pPr>
            <w:r>
              <w:rPr>
                <w:sz w:val="18"/>
                <w:szCs w:val="18"/>
                <w:lang w:eastAsia="ru-RU"/>
              </w:rPr>
              <w:t>Опыт, несоответствующий установленным в документации о закупке требованиям (п. 4 ТТ), не оценивается.</w:t>
            </w:r>
          </w:p>
          <w:p>
            <w:pPr>
              <w:pStyle w:val="3"/>
              <w:widowControl w:val="false"/>
              <w:numPr>
                <w:ilvl w:val="0"/>
                <w:numId w:val="0"/>
              </w:numPr>
              <w:spacing w:lineRule="auto" w:line="240" w:before="40" w:after="40"/>
              <w:ind w:left="0" w:hanging="0"/>
              <w:contextualSpacing/>
              <w:jc w:val="left"/>
              <w:rPr>
                <w:sz w:val="18"/>
                <w:szCs w:val="18"/>
                <w:lang w:eastAsia="ru-RU"/>
              </w:rPr>
            </w:pPr>
            <w:r>
              <w:rPr>
                <w:sz w:val="18"/>
                <w:szCs w:val="18"/>
                <w:lang w:eastAsia="ru-RU"/>
              </w:rPr>
              <w:t>Шкала оценок от 0 до 5 баллов.</w:t>
            </w:r>
          </w:p>
        </w:tc>
      </w:tr>
      <w:tr>
        <w:trPr>
          <w:cantSplit w:val="true"/>
        </w:trPr>
        <w:tc>
          <w:tcPr>
            <w:tcW w:w="5283"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right"/>
              <w:rPr>
                <w:sz w:val="18"/>
                <w:szCs w:val="18"/>
                <w:lang w:eastAsia="ru-RU"/>
              </w:rPr>
            </w:pPr>
            <w:r>
              <w:rPr>
                <w:sz w:val="18"/>
                <w:szCs w:val="18"/>
                <w:lang w:eastAsia="ru-RU"/>
              </w:rPr>
              <w:t>Итоговая оценка предпочтительности заявки:</w:t>
            </w:r>
          </w:p>
        </w:tc>
        <w:tc>
          <w:tcPr>
            <w:tcW w:w="9595" w:type="dxa"/>
            <w:gridSpan w:val="3"/>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before="40" w:after="0"/>
              <w:rPr>
                <w:sz w:val="18"/>
                <w:szCs w:val="18"/>
              </w:rPr>
            </w:pPr>
            <w:r>
              <w:rPr>
                <w:sz w:val="18"/>
                <w:szCs w:val="18"/>
              </w:rPr>
              <w:t xml:space="preserve">Расчет итоговой оценки предпочтительности </w:t>
            </w:r>
            <w:r>
              <w:rPr>
                <w:i/>
                <w:sz w:val="18"/>
                <w:szCs w:val="18"/>
                <w:lang w:val="en-US"/>
              </w:rPr>
              <w:t>i</w:t>
            </w:r>
            <w:r>
              <w:rPr>
                <w:sz w:val="18"/>
                <w:szCs w:val="18"/>
              </w:rPr>
              <w:t>-ой заявки:</w:t>
            </w:r>
          </w:p>
          <w:p>
            <w:pPr>
              <w:pStyle w:val="Normal"/>
              <w:keepNext w:val="true"/>
              <w:widowControl w:val="false"/>
              <w:jc w:val="center"/>
              <w:rPr>
                <w:sz w:val="18"/>
                <w:szCs w:val="18"/>
              </w:rPr>
            </w:pPr>
            <w:r>
              <w:rPr>
                <w:sz w:val="18"/>
                <w:szCs w:val="18"/>
              </w:rPr>
            </w:r>
          </w:p>
          <w:p>
            <w:pPr>
              <w:pStyle w:val="Normal"/>
              <w:keepNext w:val="true"/>
              <w:widowControl w:val="false"/>
              <w:spacing w:before="96" w:after="0"/>
              <w:jc w:val="center"/>
              <w:rPr>
                <w:sz w:val="20"/>
                <w:szCs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spacing w:before="96" w:after="0"/>
              <w:rPr>
                <w:sz w:val="18"/>
                <w:szCs w:val="18"/>
              </w:rPr>
            </w:pPr>
            <w:r>
              <w:rPr>
                <w:sz w:val="18"/>
                <w:szCs w:val="18"/>
              </w:rPr>
              <w:t>где:</w:t>
            </w:r>
          </w:p>
          <w:p>
            <w:pPr>
              <w:pStyle w:val="Normal"/>
              <w:widowControl w:val="false"/>
              <w:tabs>
                <w:tab w:val="clear" w:pos="708"/>
                <w:tab w:val="left" w:pos="742" w:leader="none"/>
                <w:tab w:val="left" w:pos="1167" w:leader="none"/>
              </w:tabs>
              <w:rPr>
                <w:sz w:val="18"/>
                <w:szCs w:val="18"/>
              </w:rPr>
            </w:pPr>
            <w:r>
              <w:rPr>
                <w:sz w:val="18"/>
                <w:szCs w:val="18"/>
              </w:rPr>
              <w:t>Б</w:t>
            </w:r>
            <w:r>
              <w:rPr>
                <w:sz w:val="18"/>
                <w:szCs w:val="18"/>
                <w:vertAlign w:val="subscript"/>
              </w:rPr>
              <w:t>ИТОГ</w:t>
            </w:r>
            <w:r>
              <w:rPr>
                <w:sz w:val="18"/>
                <w:szCs w:val="18"/>
              </w:rPr>
              <w:tab/>
              <w:t>–</w:t>
              <w:tab/>
              <w:t>рассчитанная итоговая оценка предпочтительности в баллах;</w:t>
            </w:r>
          </w:p>
          <w:p>
            <w:pPr>
              <w:pStyle w:val="Normal"/>
              <w:widowControl w:val="false"/>
              <w:tabs>
                <w:tab w:val="clear" w:pos="708"/>
                <w:tab w:val="left" w:pos="742" w:leader="none"/>
                <w:tab w:val="left" w:pos="1167" w:leader="none"/>
              </w:tabs>
              <w:rPr>
                <w:sz w:val="18"/>
                <w:szCs w:val="18"/>
              </w:rPr>
            </w:pPr>
            <w:r>
              <w:rPr>
                <w:sz w:val="18"/>
                <w:szCs w:val="18"/>
              </w:rPr>
              <w:t>Б</w:t>
            </w:r>
            <w:r>
              <w:rPr>
                <w:sz w:val="18"/>
                <w:szCs w:val="18"/>
                <w:vertAlign w:val="subscript"/>
              </w:rPr>
              <w:t>1 уровень k</w:t>
            </w:r>
            <w:r>
              <w:rPr>
                <w:sz w:val="18"/>
                <w:szCs w:val="18"/>
              </w:rPr>
              <w:tab/>
              <w:t>–</w:t>
              <w:tab/>
              <w:t>оценка предпочтительности по k-тому критерию оценки первого уровня в баллах;</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120"/>
              <w:ind w:left="0" w:hanging="0"/>
              <w:contextualSpacing/>
              <w:jc w:val="left"/>
              <w:rPr>
                <w:sz w:val="18"/>
                <w:szCs w:val="18"/>
                <w:lang w:eastAsia="ru-RU"/>
              </w:rPr>
            </w:pPr>
            <w:r>
              <w:rPr>
                <w:sz w:val="18"/>
                <w:szCs w:val="18"/>
              </w:rPr>
              <w:t>В</w:t>
            </w:r>
            <w:r>
              <w:rPr>
                <w:sz w:val="18"/>
                <w:szCs w:val="18"/>
                <w:vertAlign w:val="subscript"/>
              </w:rPr>
              <w:t>1 уровень k</w:t>
            </w:r>
            <w:r>
              <w:rPr>
                <w:sz w:val="18"/>
                <w:szCs w:val="18"/>
              </w:rPr>
              <w:tab/>
              <w:t>–</w:t>
              <w:tab/>
              <w:t xml:space="preserve">значимость k-ого критерия оценки первого уровня, выраженная в диапазоне от 1% до 100% (или от 0,01 до 1,00) – вес k-ого критерия оценки первого уровня. </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120"/>
              <w:ind w:left="0" w:hanging="0"/>
              <w:contextualSpacing/>
              <w:jc w:val="left"/>
              <w:rPr>
                <w:sz w:val="18"/>
                <w:szCs w:val="18"/>
                <w:lang w:eastAsia="ru-RU"/>
              </w:rPr>
            </w:pPr>
            <w:r>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6"/>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6"/>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pStyle w:val="Style26"/>
        <w:rPr/>
      </w:pPr>
      <w:r>
        <w:rPr/>
        <w:t>Заявки участников (из числа успешно прошедших отборочную стадию) ранжируются по количеству набранных баллов (от наибольшего к наименьшему), присвоенных заявкам по результатам оценки.</w:t>
      </w:r>
    </w:p>
    <w:p>
      <w:pPr>
        <w:pStyle w:val="Style24"/>
        <w:rPr/>
      </w:pPr>
      <w:bookmarkStart w:id="418" w:name="_Ref125360420"/>
      <w:bookmarkStart w:id="419" w:name="Прил09_ОбоснованиеНМЦ"/>
      <w:bookmarkStart w:id="420" w:name="_Toc228976388"/>
      <w:bookmarkStart w:id="421" w:name="_Toc136249260"/>
      <w:bookmarkStart w:id="422" w:name="_Toc136261689"/>
      <w:bookmarkStart w:id="423" w:name="_Toc136261766"/>
      <w:bookmarkStart w:id="424" w:name="_Toc136249261"/>
      <w:bookmarkStart w:id="425" w:name="_Toc136261690"/>
      <w:bookmarkStart w:id="426" w:name="_Toc136261767"/>
      <w:bookmarkStart w:id="427" w:name="_Toc136249262"/>
      <w:bookmarkStart w:id="428" w:name="_Toc136261691"/>
      <w:bookmarkStart w:id="429" w:name="_Toc136261768"/>
      <w:bookmarkStart w:id="430" w:name="_Toc136249263"/>
      <w:bookmarkStart w:id="431" w:name="_Toc136261692"/>
      <w:bookmarkStart w:id="432" w:name="_Toc136261769"/>
      <w:bookmarkEnd w:id="421"/>
      <w:bookmarkEnd w:id="422"/>
      <w:bookmarkEnd w:id="423"/>
      <w:bookmarkEnd w:id="424"/>
      <w:bookmarkEnd w:id="425"/>
      <w:bookmarkEnd w:id="426"/>
      <w:bookmarkEnd w:id="427"/>
      <w:bookmarkEnd w:id="428"/>
      <w:bookmarkEnd w:id="429"/>
      <w:bookmarkEnd w:id="430"/>
      <w:bookmarkEnd w:id="431"/>
      <w:bookmarkEnd w:id="432"/>
      <w:r>
        <w:rPr/>
        <w:t>Приложение № 9 – Обоснование НМЦ</w:t>
      </w:r>
      <w:bookmarkEnd w:id="418"/>
      <w:bookmarkEnd w:id="419"/>
      <w:bookmarkEnd w:id="420"/>
    </w:p>
    <w:p>
      <w:pPr>
        <w:pStyle w:val="Style25"/>
        <w:rPr/>
      </w:pPr>
      <w:bookmarkStart w:id="433" w:name="_Toc228976389"/>
      <w:r>
        <w:rPr/>
        <w:t>Пояснения к Обоснованию НМЦ</w:t>
      </w:r>
      <w:bookmarkEnd w:id="433"/>
    </w:p>
    <w:p>
      <w:pPr>
        <w:pStyle w:val="Style26"/>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4"/>
        <w:rPr/>
      </w:pPr>
      <w:bookmarkStart w:id="434" w:name="_Toc228976390"/>
      <w:bookmarkStart w:id="435" w:name="Прил10_ЗаявкаНаАккредитацию"/>
      <w:bookmarkEnd w:id="435"/>
      <w:r>
        <w:rPr/>
        <w:t>Приложение № 10 – Форма Заявки на аккредитацию</w:t>
      </w:r>
      <w:bookmarkEnd w:id="434"/>
    </w:p>
    <w:p>
      <w:pPr>
        <w:pStyle w:val="Style25"/>
        <w:rPr/>
      </w:pPr>
      <w:bookmarkStart w:id="436" w:name="_Toc228976391"/>
      <w:r>
        <w:rPr/>
        <w:t>Пояснения к форме Заявки на аккредитацию</w:t>
      </w:r>
      <w:bookmarkEnd w:id="436"/>
    </w:p>
    <w:p>
      <w:pPr>
        <w:pStyle w:val="Style26"/>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6"/>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37"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37"/>
      <w:r>
        <w:rPr/>
        <w:t>.</w:t>
      </w:r>
    </w:p>
    <w:p>
      <w:pPr>
        <w:pStyle w:val="Style30"/>
        <w:jc w:val="center"/>
        <w:rPr/>
      </w:pPr>
      <w:r>
        <w:rPr/>
        <w:object>
          <v:shapetype id="_x0000_tole_rId36" coordsize="21600,21600" o:spt="ole_rId3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6" type="_x0000_tole_rId36" style="width:78.65pt;height:49pt;mso-wrap-distance-right:0pt" filled="f" o:ole="">
            <v:imagedata r:id="rId37" o:title=""/>
          </v:shape>
          <o:OLEObject Type="Embed" ProgID="Excel.Sheet.12" ShapeID="ole_rId36" DrawAspect="Icon" ObjectID="_355713985" r:id="rId36"/>
        </w:object>
      </w:r>
    </w:p>
    <w:p>
      <w:pPr>
        <w:pStyle w:val="Style24"/>
        <w:rPr/>
      </w:pPr>
      <w:bookmarkStart w:id="438" w:name="_Toc228976392"/>
      <w:bookmarkStart w:id="439" w:name="Прил11_Данные_бухотчетность"/>
      <w:r>
        <w:rPr/>
        <w:t xml:space="preserve">Приложение № 11 </w:t>
      </w:r>
      <w:bookmarkEnd w:id="439"/>
      <w:r>
        <w:rPr/>
        <w:t>– форма Данных бухгалтерской (финансовой) отчетности</w:t>
      </w:r>
      <w:bookmarkEnd w:id="438"/>
    </w:p>
    <w:p>
      <w:pPr>
        <w:pStyle w:val="Style25"/>
        <w:rPr/>
      </w:pPr>
      <w:bookmarkStart w:id="440" w:name="_Toc228976393"/>
      <w:r>
        <w:rPr/>
        <w:t>Пояснения к форме Данных бухгалтерской (финансовой) отчетности</w:t>
      </w:r>
      <w:bookmarkEnd w:id="440"/>
      <w:r>
        <w:rPr/>
        <w:t xml:space="preserve"> </w:t>
      </w:r>
    </w:p>
    <w:p>
      <w:pPr>
        <w:pStyle w:val="Style26"/>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41" w:name="_MON_1821256687"/>
      <w:bookmarkStart w:id="442" w:name="_MON_1821256687"/>
      <w:bookmarkEnd w:id="442"/>
    </w:p>
    <w:p>
      <w:pPr>
        <w:pStyle w:val="Normal"/>
        <w:jc w:val="center"/>
        <w:rPr/>
      </w:pPr>
      <w:bookmarkStart w:id="443" w:name="_Hlk210644436"/>
      <w:bookmarkStart w:id="444" w:name="_MON_1821256687_Копия_1"/>
      <w:bookmarkEnd w:id="444"/>
      <w:r>
        <w:rPr/>
        <w:object>
          <v:shapetype id="_x0000_tole_rId38" coordsize="21600,21600" o:spt="ole_rId3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8" type="_x0000_tole_rId38" style="width:78.05pt;height:49.6pt;mso-wrap-distance-right:0pt" filled="f" o:ole="">
            <v:imagedata r:id="rId39" o:title=""/>
          </v:shape>
          <o:OLEObject Type="Embed" ProgID="Word.Document.12" ShapeID="ole_rId38" DrawAspect="Icon" ObjectID="_639403605" r:id="rId38"/>
        </w:object>
      </w:r>
      <w:bookmarkEnd w:id="443"/>
    </w:p>
    <w:p>
      <w:pPr>
        <w:pStyle w:val="Normal"/>
        <w:jc w:val="center"/>
        <w:rPr/>
      </w:pPr>
      <w:r>
        <w:rPr/>
      </w:r>
    </w:p>
    <w:sectPr>
      <w:headerReference w:type="default" r:id="rId40"/>
      <w:headerReference w:type="first" r:id="rId41"/>
      <w:footerReference w:type="default" r:id="rId42"/>
      <w:footerReference w:type="first" r:id="rId43"/>
      <w:footnotePr>
        <w:numFmt w:val="decimal"/>
      </w:footnotePr>
      <w:type w:val="nextPage"/>
      <w:pgSz w:orient="landscape" w:w="16838" w:h="11906"/>
      <w:pgMar w:left="1103" w:right="847" w:gutter="0" w:header="567" w:top="1134" w:footer="567"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41828960"/>
    </w:sdtPr>
    <w:sdtContent>
      <w:p>
        <w:pPr>
          <w:pStyle w:val="Footer"/>
          <w:spacing w:before="120" w:after="0"/>
          <w:rPr/>
        </w:pPr>
        <w:r>
          <w:rPr/>
          <w:fldChar w:fldCharType="begin"/>
        </w:r>
        <w:r>
          <w:rPr/>
          <w:instrText xml:space="preserve"> PAGE </w:instrText>
        </w:r>
        <w:r>
          <w:rPr/>
          <w:fldChar w:fldCharType="separate"/>
        </w:r>
        <w:r>
          <w:rPr/>
          <w:t>2</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96020621"/>
    </w:sdtPr>
    <w:sdtContent>
      <w:p>
        <w:pPr>
          <w:pStyle w:val="Footer"/>
          <w:spacing w:before="120" w:after="0"/>
          <w:rPr/>
        </w:pPr>
        <w:r>
          <w:rPr/>
          <w:fldChar w:fldCharType="begin"/>
        </w:r>
        <w:r>
          <w:rPr/>
          <w:instrText xml:space="preserve"> PAGE </w:instrText>
        </w:r>
        <w:r>
          <w:rPr/>
          <w:fldChar w:fldCharType="separate"/>
        </w:r>
        <w:r>
          <w:rPr/>
          <w:t>77</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51789842"/>
    </w:sdtPr>
    <w:sdtContent>
      <w:p>
        <w:pPr>
          <w:pStyle w:val="Footer"/>
          <w:spacing w:before="120" w:after="0"/>
          <w:rPr/>
        </w:pPr>
        <w:r>
          <w:rPr/>
          <w:fldChar w:fldCharType="begin"/>
        </w:r>
        <w:r>
          <w:rPr/>
          <w:instrText xml:space="preserve"> PAGE </w:instrText>
        </w:r>
        <w:r>
          <w:rPr/>
          <w:fldChar w:fldCharType="separate"/>
        </w:r>
        <w:r>
          <w:rPr/>
          <w:t>82</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53483858"/>
    </w:sdtPr>
    <w:sdtContent>
      <w:p>
        <w:pPr>
          <w:pStyle w:val="Footer"/>
          <w:spacing w:before="120" w:after="0"/>
          <w:rPr/>
        </w:pPr>
        <w:r>
          <w:rPr/>
          <w:fldChar w:fldCharType="begin"/>
        </w:r>
        <w:r>
          <w:rPr/>
          <w:instrText xml:space="preserve"> PAGE </w:instrText>
        </w:r>
        <w:r>
          <w:rPr/>
          <w:fldChar w:fldCharType="separate"/>
        </w:r>
        <w:r>
          <w:rPr/>
          <w:t>26</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98935219"/>
    </w:sdtPr>
    <w:sdtContent>
      <w:p>
        <w:pPr>
          <w:pStyle w:val="Footer"/>
          <w:spacing w:before="120" w:after="0"/>
          <w:rPr/>
        </w:pPr>
        <w:r>
          <w:rPr/>
          <w:fldChar w:fldCharType="begin"/>
        </w:r>
        <w:r>
          <w:rPr/>
          <w:instrText xml:space="preserve"> PAGE </w:instrText>
        </w:r>
        <w:r>
          <w:rPr/>
          <w:fldChar w:fldCharType="separate"/>
        </w:r>
        <w:r>
          <w:rPr/>
          <w:t>57</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65463358"/>
    </w:sdtPr>
    <w:sdtContent>
      <w:p>
        <w:pPr>
          <w:pStyle w:val="Footer"/>
          <w:spacing w:before="120" w:after="0"/>
          <w:rPr/>
        </w:pPr>
        <w:r>
          <w:rPr/>
          <w:fldChar w:fldCharType="begin"/>
        </w:r>
        <w:r>
          <w:rPr/>
          <w:instrText xml:space="preserve"> PAGE </w:instrText>
        </w:r>
        <w:r>
          <w:rPr/>
          <w:fldChar w:fldCharType="separate"/>
        </w:r>
        <w:r>
          <w:rPr/>
          <w:t>64</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88541413"/>
    </w:sdtPr>
    <w:sdtContent>
      <w:p>
        <w:pPr>
          <w:pStyle w:val="Footer"/>
          <w:spacing w:before="120" w:after="0"/>
          <w:rPr/>
        </w:pPr>
        <w:r>
          <w:rPr/>
          <w:fldChar w:fldCharType="begin"/>
        </w:r>
        <w:r>
          <w:rPr/>
          <w:instrText xml:space="preserve"> PAGE </w:instrText>
        </w:r>
        <w:r>
          <w:rPr/>
          <w:fldChar w:fldCharType="separate"/>
        </w:r>
        <w:r>
          <w:rPr/>
          <w:t>70</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2"/>
        <w:spacing w:before="80" w:after="0"/>
        <w:ind w:left="567" w:hanging="567"/>
        <w:jc w:val="both"/>
        <w:rPr/>
      </w:pPr>
      <w:r>
        <w:rPr>
          <w:rStyle w:val="Style13"/>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2"/>
        <w:spacing w:before="80" w:after="0"/>
        <w:ind w:left="567" w:hanging="567"/>
        <w:jc w:val="both"/>
        <w:rPr/>
      </w:pPr>
      <w:r>
        <w:rPr>
          <w:rStyle w:val="Style13"/>
        </w:rPr>
        <w:footnoteRef/>
      </w:r>
      <w:r>
        <w:rPr/>
        <w:tab/>
        <w:t>Определенные в соответствии с Законом 422-ФЗ.</w:t>
      </w:r>
    </w:p>
  </w:footnote>
  <w:footnote w:id="4">
    <w:p>
      <w:pPr>
        <w:pStyle w:val="Style32"/>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2"/>
        <w:spacing w:before="80" w:after="0"/>
        <w:ind w:left="567" w:hanging="567"/>
        <w:jc w:val="both"/>
        <w:rPr/>
      </w:pPr>
      <w:r>
        <w:rPr>
          <w:rStyle w:val="Style13"/>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2"/>
        <w:spacing w:before="80" w:after="0"/>
        <w:ind w:left="567" w:hanging="567"/>
        <w:jc w:val="both"/>
        <w:rPr/>
      </w:pPr>
      <w:r>
        <w:rPr>
          <w:rStyle w:val="Style13"/>
        </w:rPr>
        <w:footnoteRef/>
      </w:r>
      <w:r>
        <w:rPr/>
        <w:tab/>
        <w:t>С учетом пункта </w:t>
      </w:r>
      <w:r>
        <w:rPr/>
        <w:fldChar w:fldCharType="begin"/>
      </w:r>
      <w:r>
        <w:rPr/>
        <w:instrText xml:space="preserve"> REF _Ref125365558 \w \h </w:instrText>
      </w:r>
      <w:r>
        <w:rPr/>
        <w:fldChar w:fldCharType="separate"/>
      </w:r>
      <w:r>
        <w:rPr/>
        <w:t>Ошибка: источник перекрёстной ссылки не найден</w:t>
      </w:r>
      <w:r>
        <w:rPr/>
        <w:fldChar w:fldCharType="end"/>
      </w:r>
      <w:r>
        <w:rPr/>
        <w:t>.</w:t>
      </w:r>
    </w:p>
  </w:footnote>
  <w:footnote w:id="7">
    <w:p>
      <w:pPr>
        <w:pStyle w:val="Style32"/>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2"/>
        <w:spacing w:before="80" w:after="0"/>
        <w:ind w:left="567" w:hanging="567"/>
        <w:jc w:val="both"/>
        <w:rPr/>
      </w:pPr>
      <w:r>
        <w:rPr>
          <w:rStyle w:val="Style13"/>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2"/>
        <w:spacing w:before="80" w:after="0"/>
        <w:rPr>
          <w:szCs w:val="22"/>
        </w:rPr>
      </w:pPr>
      <w:r>
        <w:rPr>
          <w:rStyle w:val="Style13"/>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2"/>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2"/>
        <w:spacing w:before="80" w:after="0"/>
        <w:ind w:left="567" w:hanging="567"/>
        <w:jc w:val="both"/>
        <w:rPr/>
      </w:pPr>
      <w:r>
        <w:rPr>
          <w:rStyle w:val="Style13"/>
        </w:rPr>
        <w:footnoteRef/>
      </w:r>
      <w:r>
        <w:rPr/>
        <w:tab/>
        <w:t>https://minfin.gov.ru/ru/perfomance/tax_relations/policy/bankwarranty/</w:t>
      </w:r>
    </w:p>
  </w:footnote>
  <w:footnote w:id="12">
    <w:p>
      <w:pPr>
        <w:pStyle w:val="Normal"/>
        <w:spacing w:before="120" w:after="0"/>
        <w:jc w:val="both"/>
        <w:rPr>
          <w:sz w:val="22"/>
        </w:rPr>
      </w:pPr>
      <w:r>
        <w:rPr>
          <w:rStyle w:val="Style13"/>
        </w:rPr>
        <w:footnoteRef/>
      </w:r>
      <w:r>
        <w:rPr/>
        <w:t xml:space="preserve"> </w:t>
      </w:r>
      <w:r>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3">
    <w:p>
      <w:pPr>
        <w:pStyle w:val="Style32"/>
        <w:spacing w:before="80" w:after="0"/>
        <w:ind w:left="567" w:hanging="567"/>
        <w:jc w:val="both"/>
        <w:rPr/>
      </w:pPr>
      <w:r>
        <w:rPr>
          <w:rStyle w:val="Style13"/>
        </w:rPr>
        <w:footnoteRef/>
      </w:r>
      <w:r>
        <w:rPr/>
        <w:tab/>
        <w:t>Коллективный участник предоставляет указанные документы на каждого члена.</w:t>
      </w:r>
    </w:p>
  </w:footnote>
  <w:footnote w:id="14">
    <w:p>
      <w:pPr>
        <w:pStyle w:val="Style32"/>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Победителя.</w:t>
      </w:r>
    </w:p>
  </w:footnote>
  <w:footnote w:id="15">
    <w:p>
      <w:pPr>
        <w:pStyle w:val="Style32"/>
        <w:spacing w:before="80" w:after="0"/>
        <w:ind w:left="567" w:hanging="567"/>
        <w:jc w:val="both"/>
        <w:rPr/>
      </w:pPr>
      <w:r>
        <w:rPr>
          <w:rStyle w:val="Style13"/>
        </w:rPr>
        <w:footnoteRef/>
      </w:r>
      <w:bookmarkStart w:id="445" w:name="_Hlk139028796_Копия_1_Копия_1"/>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45"/>
    </w:p>
  </w:footnote>
  <w:footnote w:id="16">
    <w:p>
      <w:pPr>
        <w:pStyle w:val="Style32"/>
        <w:spacing w:before="80" w:after="0"/>
        <w:ind w:left="567" w:hanging="567"/>
        <w:jc w:val="both"/>
        <w:rPr/>
      </w:pPr>
      <w:r>
        <w:rPr>
          <w:rStyle w:val="Style13"/>
        </w:rPr>
        <w:footnoteRef/>
      </w:r>
      <w:bookmarkStart w:id="446" w:name="_Hlk139028804_Копия_1_Копия_1"/>
      <w:bookmarkStart w:id="447" w:name="_Hlk139028803_Копия_1_Копия_1"/>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46"/>
      <w:bookmarkEnd w:id="447"/>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4"/>
      <w:numFmt w:val="decimal"/>
      <w:lvlText w:val="%1."/>
      <w:lvlJc w:val="left"/>
      <w:pPr>
        <w:tabs>
          <w:tab w:val="num" w:pos="1134"/>
        </w:tabs>
        <w:ind w:left="1134" w:hanging="1134"/>
      </w:pPr>
      <w:rPr/>
    </w:lvl>
    <w:lvl w:ilvl="1">
      <w:start w:val="1"/>
      <w:pStyle w:val="Style25"/>
      <w:numFmt w:val="decimal"/>
      <w:lvlText w:val="%1.%2"/>
      <w:lvlJc w:val="left"/>
      <w:pPr>
        <w:tabs>
          <w:tab w:val="num" w:pos="1134"/>
        </w:tabs>
        <w:ind w:left="1134" w:hanging="1134"/>
      </w:pPr>
      <w:rPr/>
    </w:lvl>
    <w:lvl w:ilvl="2">
      <w:start w:val="1"/>
      <w:pStyle w:val="Style26"/>
      <w:numFmt w:val="decimal"/>
      <w:lvlText w:val="%1.%2.%3"/>
      <w:lvlJc w:val="left"/>
      <w:pPr>
        <w:tabs>
          <w:tab w:val="num" w:pos="1134"/>
        </w:tabs>
        <w:ind w:left="1134" w:hanging="1134"/>
      </w:pPr>
      <w:rPr/>
    </w:lvl>
    <w:lvl w:ilvl="3">
      <w:start w:val="1"/>
      <w:pStyle w:val="Style27"/>
      <w:numFmt w:val="russianLower"/>
      <w:lvlText w:val="%4)"/>
      <w:lvlJc w:val="left"/>
      <w:pPr>
        <w:tabs>
          <w:tab w:val="num" w:pos="1701"/>
        </w:tabs>
        <w:ind w:left="1701" w:hanging="567"/>
      </w:pPr>
      <w:rPr/>
    </w:lvl>
    <w:lvl w:ilvl="4">
      <w:start w:val="1"/>
      <w:pStyle w:val="Style28"/>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russianLower"/>
      <w:lvlText w:val="%1)"/>
      <w:lvlJc w:val="left"/>
      <w:pPr>
        <w:tabs>
          <w:tab w:val="num" w:pos="0"/>
        </w:tabs>
        <w:ind w:left="720" w:hanging="360"/>
      </w:pPr>
      <w:rPr>
        <w:sz w:val="26"/>
        <w:szCs w:val="26"/>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8">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20">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val="bestFit" w:percent="157"/>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9" w:customStyle="1">
    <w:name w:val="РГ_ЕПоЗ_а) Знак"/>
    <w:basedOn w:val="DefaultParagraphFont"/>
    <w:link w:val="Style34"/>
    <w:qFormat/>
    <w:rsid w:val="00883208"/>
    <w:rPr>
      <w:rFonts w:eastAsia="Calibri" w:cs="Times New Roman"/>
      <w:sz w:val="28"/>
      <w:szCs w:val="28"/>
    </w:rPr>
  </w:style>
  <w:style w:type="character" w:styleId="-" w:customStyle="1">
    <w:name w:val="РГ_ЕПоЗ_- Знак"/>
    <w:basedOn w:val="DefaultParagraphFont"/>
    <w:link w:val="-1"/>
    <w:qFormat/>
    <w:rsid w:val="00883208"/>
    <w:rPr>
      <w:rFonts w:eastAsia="Times New Roman" w:cs="Times New Roman"/>
      <w:sz w:val="28"/>
      <w:szCs w:val="20"/>
      <w:lang w:eastAsia="ru-RU"/>
    </w:rPr>
  </w:style>
  <w:style w:type="character" w:styleId="Style20">
    <w:name w:val="Ссылка указателя"/>
    <w:qFormat/>
    <w:rPr/>
  </w:style>
  <w:style w:type="character" w:styleId="Emphasis">
    <w:name w:val="Emphasis"/>
    <w:qFormat/>
    <w:rPr>
      <w:i/>
      <w:iCs/>
    </w:rPr>
  </w:style>
  <w:style w:type="character" w:styleId="Style21">
    <w:name w:val="Символ концевой сноски"/>
    <w:qFormat/>
    <w:rPr/>
  </w:style>
  <w:style w:type="character" w:styleId="EndnoteReference">
    <w:name w:val="Endnote Reference"/>
    <w:rPr>
      <w:vertAlign w:val="superscript"/>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Style24" w:customStyle="1">
    <w:name w:val="[РГ] Раздел"/>
    <w:basedOn w:val="Normal"/>
    <w:next w:val="Style25"/>
    <w:qFormat/>
    <w:rsid w:val="00c95e18"/>
    <w:pPr>
      <w:keepNext w:val="true"/>
      <w:pageBreakBefore/>
      <w:numPr>
        <w:ilvl w:val="0"/>
        <w:numId w:val="1"/>
      </w:numPr>
      <w:spacing w:before="0" w:after="360"/>
      <w:jc w:val="both"/>
      <w:outlineLvl w:val="0"/>
    </w:pPr>
    <w:rPr>
      <w:b/>
      <w:bCs/>
      <w:caps/>
    </w:rPr>
  </w:style>
  <w:style w:type="paragraph" w:styleId="Style25" w:customStyle="1">
    <w:name w:val="[РГ] Подраздел"/>
    <w:basedOn w:val="Normal"/>
    <w:next w:val="Style26"/>
    <w:qFormat/>
    <w:rsid w:val="00891546"/>
    <w:pPr>
      <w:keepNext w:val="true"/>
      <w:numPr>
        <w:ilvl w:val="1"/>
        <w:numId w:val="1"/>
      </w:numPr>
      <w:spacing w:before="360" w:after="0"/>
      <w:jc w:val="both"/>
      <w:outlineLvl w:val="1"/>
    </w:pPr>
    <w:rPr>
      <w:b/>
      <w:bCs/>
    </w:rPr>
  </w:style>
  <w:style w:type="paragraph" w:styleId="Style26" w:customStyle="1">
    <w:name w:val="[РГ] Пункт"/>
    <w:basedOn w:val="Normal"/>
    <w:qFormat/>
    <w:rsid w:val="00891546"/>
    <w:pPr>
      <w:numPr>
        <w:ilvl w:val="2"/>
        <w:numId w:val="1"/>
      </w:numPr>
      <w:jc w:val="both"/>
      <w:outlineLvl w:val="2"/>
    </w:pPr>
    <w:rPr/>
  </w:style>
  <w:style w:type="paragraph" w:styleId="Style27" w:customStyle="1">
    <w:name w:val="[РГ] Подпункт"/>
    <w:basedOn w:val="Normal"/>
    <w:qFormat/>
    <w:rsid w:val="00891546"/>
    <w:pPr>
      <w:numPr>
        <w:ilvl w:val="3"/>
        <w:numId w:val="1"/>
      </w:numPr>
      <w:jc w:val="both"/>
      <w:outlineLvl w:val="3"/>
    </w:pPr>
    <w:rPr/>
  </w:style>
  <w:style w:type="paragraph" w:styleId="Style28" w:customStyle="1">
    <w:name w:val="[РГ] Перечисление"/>
    <w:basedOn w:val="Normal"/>
    <w:qFormat/>
    <w:rsid w:val="00891546"/>
    <w:pPr>
      <w:numPr>
        <w:ilvl w:val="4"/>
        <w:numId w:val="1"/>
      </w:numPr>
      <w:jc w:val="both"/>
      <w:outlineLvl w:val="4"/>
    </w:pPr>
    <w:rPr/>
  </w:style>
  <w:style w:type="paragraph" w:styleId="Style29" w:customStyle="1">
    <w:name w:val="[РГ] Заголовок"/>
    <w:basedOn w:val="Normal"/>
    <w:next w:val="Style30"/>
    <w:qFormat/>
    <w:rsid w:val="00f87384"/>
    <w:pPr>
      <w:keepNext w:val="true"/>
      <w:pageBreakBefore/>
      <w:spacing w:before="0" w:after="360"/>
      <w:jc w:val="both"/>
    </w:pPr>
    <w:rPr>
      <w:b/>
      <w:bCs/>
      <w:caps/>
    </w:rPr>
  </w:style>
  <w:style w:type="paragraph" w:styleId="Style30" w:customStyle="1">
    <w:name w:val="[РГ] Текст"/>
    <w:basedOn w:val="Normal"/>
    <w:qFormat/>
    <w:rsid w:val="00891546"/>
    <w:pPr>
      <w:jc w:val="both"/>
    </w:pPr>
    <w:rPr/>
  </w:style>
  <w:style w:type="paragraph" w:styleId="Style31">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2"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3" w:customStyle="1">
    <w:name w:val="[РГ] Альтернатива / Дополнение"/>
    <w:basedOn w:val="Style30"/>
    <w:next w:val="Style30"/>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BalloonText">
    <w:name w:val="Balloon Text"/>
    <w:basedOn w:val="Normal"/>
    <w:link w:val="Style18"/>
    <w:uiPriority w:val="99"/>
    <w:semiHidden/>
    <w:unhideWhenUsed/>
    <w:qFormat/>
    <w:rsid w:val="0079507d"/>
    <w:pPr>
      <w:spacing w:before="0" w:after="0"/>
    </w:pPr>
    <w:rPr>
      <w:rFonts w:ascii="Segoe UI" w:hAnsi="Segoe UI" w:cs="Segoe UI"/>
      <w:sz w:val="18"/>
      <w:szCs w:val="18"/>
    </w:rPr>
  </w:style>
  <w:style w:type="paragraph" w:styleId="1" w:customStyle="1">
    <w:name w:val="РГ_ЕПоЗ_1."/>
    <w:basedOn w:val="Normal"/>
    <w:qFormat/>
    <w:rsid w:val="00883208"/>
    <w:pPr>
      <w:keepNext w:val="true"/>
      <w:numPr>
        <w:ilvl w:val="0"/>
        <w:numId w:val="18"/>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rsid w:val="00883208"/>
    <w:pPr>
      <w:keepNext w:val="true"/>
      <w:numPr>
        <w:ilvl w:val="1"/>
        <w:numId w:val="18"/>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4" w:customStyle="1">
    <w:name w:val="РГ_ЕПоЗ_а)"/>
    <w:basedOn w:val="ListParagraph"/>
    <w:link w:val="Style19"/>
    <w:qFormat/>
    <w:rsid w:val="00883208"/>
    <w:pPr>
      <w:numPr>
        <w:ilvl w:val="4"/>
        <w:numId w:val="18"/>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883208"/>
    <w:pPr>
      <w:numPr>
        <w:ilvl w:val="3"/>
        <w:numId w:val="18"/>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rsid w:val="00883208"/>
    <w:pPr>
      <w:numPr>
        <w:ilvl w:val="5"/>
        <w:numId w:val="18"/>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rsid w:val="00883208"/>
    <w:pPr>
      <w:numPr>
        <w:ilvl w:val="2"/>
        <w:numId w:val="18"/>
      </w:numPr>
      <w:tabs>
        <w:tab w:val="clear" w:pos="708"/>
        <w:tab w:val="left" w:pos="1134" w:leader="none"/>
      </w:tabs>
      <w:jc w:val="both"/>
    </w:pPr>
    <w:rPr>
      <w:rFonts w:eastAsia="Times New Roman" w:cs="Times New Roman"/>
      <w:sz w:val="28"/>
      <w:szCs w:val="28"/>
      <w:lang w:eastAsia="ru-RU"/>
    </w:rPr>
  </w:style>
  <w:style w:type="paragraph" w:styleId="Tableheader">
    <w:name w:val="Table_header"/>
    <w:basedOn w:val="Normal"/>
    <w:qFormat/>
    <w:pPr>
      <w:jc w:val="both"/>
    </w:pPr>
    <w:rPr>
      <w:rFonts w:eastAsia="Times New Roman" w:cs="Times New Roman"/>
      <w:b/>
      <w:sz w:val="20"/>
      <w:szCs w:val="24"/>
      <w:lang w:eastAsia="ru-RU"/>
    </w:rPr>
  </w:style>
  <w:style w:type="paragraph" w:styleId="3">
    <w:name w:val="УРОВЕНЬ_Абзац_тип3"/>
    <w:basedOn w:val="ListParagraph"/>
    <w:qFormat/>
    <w:pPr>
      <w:tabs>
        <w:tab w:val="clear" w:pos="708"/>
        <w:tab w:val="left" w:pos="1440" w:leader="none"/>
        <w:tab w:val="left" w:pos="2880" w:leader="none"/>
      </w:tabs>
      <w:spacing w:lineRule="exact" w:line="360" w:before="120" w:after="0"/>
      <w:ind w:left="0" w:hanging="1440"/>
      <w:contextualSpacing w:val="false"/>
      <w:jc w:val="both"/>
    </w:pPr>
    <w:rPr>
      <w:rFonts w:cs="Times New Roman"/>
      <w:szCs w:val="28"/>
    </w:rPr>
  </w:style>
  <w:style w:type="paragraph" w:styleId="2">
    <w:name w:val="УРОВЕНЬ_Абзац_тип2"/>
    <w:basedOn w:val="ListParagraph"/>
    <w:qFormat/>
    <w:pPr>
      <w:tabs>
        <w:tab w:val="clear" w:pos="708"/>
        <w:tab w:val="left" w:pos="360" w:leader="none"/>
        <w:tab w:val="left" w:pos="1440" w:leader="none"/>
        <w:tab w:val="left" w:pos="2736" w:leader="none"/>
      </w:tabs>
      <w:spacing w:lineRule="exact" w:line="360" w:before="120" w:after="0"/>
      <w:ind w:left="1701" w:hanging="1440"/>
      <w:contextualSpacing w:val="false"/>
      <w:jc w:val="both"/>
    </w:pPr>
    <w:rPr>
      <w:rFonts w:cs="Times New Roman"/>
      <w:szCs w:val="28"/>
    </w:rPr>
  </w:style>
  <w:style w:type="paragraph" w:styleId="-2">
    <w:name w:val="УРОВЕНЬ_-"/>
    <w:basedOn w:val="ListParagraph"/>
    <w:qFormat/>
    <w:pPr>
      <w:tabs>
        <w:tab w:val="clear" w:pos="708"/>
        <w:tab w:val="left" w:pos="360" w:leader="none"/>
        <w:tab w:val="left" w:pos="1077" w:leader="none"/>
        <w:tab w:val="left" w:pos="1576" w:leader="none"/>
      </w:tabs>
      <w:spacing w:lineRule="exact" w:line="360" w:before="120" w:after="0"/>
      <w:ind w:left="2268" w:hanging="567"/>
      <w:contextualSpacing w:val="false"/>
      <w:jc w:val="both"/>
      <w:outlineLvl w:val="4"/>
    </w:pPr>
    <w:rPr>
      <w:rFonts w:cs="Times New Roman"/>
      <w:szCs w:val="28"/>
    </w:rPr>
  </w:style>
  <w:style w:type="numbering" w:styleId="NoList" w:default="1">
    <w:name w:val="No List"/>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tender.lot-online.ru/" TargetMode="External"/><Relationship Id="rId4" Type="http://schemas.openxmlformats.org/officeDocument/2006/relationships/hyperlink" Target="https://tender.lot-online.ru/app/EtpDocList/page" TargetMode="External"/><Relationship Id="rId5" Type="http://schemas.openxmlformats.org/officeDocument/2006/relationships/hyperlink" Target="mailto:OFFICE@RUSHYDRO.RU" TargetMode="External"/><Relationship Id="rId6" Type="http://schemas.openxmlformats.org/officeDocument/2006/relationships/hyperlink" Target="mailto:KukushkinaVB@rushydro.ru" TargetMode="External"/><Relationship Id="rId7" Type="http://schemas.openxmlformats.org/officeDocument/2006/relationships/hyperlink" Target="mailto:KukushkinaVB@rushydro.ru"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package" Target="embeddings/oleObject1.docx"/><Relationship Id="rId15" Type="http://schemas.openxmlformats.org/officeDocument/2006/relationships/image" Target="media/image2.wmf"/><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header" Target="header6.xml"/><Relationship Id="rId21" Type="http://schemas.openxmlformats.org/officeDocument/2006/relationships/header" Target="header7.xml"/><Relationship Id="rId22" Type="http://schemas.openxmlformats.org/officeDocument/2006/relationships/footer" Target="footer6.xml"/><Relationship Id="rId23" Type="http://schemas.openxmlformats.org/officeDocument/2006/relationships/footer" Target="footer7.xml"/><Relationship Id="rId24" Type="http://schemas.openxmlformats.org/officeDocument/2006/relationships/package" Target="embeddings/oleObject2.docx"/><Relationship Id="rId25" Type="http://schemas.openxmlformats.org/officeDocument/2006/relationships/image" Target="media/image3.wmf"/><Relationship Id="rId26" Type="http://schemas.openxmlformats.org/officeDocument/2006/relationships/package" Target="embeddings/oleObject3.docx"/><Relationship Id="rId27" Type="http://schemas.openxmlformats.org/officeDocument/2006/relationships/image" Target="media/image4.wmf"/><Relationship Id="rId28" Type="http://schemas.openxmlformats.org/officeDocument/2006/relationships/header" Target="header8.xml"/><Relationship Id="rId29" Type="http://schemas.openxmlformats.org/officeDocument/2006/relationships/header" Target="header9.xml"/><Relationship Id="rId30" Type="http://schemas.openxmlformats.org/officeDocument/2006/relationships/footer" Target="footer8.xml"/><Relationship Id="rId31" Type="http://schemas.openxmlformats.org/officeDocument/2006/relationships/footer" Target="footer9.xml"/><Relationship Id="rId32" Type="http://schemas.openxmlformats.org/officeDocument/2006/relationships/header" Target="header10.xml"/><Relationship Id="rId33" Type="http://schemas.openxmlformats.org/officeDocument/2006/relationships/header" Target="header11.xml"/><Relationship Id="rId34" Type="http://schemas.openxmlformats.org/officeDocument/2006/relationships/footer" Target="footer10.xml"/><Relationship Id="rId35" Type="http://schemas.openxmlformats.org/officeDocument/2006/relationships/footer" Target="footer11.xml"/><Relationship Id="rId36" Type="http://schemas.openxmlformats.org/officeDocument/2006/relationships/package" Target="embeddings/oleObject4.xlsx"/><Relationship Id="rId37" Type="http://schemas.openxmlformats.org/officeDocument/2006/relationships/image" Target="media/image5.wmf"/><Relationship Id="rId38" Type="http://schemas.openxmlformats.org/officeDocument/2006/relationships/package" Target="embeddings/oleObject5.docx"/><Relationship Id="rId39" Type="http://schemas.openxmlformats.org/officeDocument/2006/relationships/image" Target="media/image6.wmf"/><Relationship Id="rId40" Type="http://schemas.openxmlformats.org/officeDocument/2006/relationships/header" Target="header12.xml"/><Relationship Id="rId41" Type="http://schemas.openxmlformats.org/officeDocument/2006/relationships/header" Target="header13.xml"/><Relationship Id="rId42" Type="http://schemas.openxmlformats.org/officeDocument/2006/relationships/footer" Target="footer12.xml"/><Relationship Id="rId43" Type="http://schemas.openxmlformats.org/officeDocument/2006/relationships/footer" Target="footer13.xml"/><Relationship Id="rId44" Type="http://schemas.openxmlformats.org/officeDocument/2006/relationships/footnotes" Target="footnotes.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2B7BF-339B-4CBE-B7BB-C64BC150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TotalTime>
  <Application>AlterOffice/3.4.0.9$Linux_X86_64 LibreOffice_project/b8daf9e823b1a5463a2f48435ddc2e8696e7d4fc</Application>
  <AppVersion>15.0000</AppVersion>
  <Pages>82</Pages>
  <Words>20292</Words>
  <Characters>140992</Characters>
  <CharactersWithSpaces>159616</CharactersWithSpaces>
  <Paragraphs>1152</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2023-06-27T10:22:00Z</dcterms:created>
  <dc:creator>Владимир Щербаков</dc:creator>
  <dc:description/>
  <cp:keywords>Типовая форма</cp:keywords>
  <dc:language>ru-RU</dc:language>
  <cp:lastModifiedBy>kukushkinavb@corp.gidroogk.com</cp:lastModifiedBy>
  <dcterms:modified xsi:type="dcterms:W3CDTF">2026-08-10T15:16:13Z</dcterms:modified>
  <cp:revision>198</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