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color w:val="000000" w:themeColor="text1"/>
        </w:rPr>
      </w:pPr>
      <w:r>
        <w:rPr/>
      </w:r>
    </w:p>
    <w:p>
      <w:pPr>
        <w:pStyle w:val="Normal"/>
        <w:jc w:val="right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/>
      </w:pPr>
      <w:r>
        <w:rPr>
          <w:rFonts w:eastAsia="Calibri"/>
        </w:rPr>
        <w:t>«</w:t>
      </w:r>
      <w:r>
        <w:rPr>
          <w:rFonts w:eastAsia="Calibri"/>
          <w:i/>
        </w:rPr>
        <w:t>ОКПД2 28.25.11.111 Поставка маслоохладителей подпятника (аварийный запас) для нужд филиала ПАО «РусГидро»-«Бурейская ГЭС»</w:t>
      </w:r>
    </w:p>
    <w:p>
      <w:pPr>
        <w:pStyle w:val="Normal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jc w:val="center"/>
        <w:rPr/>
      </w:pPr>
      <w:r>
        <w:rPr>
          <w:rFonts w:eastAsia="Calibri"/>
          <w:i/>
        </w:rPr>
        <w:t>Лот №182070-РЕМПРОД-2026-БурГЭС</w:t>
      </w:r>
    </w:p>
    <w:p>
      <w:pPr>
        <w:pStyle w:val="Normal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2026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3893_3097593278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895_3097593278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897_3097593278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899_3097593278">
            <w:r>
              <w:rPr>
                <w:webHidden/>
                <w:rStyle w:val="Style14"/>
                <w:vanish w:val="false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3901_3097593278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903_3097593278">
            <w:r>
              <w:rPr>
                <w:webHidden/>
                <w:rStyle w:val="Style14"/>
                <w:vanish w:val="false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hyperlink w:anchor="__RefHeading___Toc3905_3097593278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3907_3097593278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hyperlink w:anchor="__RefHeading___Toc3909_3097593278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3911_3097593278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913_3097593278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915_3097593278">
            <w:r>
              <w:rPr>
                <w:webHidden/>
                <w:rStyle w:val="Style14"/>
                <w:vanish w:val="false"/>
              </w:rPr>
              <w:t>По качеству и комплектности должна соответствовать действующим на момент поставки ТУ или ГОСТ, указанным в соответствующих сертификатах.</w:t>
              <w:tab/>
              <w:t>5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3917_3097593278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5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3919_3097593278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7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3921_3097593278">
            <w:r>
              <w:rPr>
                <w:webHidden/>
                <w:rStyle w:val="Style14"/>
                <w:vanish w:val="false"/>
              </w:rPr>
              <w:t>4. Квалификация (предпочтительность) участника</w:t>
              <w:tab/>
              <w:t>7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923_3097593278">
            <w:r>
              <w:rPr>
                <w:webHidden/>
                <w:rStyle w:val="Style14"/>
                <w:vanish w:val="false"/>
              </w:rPr>
              <w:t>Требования к квалификации Участника закупки представлены в таблице 4.</w:t>
              <w:tab/>
              <w:t>7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925_3097593278">
            <w:r>
              <w:rPr>
                <w:webHidden/>
                <w:rStyle w:val="Style14"/>
                <w:vanish w:val="false"/>
              </w:rPr>
              <w:t>Таблица 4. Перечень квалификационных требований</w:t>
              <w:tab/>
              <w:t>7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3893_3097593278"/>
      <w:bookmarkStart w:id="1" w:name="_Toc75446566"/>
      <w:bookmarkStart w:id="2" w:name="_Toc51339692"/>
      <w:bookmarkEnd w:id="0"/>
      <w:r>
        <w:rPr>
          <w:lang w:val="ru-RU"/>
        </w:rPr>
        <w:t>Общие сведения</w:t>
      </w:r>
      <w:bookmarkEnd w:id="1"/>
      <w:bookmarkEnd w:id="2"/>
    </w:p>
    <w:p>
      <w:pPr>
        <w:pStyle w:val="Normal"/>
        <w:ind w:left="357" w:hanging="357"/>
        <w:jc w:val="center"/>
        <w:rPr>
          <w:caps/>
        </w:rPr>
      </w:pPr>
      <w:r>
        <w:rPr>
          <w:caps/>
        </w:rPr>
      </w:r>
    </w:p>
    <w:p>
      <w:pPr>
        <w:pStyle w:val="Heading4"/>
        <w:numPr>
          <w:ilvl w:val="1"/>
          <w:numId w:val="3"/>
        </w:numPr>
        <w:ind w:left="1247" w:hanging="340"/>
        <w:rPr/>
      </w:pPr>
      <w:bookmarkStart w:id="3" w:name="__RefHeading___Toc3895_3097593278"/>
      <w:bookmarkStart w:id="4" w:name="_Toc46743505"/>
      <w:bookmarkStart w:id="5" w:name="_Toc75446567"/>
      <w:bookmarkEnd w:id="3"/>
      <w:r>
        <w:rPr/>
        <w:t>Обозначения и сокращения</w:t>
      </w:r>
      <w:bookmarkEnd w:id="4"/>
      <w:bookmarkEnd w:id="5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Сборочный чертеж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«РусГидро»-«Бурейская ГЭС»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закупки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Материально-технический ресурс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НМЦ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Начальная максимальная цена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ТМЦ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Товарно-материальные ценности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1247" w:hanging="340"/>
        <w:rPr/>
      </w:pPr>
      <w:bookmarkStart w:id="6" w:name="__RefHeading___Toc3897_3097593278"/>
      <w:bookmarkStart w:id="7" w:name="_Toc75446568"/>
      <w:bookmarkStart w:id="8" w:name="_Toc46743506"/>
      <w:bookmarkEnd w:id="6"/>
      <w:r>
        <w:rPr/>
        <w:t>Наименование закупаемой продукции</w:t>
      </w:r>
      <w:bookmarkEnd w:id="7"/>
      <w:bookmarkEnd w:id="8"/>
    </w:p>
    <w:p>
      <w:pPr>
        <w:pStyle w:val="Normal"/>
        <w:jc w:val="both"/>
        <w:rPr/>
      </w:pPr>
      <w:r>
        <w:rPr>
          <w:rFonts w:eastAsia="Calibri"/>
          <w:sz w:val="24"/>
          <w:szCs w:val="24"/>
          <w:lang w:eastAsia="x-none"/>
        </w:rPr>
        <w:t>«ОКПД2 28.25.11.111 Поставка маслоохладителей подпятника (аварийный запас) для нужд филиала ПАО «РусГидро»-«Бурейская ГЭС»»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85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4"/>
        <w:numPr>
          <w:ilvl w:val="1"/>
          <w:numId w:val="3"/>
        </w:numPr>
        <w:ind w:left="1191" w:hanging="283"/>
        <w:jc w:val="both"/>
        <w:rPr/>
      </w:pPr>
      <w:bookmarkStart w:id="9" w:name="__RefHeading___Toc3899_3097593278"/>
      <w:bookmarkStart w:id="10" w:name="_Toc75446569"/>
      <w:bookmarkStart w:id="11" w:name="_Toc46743507"/>
      <w:bookmarkEnd w:id="9"/>
      <w:r>
        <w:rPr/>
        <w:t xml:space="preserve">Цель </w:t>
      </w:r>
      <w:bookmarkEnd w:id="11"/>
      <w:r>
        <w:rPr/>
        <w:t xml:space="preserve">использования закупаемой продукции </w:t>
      </w:r>
      <w:bookmarkEnd w:id="10"/>
    </w:p>
    <w:p>
      <w:pPr>
        <w:pStyle w:val="Normal"/>
        <w:ind w:firstLine="850"/>
        <w:jc w:val="both"/>
        <w:rPr/>
      </w:pPr>
      <w:r>
        <w:rPr>
          <w:bCs/>
          <w:color w:val="000000"/>
          <w:sz w:val="24"/>
          <w:szCs w:val="24"/>
        </w:rPr>
        <w:t xml:space="preserve">Обеспечение аварийным запасом материалов, </w:t>
      </w:r>
      <w:r>
        <w:rPr>
          <w:rFonts w:eastAsia="Calibri"/>
          <w:color w:val="000000"/>
          <w:sz w:val="24"/>
          <w:szCs w:val="24"/>
        </w:rPr>
        <w:t>необходимых для ликвидации возможных отказов (аварий) турбинного и гидромеханического</w:t>
      </w:r>
      <w:r>
        <w:rPr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оборудования, </w:t>
      </w:r>
      <w:r>
        <w:rPr>
          <w:rFonts w:cs="Calibri"/>
          <w:color w:val="000000"/>
          <w:sz w:val="24"/>
          <w:szCs w:val="24"/>
          <w:lang w:eastAsia="x-none"/>
        </w:rPr>
        <w:t xml:space="preserve">установленного на Бурейской ГЭС. </w:t>
      </w:r>
      <w:bookmarkStart w:id="12" w:name="_Toc46743509"/>
      <w:bookmarkStart w:id="13" w:name="_Toc75446571"/>
      <w:bookmarkStart w:id="14" w:name="_Hlk49857604"/>
      <w:bookmarkEnd w:id="12"/>
      <w:bookmarkEnd w:id="13"/>
      <w:bookmarkEnd w:id="14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0" w:after="120"/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5" w:name="__RefHeading___Toc3901_3097593278"/>
      <w:bookmarkStart w:id="16" w:name="_Toc51339693"/>
      <w:bookmarkStart w:id="17" w:name="_Toc75446573"/>
      <w:bookmarkStart w:id="18" w:name="_Toc75446572_Копия_1"/>
      <w:bookmarkEnd w:id="15"/>
      <w:bookmarkEnd w:id="18"/>
      <w:r>
        <w:rPr>
          <w:iCs/>
        </w:rPr>
        <w:t>Требования к продукции</w:t>
      </w:r>
      <w:bookmarkEnd w:id="16"/>
      <w:bookmarkEnd w:id="17"/>
    </w:p>
    <w:p>
      <w:pPr>
        <w:pStyle w:val="Heading4"/>
        <w:numPr>
          <w:ilvl w:val="0"/>
        </w:numPr>
        <w:ind w:left="1247" w:hanging="0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4"/>
        <w:numPr>
          <w:ilvl w:val="1"/>
          <w:numId w:val="3"/>
        </w:numPr>
        <w:ind w:left="1247" w:hanging="340"/>
        <w:rPr/>
      </w:pPr>
      <w:bookmarkStart w:id="19" w:name="__RefHeading___Toc3903_3097593278"/>
      <w:bookmarkStart w:id="20" w:name="_Toc75446574"/>
      <w:bookmarkEnd w:id="19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0"/>
    </w:p>
    <w:p>
      <w:pPr>
        <w:pStyle w:val="Heading3"/>
        <w:numPr>
          <w:ilvl w:val="0"/>
          <w:numId w:val="0"/>
        </w:numPr>
        <w:ind w:left="850" w:hanging="0"/>
        <w:rPr/>
      </w:pPr>
      <w:bookmarkStart w:id="21" w:name="__RefHeading___Toc3905_3097593278"/>
      <w:bookmarkEnd w:id="21"/>
      <w:r>
        <w:rPr>
          <w:lang w:val="ru-RU"/>
        </w:rPr>
        <w:t xml:space="preserve">2.1.1. </w:t>
      </w:r>
      <w:bookmarkStart w:id="22" w:name="_Toc75446575"/>
      <w:r>
        <w:rPr>
          <w:lang w:val="ru-RU"/>
        </w:rPr>
        <w:t>Перечень и объем закупаемой продукции</w:t>
      </w:r>
      <w:bookmarkEnd w:id="22"/>
    </w:p>
    <w:p>
      <w:pPr>
        <w:pStyle w:val="Normal"/>
        <w:ind w:left="850" w:hanging="0"/>
        <w:rPr/>
      </w:pPr>
      <w:r>
        <w:rPr/>
      </w:r>
    </w:p>
    <w:p>
      <w:pPr>
        <w:pStyle w:val="Heading1"/>
        <w:keepLines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23" w:name="__RefHeading___Toc3907_3097593278"/>
      <w:bookmarkStart w:id="24" w:name="_Toc75446576"/>
      <w:bookmarkStart w:id="25" w:name="_Toc51339695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5"/>
      <w:r>
        <w:rPr>
          <w:sz w:val="24"/>
          <w:szCs w:val="24"/>
          <w:lang w:val="ru-RU"/>
        </w:rPr>
        <w:t>и объем закупаемой продукции</w:t>
      </w:r>
      <w:bookmarkEnd w:id="24"/>
    </w:p>
    <w:tbl>
      <w:tblPr>
        <w:tblW w:w="982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1"/>
        <w:gridCol w:w="6597"/>
        <w:gridCol w:w="1143"/>
        <w:gridCol w:w="1418"/>
      </w:tblGrid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6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4"/>
              <w:widowControl w:val="false"/>
              <w:rPr/>
            </w:pPr>
            <w:r>
              <w:rPr>
                <w:sz w:val="24"/>
                <w:szCs w:val="24"/>
              </w:rPr>
              <w:t>Маслоохладитель подпятника, поз. 13 обозначение 6БС.392.399 чертёж 5БС.357.439 СБ (нерж. сталь)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16</w:t>
            </w:r>
          </w:p>
        </w:tc>
      </w:tr>
    </w:tbl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before="240" w:after="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0"/>
          <w:numId w:val="0"/>
        </w:numPr>
        <w:ind w:left="720" w:hanging="0"/>
        <w:rPr>
          <w:lang w:val="ru-RU"/>
        </w:rPr>
      </w:pPr>
      <w:bookmarkStart w:id="26" w:name="__RefHeading___Toc3909_3097593278"/>
      <w:bookmarkEnd w:id="26"/>
      <w:r>
        <w:rPr>
          <w:lang w:val="ru-RU"/>
        </w:rPr>
        <w:t xml:space="preserve">2.1.2. </w:t>
      </w:r>
      <w:bookmarkStart w:id="27" w:name="_Toc75446578"/>
      <w:bookmarkStart w:id="28" w:name="_Toc51339696"/>
      <w:r>
        <w:rPr>
          <w:lang w:val="ru-RU"/>
        </w:rPr>
        <w:t>Требо</w:t>
      </w:r>
      <w:r>
        <w:rPr/>
        <w:t xml:space="preserve">вания </w:t>
      </w:r>
      <w:bookmarkEnd w:id="28"/>
      <w:r>
        <w:rPr/>
        <w:t>к срокам поставки продукции и оказания сопутствующих услуг</w:t>
      </w:r>
      <w:bookmarkEnd w:id="27"/>
    </w:p>
    <w:p>
      <w:pPr>
        <w:pStyle w:val="Normal"/>
        <w:ind w:left="720" w:hanging="0"/>
        <w:rPr/>
      </w:pPr>
      <w:r>
        <w:rPr/>
      </w:r>
    </w:p>
    <w:p>
      <w:pPr>
        <w:pStyle w:val="Heading1"/>
        <w:keepLines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29" w:name="__RefHeading___Toc3911_3097593278"/>
      <w:bookmarkStart w:id="30" w:name="_Toc75446579"/>
      <w:bookmarkStart w:id="31" w:name="_Toc50125127"/>
      <w:bookmarkStart w:id="32" w:name="_Toc51339697"/>
      <w:bookmarkStart w:id="33" w:name="_Toc50125126_Копия_1"/>
      <w:bookmarkEnd w:id="29"/>
      <w:bookmarkEnd w:id="33"/>
      <w:r>
        <w:rPr>
          <w:sz w:val="24"/>
          <w:szCs w:val="24"/>
        </w:rPr>
        <w:t xml:space="preserve">Таблица 2.1 </w:t>
      </w:r>
      <w:bookmarkStart w:id="34" w:name="_Hlk50465284"/>
      <w:r>
        <w:rPr>
          <w:sz w:val="24"/>
          <w:szCs w:val="24"/>
        </w:rPr>
        <w:t xml:space="preserve">Требования по срокам </w:t>
      </w:r>
      <w:bookmarkEnd w:id="31"/>
      <w:bookmarkEnd w:id="32"/>
      <w:bookmarkEnd w:id="34"/>
      <w:r>
        <w:rPr>
          <w:sz w:val="24"/>
          <w:szCs w:val="24"/>
          <w:lang w:val="ru-RU"/>
        </w:rPr>
        <w:t>поставки продукции</w:t>
      </w:r>
      <w:bookmarkEnd w:id="30"/>
      <w:r>
        <w:rPr>
          <w:sz w:val="24"/>
          <w:szCs w:val="24"/>
          <w:lang w:val="ru-RU"/>
        </w:rPr>
        <w:t xml:space="preserve"> </w:t>
      </w:r>
    </w:p>
    <w:tbl>
      <w:tblPr>
        <w:tblW w:w="995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4"/>
        <w:gridCol w:w="3522"/>
        <w:gridCol w:w="2696"/>
        <w:gridCol w:w="3109"/>
      </w:tblGrid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4"/>
              <w:widowControl w:val="false"/>
              <w:rPr/>
            </w:pPr>
            <w:r>
              <w:rPr>
                <w:sz w:val="24"/>
                <w:szCs w:val="24"/>
              </w:rPr>
              <w:t>Маслоохладитель подпятника, поз. 13 обозначение 6БС.392.399 чертёж 5БС.357.439 СБ (нерж. сталь)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День, следующий за днем подписания Сторонами договора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В течении 270 (двухсот семидесяти) календарных дней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  <w:r>
        <w:br w:type="page"/>
      </w:r>
    </w:p>
    <w:p>
      <w:pPr>
        <w:pStyle w:val="Heading4"/>
        <w:numPr>
          <w:ilvl w:val="1"/>
          <w:numId w:val="3"/>
        </w:numPr>
        <w:ind w:left="1224" w:hanging="432"/>
        <w:rPr/>
      </w:pPr>
      <w:bookmarkStart w:id="35" w:name="__RefHeading___Toc3913_3097593278"/>
      <w:bookmarkStart w:id="36" w:name="_Toc51339698"/>
      <w:bookmarkStart w:id="37" w:name="_Toc75446581"/>
      <w:bookmarkStart w:id="38" w:name="_Toc46743511"/>
      <w:bookmarkEnd w:id="35"/>
      <w:r>
        <w:rPr/>
        <w:t xml:space="preserve">Требования к </w:t>
      </w:r>
      <w:bookmarkEnd w:id="38"/>
      <w:r>
        <w:rPr>
          <w:lang w:val="ru-RU"/>
        </w:rPr>
        <w:t>качеству продукции</w:t>
      </w:r>
      <w:bookmarkEnd w:id="37"/>
    </w:p>
    <w:p>
      <w:pPr>
        <w:pStyle w:val="Normal"/>
        <w:keepNext w:val="true"/>
        <w:spacing w:before="120" w:after="60"/>
        <w:ind w:firstLine="79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</w:numPr>
        <w:spacing w:before="120" w:after="60"/>
        <w:ind w:left="0" w:firstLine="794"/>
        <w:jc w:val="both"/>
        <w:rPr>
          <w:b w:val="false"/>
          <w:bCs w:val="false"/>
        </w:rPr>
      </w:pPr>
      <w:r>
        <w:rPr>
          <w:b w:val="false"/>
          <w:bCs w:val="false"/>
        </w:rPr>
      </w:r>
      <w:bookmarkStart w:id="39" w:name="__RefHeading___Toc3915_3097593278"/>
      <w:bookmarkStart w:id="40" w:name="__RefHeading___Toc3915_3097593278"/>
      <w:bookmarkEnd w:id="40"/>
    </w:p>
    <w:p>
      <w:pPr>
        <w:pStyle w:val="Heading1"/>
        <w:keepLines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41" w:name="__RefHeading___Toc3917_3097593278"/>
      <w:bookmarkEnd w:id="41"/>
      <w:r>
        <w:rPr>
          <w:sz w:val="24"/>
          <w:szCs w:val="24"/>
        </w:rPr>
        <w:t xml:space="preserve"> </w:t>
      </w:r>
      <w:bookmarkStart w:id="42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2"/>
      <w:r>
        <w:rPr>
          <w:sz w:val="24"/>
          <w:szCs w:val="24"/>
        </w:rPr>
        <w:t xml:space="preserve"> </w:t>
      </w:r>
      <w:bookmarkEnd w:id="36"/>
    </w:p>
    <w:tbl>
      <w:tblPr>
        <w:tblStyle w:val="affff9"/>
        <w:tblW w:w="152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2"/>
        <w:gridCol w:w="3441"/>
        <w:gridCol w:w="5312"/>
        <w:gridCol w:w="2099"/>
        <w:gridCol w:w="2083"/>
        <w:gridCol w:w="1694"/>
      </w:tblGrid>
      <w:tr>
        <w:trPr/>
        <w:tc>
          <w:tcPr>
            <w:tcW w:w="58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4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312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182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69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8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31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9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08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9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312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09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8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6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58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75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09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8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41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Маслоохладитель подпятника, поз. 13 обозначение 6БС.392.399 чертёж 5БС.357.439 СБ (нерж. Сталь)</w:t>
            </w:r>
          </w:p>
        </w:tc>
        <w:tc>
          <w:tcPr>
            <w:tcW w:w="5312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Трубки охлаждения маслоохладителей должны быть выполнены из нержавеющей стали.</w:t>
            </w:r>
          </w:p>
        </w:tc>
        <w:tc>
          <w:tcPr>
            <w:tcW w:w="209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технических характеристик</w:t>
            </w:r>
          </w:p>
        </w:tc>
        <w:tc>
          <w:tcPr>
            <w:tcW w:w="208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3441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Маслоохладитель подпятника, поз. 13 обозначение 6БС.392.399 чертёж 5БС.357.439 СБ (нерж. Сталь)</w:t>
            </w:r>
          </w:p>
        </w:tc>
        <w:tc>
          <w:tcPr>
            <w:tcW w:w="5312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12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 По качеству и комплектности должна соответствовать действующим на момент поставки ТУ или ГОСТ, указанным в соответствующих сертификатах.</w:t>
            </w:r>
          </w:p>
        </w:tc>
        <w:tc>
          <w:tcPr>
            <w:tcW w:w="209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8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58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117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2.</w:t>
            </w:r>
          </w:p>
        </w:tc>
        <w:tc>
          <w:tcPr>
            <w:tcW w:w="8753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09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117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2.1.</w:t>
            </w:r>
          </w:p>
        </w:tc>
        <w:tc>
          <w:tcPr>
            <w:tcW w:w="34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</w:t>
            </w:r>
          </w:p>
        </w:tc>
        <w:tc>
          <w:tcPr>
            <w:tcW w:w="531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Гарантийный срок на поставляемые Товары должен быть равен сроку, установленному заводом - изготовителем и начинает течь с даты подписания Сторонами накладной ТОРГ-12. Гарантийный срок может быть продлен в соответствии с условиями Договора. Установленный в отношении Товаров гарантийный срок распространяется на все составные части и комплектующие Товаров.</w:t>
            </w:r>
          </w:p>
        </w:tc>
        <w:tc>
          <w:tcPr>
            <w:tcW w:w="209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Предложение по сроку гарантии на оборудование и запасные части</w:t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113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3.</w:t>
            </w:r>
          </w:p>
        </w:tc>
        <w:tc>
          <w:tcPr>
            <w:tcW w:w="875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9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8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117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3.1.</w:t>
            </w:r>
          </w:p>
        </w:tc>
        <w:tc>
          <w:tcPr>
            <w:tcW w:w="34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 запасными частями</w:t>
            </w:r>
          </w:p>
        </w:tc>
        <w:tc>
          <w:tcPr>
            <w:tcW w:w="531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запасных частей передать Заказчику относящиеся к ним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товарную накладную унифицированной формы ТОРГ-12 в 2 экз.;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счет-фактура в 1 эк.; или УПД в 2 экз..</w:t>
            </w:r>
          </w:p>
        </w:tc>
        <w:tc>
          <w:tcPr>
            <w:tcW w:w="209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8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5" w:hRule="atLeast"/>
        </w:trPr>
        <w:tc>
          <w:tcPr>
            <w:tcW w:w="58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contextualSpacing w:val="false"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4.</w:t>
            </w:r>
          </w:p>
        </w:tc>
        <w:tc>
          <w:tcPr>
            <w:tcW w:w="8753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09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117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4.1.</w:t>
            </w:r>
          </w:p>
        </w:tc>
        <w:tc>
          <w:tcPr>
            <w:tcW w:w="34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к поставке МТР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531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Исполнитель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обязан обеспечить поставку указанных ТМЦ на складские помещения Покупателя: 676730, Амурская область, Бурейский район, пгт. Талакан, База флота, склад ТМЦ Бурейской ГЭС</w:t>
            </w:r>
          </w:p>
        </w:tc>
        <w:tc>
          <w:tcPr>
            <w:tcW w:w="209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851" w:right="1134" w:gutter="0" w:header="680" w:top="1128" w:footer="0" w:bottom="81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keepLines/>
        <w:numPr>
          <w:ilvl w:val="0"/>
          <w:numId w:val="0"/>
        </w:numPr>
        <w:ind w:left="0" w:hanging="0"/>
        <w:jc w:val="center"/>
        <w:rPr/>
      </w:pPr>
      <w:bookmarkStart w:id="43" w:name="__RefHeading___Toc3919_3097593278"/>
      <w:bookmarkStart w:id="44" w:name="_Toc51339699"/>
      <w:bookmarkStart w:id="45" w:name="_Toc46743519"/>
      <w:bookmarkEnd w:id="43"/>
      <w:bookmarkEnd w:id="44"/>
      <w:bookmarkEnd w:id="45"/>
      <w:r>
        <w:rPr>
          <w:lang w:val="ru-RU"/>
        </w:rPr>
        <w:t xml:space="preserve">3. </w:t>
      </w:r>
      <w:bookmarkStart w:id="46" w:name="_Toc75446583"/>
      <w:bookmarkStart w:id="47" w:name="_Toc53393312"/>
      <w:r>
        <w:rPr>
          <w:lang w:val="ru-RU"/>
        </w:rPr>
        <w:t>Требования к документации по ценообразованию</w:t>
      </w:r>
      <w:bookmarkEnd w:id="47"/>
      <w:r>
        <w:rPr>
          <w:lang w:val="ru-RU"/>
        </w:rPr>
        <w:t xml:space="preserve"> на этапе закупки</w:t>
      </w:r>
      <w:bookmarkEnd w:id="46"/>
    </w:p>
    <w:p>
      <w:pPr>
        <w:pStyle w:val="Normal"/>
        <w:jc w:val="both"/>
        <w:rPr>
          <w:iCs/>
          <w:sz w:val="24"/>
          <w:szCs w:val="24"/>
          <w:lang w:val="x-none"/>
        </w:rPr>
      </w:pPr>
      <w:r>
        <w:rPr>
          <w:iCs/>
          <w:sz w:val="24"/>
          <w:szCs w:val="24"/>
          <w:lang w:val="x-none"/>
        </w:rPr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3.1.</w:t>
      </w:r>
      <w:r>
        <w:rPr>
          <w:iCs/>
          <w:sz w:val="24"/>
          <w:szCs w:val="24"/>
        </w:rPr>
        <w:t xml:space="preserve"> В обоснование стоимости своей заявки Участник предоставляет коммерческое предложение по установленной в документации о закупке форме (с учетом прилагаемых к ней инструкций по заполнению)</w:t>
      </w:r>
      <w:r>
        <w:rPr>
          <w:i/>
          <w:iCs/>
          <w:sz w:val="24"/>
          <w:szCs w:val="24"/>
        </w:rPr>
        <w:t>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3.2.</w:t>
      </w:r>
      <w:r>
        <w:rPr>
          <w:sz w:val="24"/>
          <w:szCs w:val="24"/>
        </w:rPr>
        <w:t xml:space="preserve"> 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jc w:val="both"/>
        <w:rPr>
          <w:iCs/>
        </w:rPr>
      </w:pPr>
      <w:r>
        <w:rPr>
          <w:iCs/>
        </w:rPr>
      </w:r>
    </w:p>
    <w:p>
      <w:pPr>
        <w:pStyle w:val="ListParagraph"/>
        <w:keepNext w:val="true"/>
        <w:numPr>
          <w:ilvl w:val="0"/>
          <w:numId w:val="0"/>
        </w:numPr>
        <w:spacing w:before="120" w:after="60"/>
        <w:ind w:left="567" w:hanging="0"/>
        <w:contextualSpacing/>
        <w:jc w:val="center"/>
        <w:outlineLvl w:val="0"/>
        <w:rPr>
          <w:sz w:val="28"/>
          <w:szCs w:val="28"/>
        </w:rPr>
      </w:pPr>
      <w:bookmarkStart w:id="48" w:name="__RefHeading___Toc3921_3097593278"/>
      <w:bookmarkStart w:id="49" w:name="_Toc75446584"/>
      <w:bookmarkEnd w:id="48"/>
      <w:bookmarkEnd w:id="49"/>
      <w:r>
        <w:rPr>
          <w:b/>
          <w:sz w:val="28"/>
          <w:szCs w:val="28"/>
          <w:lang w:val="x-none" w:eastAsia="x-none"/>
        </w:rPr>
        <w:t xml:space="preserve">4. </w:t>
      </w:r>
      <w:bookmarkStart w:id="50" w:name="_Toc188516964"/>
      <w:bookmarkStart w:id="51" w:name="_Toc124328411"/>
      <w:r>
        <w:rPr>
          <w:b/>
          <w:sz w:val="28"/>
          <w:szCs w:val="28"/>
          <w:lang w:val="x-none" w:eastAsia="x-none"/>
        </w:rPr>
        <w:t>Квалификация (предпочтительность) участника</w:t>
      </w:r>
      <w:bookmarkEnd w:id="50"/>
      <w:bookmarkEnd w:id="51"/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0" w:leader="none"/>
        </w:tabs>
        <w:ind w:left="426" w:firstLine="141"/>
        <w:outlineLvl w:val="3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0" w:leader="none"/>
        </w:tabs>
        <w:spacing w:before="120" w:after="60"/>
        <w:ind w:left="397" w:firstLine="170"/>
        <w:outlineLvl w:val="3"/>
        <w:rPr/>
      </w:pPr>
      <w:bookmarkStart w:id="52" w:name="__RefHeading___Toc3923_3097593278"/>
      <w:bookmarkStart w:id="53" w:name="_Toc124328412"/>
      <w:bookmarkStart w:id="54" w:name="_Toc188516965"/>
      <w:bookmarkEnd w:id="52"/>
      <w:r>
        <w:rPr>
          <w:rFonts w:eastAsia="Calibri"/>
          <w:sz w:val="24"/>
          <w:szCs w:val="24"/>
          <w:lang w:val="x-none" w:eastAsia="x-none"/>
        </w:rPr>
        <w:t>Требования к квалификации Участника закупки представлены в таблице</w:t>
      </w:r>
      <w:bookmarkEnd w:id="54"/>
      <w:r>
        <w:rPr>
          <w:rFonts w:eastAsia="Calibri"/>
          <w:sz w:val="24"/>
          <w:szCs w:val="24"/>
          <w:lang w:val="x-none" w:eastAsia="x-none"/>
        </w:rPr>
        <w:t xml:space="preserve"> </w:t>
      </w:r>
      <w:bookmarkEnd w:id="53"/>
      <w:r>
        <w:rPr>
          <w:rFonts w:eastAsia="Calibri"/>
          <w:sz w:val="24"/>
          <w:szCs w:val="24"/>
          <w:lang w:val="x-none" w:eastAsia="x-none"/>
        </w:rPr>
        <w:t>4.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0" w:hanging="0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55" w:name="__RefHeading___Toc3925_3097593278"/>
      <w:bookmarkStart w:id="56" w:name="_Toc188516966"/>
      <w:bookmarkStart w:id="57" w:name="_Toc124328413"/>
      <w:bookmarkEnd w:id="55"/>
      <w:r>
        <w:rPr>
          <w:rFonts w:eastAsia="Calibri"/>
          <w:b/>
          <w:bCs/>
          <w:sz w:val="24"/>
          <w:szCs w:val="24"/>
          <w:lang w:val="x-none" w:eastAsia="x-none"/>
        </w:rPr>
        <w:t>Таблица 4. Перечень квалификационных требований</w:t>
      </w:r>
      <w:bookmarkEnd w:id="56"/>
      <w:bookmarkEnd w:id="57"/>
    </w:p>
    <w:tbl>
      <w:tblPr>
        <w:tblW w:w="1014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2"/>
        <w:gridCol w:w="4306"/>
        <w:gridCol w:w="5387"/>
      </w:tblGrid>
      <w:tr>
        <w:trPr>
          <w:trHeight w:val="113" w:hRule="atLeast"/>
        </w:trPr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ind w:left="-57" w:right="-57" w:hanging="0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b/>
                <w:bCs/>
                <w:sz w:val="24"/>
                <w:szCs w:val="22"/>
              </w:rPr>
              <w:t>Требования к Участникам</w:t>
            </w:r>
          </w:p>
          <w:p>
            <w:pPr>
              <w:pStyle w:val="Normal"/>
              <w:keepNext w:val="true"/>
              <w:widowControl w:val="false"/>
              <w:tabs>
                <w:tab w:val="clear" w:pos="720"/>
                <w:tab w:val="left" w:pos="426" w:leader="none"/>
              </w:tabs>
              <w:jc w:val="both"/>
              <w:rPr>
                <w:i/>
                <w:i/>
                <w:iCs/>
                <w:sz w:val="24"/>
                <w:szCs w:val="22"/>
                <w:shd w:fill="FFFF99" w:val="clear"/>
              </w:rPr>
            </w:pPr>
            <w:r>
              <w:rPr>
                <w:i/>
                <w:iCs/>
                <w:sz w:val="24"/>
                <w:szCs w:val="22"/>
                <w:shd w:fill="FFFF99" w:val="clear"/>
              </w:rPr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b/>
                <w:bCs/>
                <w:sz w:val="24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4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наличию опыта: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339" w:leader="none"/>
              </w:tabs>
              <w:jc w:val="both"/>
              <w:rPr>
                <w:i/>
                <w:i/>
                <w:i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Участнику закупки в качестве повышения предпочтительности своей заявки </w:t>
            </w:r>
            <w:r>
              <w:rPr>
                <w:b/>
                <w:sz w:val="24"/>
                <w:szCs w:val="24"/>
              </w:rPr>
              <w:t>рекомендуется предоставить</w:t>
            </w:r>
            <w:r>
              <w:rPr>
                <w:sz w:val="24"/>
                <w:szCs w:val="24"/>
              </w:rPr>
              <w:t xml:space="preserve"> сведения для оценки Участника по неценовому критерию: </w:t>
            </w:r>
            <w:r>
              <w:rPr>
                <w:color w:val="000000" w:themeColor="text1"/>
                <w:sz w:val="24"/>
                <w:szCs w:val="24"/>
              </w:rPr>
              <w:t xml:space="preserve">Наличие опыта поставки продукции, соответствующей профилю лота, а именно: </w:t>
            </w:r>
            <w:r>
              <w:rPr>
                <w:rFonts w:eastAsia="Calibri"/>
                <w:i/>
                <w:iCs/>
                <w:sz w:val="24"/>
                <w:szCs w:val="24"/>
              </w:rPr>
              <w:t>опыта поставки запасных частей для гидромеханического оборудования</w:t>
            </w:r>
            <w:r>
              <w:rPr>
                <w:color w:val="000000" w:themeColor="text1"/>
                <w:sz w:val="24"/>
                <w:szCs w:val="24"/>
              </w:rPr>
              <w:t>, при этом участником должны быть исполнены обязательства в общем (совокупном) объеме не менее 50 % от НМЦ лота за последние 5 (пять) лет, предшествующих дате подачи заявок.</w:t>
            </w:r>
          </w:p>
        </w:tc>
        <w:tc>
          <w:tcPr>
            <w:tcW w:w="5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4"/>
                <w:szCs w:val="24"/>
                <w:shd w:fill="FFFF99" w:val="clear"/>
              </w:rPr>
            </w:pPr>
            <w:r>
              <w:rPr>
                <w:rFonts w:eastAsia="Calibri"/>
                <w:iCs/>
                <w:sz w:val="24"/>
                <w:szCs w:val="24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      </w:r>
          </w:p>
          <w:p>
            <w:pPr>
              <w:pStyle w:val="Normal"/>
              <w:widowControl w:val="false"/>
              <w:ind w:left="28" w:hanging="0"/>
              <w:jc w:val="both"/>
              <w:rPr/>
            </w:pPr>
            <w:r>
              <w:rPr>
                <w:rFonts w:eastAsia="Calibri"/>
                <w:iCs/>
                <w:sz w:val="24"/>
                <w:szCs w:val="24"/>
              </w:rPr>
              <w:t>- копии договоров, подписанных с обеих сторон;</w:t>
            </w:r>
          </w:p>
          <w:p>
            <w:pPr>
              <w:pStyle w:val="Normal"/>
              <w:widowControl w:val="false"/>
              <w:ind w:left="28" w:hanging="0"/>
              <w:jc w:val="both"/>
              <w:rPr/>
            </w:pPr>
            <w:r>
              <w:rPr>
                <w:rFonts w:eastAsia="Calibri"/>
                <w:iCs/>
                <w:sz w:val="24"/>
                <w:szCs w:val="24"/>
              </w:rPr>
              <w:t>- копии товарных накладных по форме ТОРГ-12 или УПД (Универсальный передаточный документ), подписанных с обеих сторон.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iCs/>
                <w:sz w:val="24"/>
                <w:szCs w:val="24"/>
                <w:shd w:fill="FFFF99" w:val="clear"/>
              </w:rPr>
            </w:pPr>
            <w:r>
              <w:rPr>
                <w:rFonts w:eastAsia="Calibri"/>
                <w:iCs/>
                <w:sz w:val="24"/>
                <w:szCs w:val="24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</w:p>
        </w:tc>
      </w:tr>
    </w:tbl>
    <w:p>
      <w:pPr>
        <w:pStyle w:val="Normal"/>
        <w:keepNext w:val="true"/>
        <w:spacing w:before="120" w:after="60"/>
        <w:ind w:left="432" w:hanging="0"/>
        <w:jc w:val="both"/>
        <w:rPr>
          <w:rFonts w:eastAsia="Calibri"/>
          <w:bCs/>
          <w:i/>
          <w:i/>
          <w:sz w:val="24"/>
          <w:szCs w:val="24"/>
        </w:rPr>
      </w:pPr>
      <w:r>
        <w:rPr>
          <w:rFonts w:eastAsia="Calibri"/>
          <w:bCs/>
          <w:i/>
          <w:sz w:val="24"/>
          <w:szCs w:val="24"/>
        </w:rPr>
      </w:r>
    </w:p>
    <w:p>
      <w:pPr>
        <w:pStyle w:val="Normal"/>
        <w:spacing w:before="120" w:after="60"/>
        <w:ind w:left="432" w:hanging="0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Приложение: 1. Сборочный чертёж подпятника и спецификация — 2 листа (*pdf).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color w:val="000000" w:themeColor="text1"/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28" w:right="811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62EAF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62EAF4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1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uiPriority w:val="9"/>
    <w:qFormat/>
    <w:rsid w:val="00353a27"/>
    <w:pPr>
      <w:numPr>
        <w:ilvl w:val="0"/>
      </w:num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uiPriority w:val="9"/>
    <w:qFormat/>
    <w:rsid w:val="00035e96"/>
    <w:pPr>
      <w:keepNext w:val="true"/>
      <w:numPr>
        <w:ilvl w:val="2"/>
        <w:numId w:val="3"/>
      </w:numPr>
      <w:spacing w:lineRule="auto" w:line="276"/>
      <w:ind w:left="850" w:firstLine="113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uiPriority w:val="9"/>
    <w:qFormat/>
    <w:rsid w:val="006629c9"/>
    <w:pPr>
      <w:numPr>
        <w:ilvl w:val="0"/>
        <w:numId w:val="0"/>
      </w:numPr>
      <w:tabs>
        <w:tab w:val="clear" w:pos="720"/>
        <w:tab w:val="left" w:pos="0" w:leader="none"/>
      </w:tabs>
      <w:ind w:left="781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uiPriority w:val="9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23" w:customStyle="1">
    <w:name w:val="Неразрешенное упоминание2"/>
    <w:basedOn w:val="DefaultParagraphFont"/>
    <w:uiPriority w:val="99"/>
    <w:semiHidden/>
    <w:unhideWhenUsed/>
    <w:qFormat/>
    <w:rsid w:val="002f01b3"/>
    <w:rPr>
      <w:color w:val="605E5C"/>
      <w:shd w:fill="E1DFDD" w:val="clear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lineRule="auto" w:line="276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4"/>
      <w:szCs w:val="24"/>
    </w:rPr>
  </w:style>
  <w:style w:type="paragraph" w:styleId="26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2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61541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Style36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C6628-75A0-4ED9-BD88-CD32E2EA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4355</TotalTime>
  <Application>AlterOffice/3.4.0.9$Linux_X86_64 LibreOffice_project/b8daf9e823b1a5463a2f48435ddc2e8696e7d4fc</Application>
  <AppVersion>15.0000</AppVersion>
  <Pages>7</Pages>
  <Words>891</Words>
  <Characters>6084</Characters>
  <CharactersWithSpaces>6822</CharactersWithSpaces>
  <Paragraphs>153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2024-12-03T02:43:00Z</dcterms:created>
  <dc:creator>Быстров Олег Геннадьевич</dc:creator>
  <dc:description/>
  <dc:language>ru-RU</dc:language>
  <cp:lastModifiedBy>kukushkinavb@corp.gidroogk.com</cp:lastModifiedBy>
  <cp:lastPrinted>2025-08-07T14:19:00Z</cp:lastPrinted>
  <dcterms:modified xsi:type="dcterms:W3CDTF">2026-08-10T15:18:36Z</dcterms:modified>
  <cp:revision>65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