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7.xml" ContentType="application/vnd.openxmlformats-officedocument.wordprocessingml.footer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</w:r>
      <w:bookmarkStart w:id="0" w:name="_Toc46743519"/>
      <w:bookmarkStart w:id="1" w:name="_Toc51339699"/>
      <w:bookmarkStart w:id="2" w:name="_Toc46743519"/>
      <w:bookmarkStart w:id="3" w:name="_Toc51339699"/>
      <w:bookmarkEnd w:id="2"/>
      <w:bookmarkEnd w:id="3"/>
    </w:p>
    <w:p>
      <w:pPr>
        <w:pStyle w:val="Normal"/>
        <w:jc w:val="right"/>
        <w:rPr>
          <w:b/>
          <w:sz w:val="24"/>
        </w:rPr>
      </w:pPr>
      <w:r>
        <w:rPr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Технические требования на поставку МТР</w:t>
      </w:r>
    </w:p>
    <w:p>
      <w:pPr>
        <w:pStyle w:val="Normal"/>
        <w:jc w:val="center"/>
        <w:rPr>
          <w:sz w:val="28"/>
          <w:szCs w:val="28"/>
        </w:rPr>
      </w:pPr>
      <w:r>
        <w:rPr>
          <w:b w:val="false"/>
          <w:bCs w:val="false"/>
          <w:color w:val="000000" w:themeColor="text1"/>
          <w:sz w:val="28"/>
          <w:szCs w:val="28"/>
        </w:rPr>
        <w:t xml:space="preserve">   </w:t>
      </w:r>
      <w:r>
        <w:rPr>
          <w:b w:val="false"/>
          <w:bCs w:val="false"/>
          <w:color w:val="000000" w:themeColor="text1"/>
          <w:sz w:val="28"/>
          <w:szCs w:val="28"/>
        </w:rPr>
        <w:t>ОКПД2. 27.90.33.110 Поставка м</w:t>
      </w:r>
      <w:r>
        <w:rPr>
          <w:b w:val="false"/>
          <w:bCs w:val="false"/>
          <w:color w:val="000000"/>
          <w:sz w:val="28"/>
          <w:szCs w:val="28"/>
          <w:lang w:val="en-US"/>
        </w:rPr>
        <w:t>одулей накопления энергии в сборе</w:t>
      </w:r>
      <w:r>
        <w:rPr>
          <w:b w:val="false"/>
          <w:bCs w:val="false"/>
          <w:color w:val="000000" w:themeColor="text1"/>
          <w:sz w:val="28"/>
          <w:szCs w:val="28"/>
        </w:rPr>
        <w:t xml:space="preserve"> (аварийный запас) для нужд филиала ПАО «РусГидро» - «Бурейская ГЭС».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jc w:val="center"/>
        <w:rPr>
          <w:sz w:val="28"/>
          <w:szCs w:val="28"/>
        </w:rPr>
      </w:pPr>
      <w:r>
        <w:rPr>
          <w:b w:val="false"/>
          <w:bCs w:val="false"/>
          <w:color w:val="000000" w:themeColor="text1"/>
          <w:sz w:val="28"/>
          <w:szCs w:val="28"/>
        </w:rPr>
        <w:t>Лот №182073-РЕМ ПРОД-2026-БурГЭС</w:t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pacing w:before="120" w:after="0"/>
            <w:rPr/>
          </w:pPr>
          <w:r>
            <w:fldChar w:fldCharType="begin"/>
          </w:r>
          <w:r>
            <w:rPr/>
            <w:instrText xml:space="preserve"> TOC \z \o "1-4" \u \h</w:instrText>
          </w:r>
          <w:r>
            <w:rPr/>
            <w:fldChar w:fldCharType="separate"/>
          </w:r>
          <w:r>
            <w:rPr/>
            <w:t>1. Общие сведения</w:t>
            <w:tab/>
            <w:t>3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pacing w:before="120" w:after="0"/>
            <w:rPr/>
          </w:pPr>
          <w:r>
            <w:rPr/>
            <w:t>1.2. Наименование закупаемой продукции</w:t>
            <w:tab/>
            <w:t>4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pacing w:before="120" w:after="0"/>
            <w:rPr/>
          </w:pPr>
          <w:r>
            <w:rPr/>
            <w:t>1.3. Цель использования закупаемой продукции</w:t>
            <w:tab/>
            <w:t>4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pacing w:before="120" w:after="0"/>
            <w:rPr/>
          </w:pPr>
          <w:r>
            <w:rPr/>
            <w:t>2. Требования к продукции</w:t>
            <w:tab/>
            <w:t>4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pacing w:before="120" w:after="0"/>
            <w:rPr/>
          </w:pPr>
          <w:r>
            <w:rPr/>
            <w:t>3. Требования к качеству продукции</w:t>
            <w:tab/>
            <w:t>5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pacing w:before="120" w:after="0"/>
            <w:rPr/>
          </w:pPr>
          <w:r>
            <w:rPr/>
            <w:t>4. Требования к документации по ценообразованию на этапе закупки</w:t>
            <w:tab/>
            <w:t>9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pacing w:before="120" w:after="0"/>
            <w:rPr/>
          </w:pPr>
          <w:r>
            <w:rPr/>
            <w:t>5. Требования (предпочтительность) к участнику</w:t>
            <w:tab/>
            <w:t>9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pacing w:before="120" w:after="0"/>
            <w:rPr/>
          </w:pPr>
          <w:r>
            <w:rPr/>
            <w:t>6. Приложения…………………………………………………………………………..9</w:t>
          </w:r>
          <w:r>
            <w:rPr/>
            <w:fldChar w:fldCharType="end"/>
          </w:r>
        </w:p>
      </w:sdtContent>
    </w:sdt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Normal"/>
        <w:keepNext w:val="true"/>
        <w:numPr>
          <w:ilvl w:val="0"/>
          <w:numId w:val="1"/>
        </w:numPr>
        <w:spacing w:before="120" w:after="60"/>
        <w:ind w:left="5038" w:hanging="360"/>
        <w:outlineLvl w:val="0"/>
        <w:rPr>
          <w:rFonts w:eastAsia="Calibri"/>
          <w:b/>
          <w:caps/>
          <w:color w:val="000000" w:themeColor="text1"/>
          <w:lang w:eastAsia="x-none"/>
        </w:rPr>
      </w:pPr>
      <w:r>
        <w:rPr>
          <w:rFonts w:eastAsia="Calibri"/>
          <w:b/>
          <w:color w:val="000000" w:themeColor="text1"/>
          <w:lang w:eastAsia="x-none"/>
        </w:rPr>
        <w:t>Общие сведения</w:t>
      </w:r>
    </w:p>
    <w:p>
      <w:pPr>
        <w:pStyle w:val="Normal"/>
        <w:keepNext w:val="true"/>
        <w:numPr>
          <w:ilvl w:val="1"/>
          <w:numId w:val="1"/>
        </w:numPr>
        <w:spacing w:before="120" w:after="60"/>
        <w:ind w:left="432" w:hanging="432"/>
        <w:outlineLvl w:val="3"/>
        <w:rPr>
          <w:rFonts w:eastAsia="Calibri"/>
          <w:bCs/>
          <w:color w:val="000000" w:themeColor="text1"/>
          <w:sz w:val="24"/>
          <w:szCs w:val="24"/>
          <w:lang w:eastAsia="x-none"/>
        </w:rPr>
      </w:pPr>
      <w:r>
        <w:rPr>
          <w:rFonts w:eastAsia="Calibri"/>
          <w:bCs/>
          <w:color w:val="000000" w:themeColor="text1"/>
          <w:sz w:val="24"/>
          <w:szCs w:val="24"/>
          <w:lang w:eastAsia="x-none"/>
        </w:rPr>
        <w:t>Обозначения и сокращения</w:t>
      </w:r>
    </w:p>
    <w:p>
      <w:pPr>
        <w:pStyle w:val="Normal"/>
        <w:rPr>
          <w:bCs/>
          <w:i/>
          <w:i/>
          <w:iCs/>
          <w:sz w:val="26"/>
          <w:szCs w:val="26"/>
          <w:shd w:fill="FFFF99" w:val="clear"/>
        </w:rPr>
      </w:pPr>
      <w:r>
        <w:rPr>
          <w:bCs/>
          <w:i/>
          <w:iCs/>
          <w:sz w:val="26"/>
          <w:szCs w:val="26"/>
          <w:shd w:fill="FFFF99" w:val="clear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38"/>
        <w:gridCol w:w="7844"/>
      </w:tblGrid>
      <w:tr>
        <w:trPr>
          <w:cantSplit w:val="true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fill="FFFF99" w:val="clear"/>
              </w:rPr>
            </w:pPr>
            <w:r>
              <w:rPr>
                <w:color w:val="000000" w:themeColor="text1"/>
                <w:sz w:val="24"/>
                <w:szCs w:val="24"/>
              </w:rPr>
              <w:t>ГЭС</w:t>
            </w:r>
          </w:p>
        </w:tc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fill="FFFF99" w:val="clear"/>
              </w:rPr>
            </w:pPr>
            <w:r>
              <w:rPr>
                <w:color w:val="000000" w:themeColor="text1"/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НТД</w:t>
            </w:r>
          </w:p>
        </w:tc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нормативно-техническая документация</w:t>
            </w:r>
          </w:p>
        </w:tc>
      </w:tr>
      <w:tr>
        <w:trPr>
          <w:cantSplit w:val="true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fill="FFFF99" w:val="clear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ТТ</w:t>
            </w:r>
          </w:p>
        </w:tc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fill="FFFF99" w:val="clear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МТР</w:t>
            </w:r>
          </w:p>
        </w:tc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материально-технические ресурсы</w:t>
            </w:r>
          </w:p>
        </w:tc>
      </w:tr>
      <w:tr>
        <w:trPr>
          <w:cantSplit w:val="true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УПД</w:t>
            </w:r>
          </w:p>
        </w:tc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у</w:t>
            </w:r>
            <w:bookmarkStart w:id="4" w:name="_GoBack"/>
            <w:bookmarkEnd w:id="4"/>
            <w:r>
              <w:rPr>
                <w:color w:val="000000" w:themeColor="text1"/>
                <w:sz w:val="24"/>
                <w:szCs w:val="24"/>
                <w:lang w:val="en-US"/>
              </w:rPr>
              <w:t>ниверсальный передаточный документ</w:t>
            </w:r>
          </w:p>
        </w:tc>
      </w:tr>
      <w:tr>
        <w:trPr>
          <w:cantSplit w:val="true"/>
        </w:trPr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  <w:lang w:val="en-US"/>
              </w:rPr>
              <w:t>ТМЦ</w:t>
            </w:r>
          </w:p>
        </w:tc>
        <w:tc>
          <w:tcPr>
            <w:tcW w:w="7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  <w:lang w:val="en-US"/>
              </w:rPr>
              <w:t>товарно-материальные ценности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keepNext w:val="true"/>
        <w:numPr>
          <w:ilvl w:val="1"/>
          <w:numId w:val="1"/>
        </w:numPr>
        <w:spacing w:before="120" w:after="60"/>
        <w:ind w:left="432" w:hanging="432"/>
        <w:outlineLvl w:val="3"/>
        <w:rPr>
          <w:b/>
          <w:bCs/>
        </w:rPr>
      </w:pPr>
      <w:r>
        <w:rPr>
          <w:rFonts w:eastAsia="Calibri"/>
          <w:b/>
          <w:bCs/>
          <w:color w:val="000000" w:themeColor="text1"/>
          <w:sz w:val="24"/>
          <w:szCs w:val="24"/>
          <w:lang w:eastAsia="x-none"/>
        </w:rPr>
        <w:t>Наименование закупаемой продукции</w:t>
      </w:r>
    </w:p>
    <w:p>
      <w:pPr>
        <w:pStyle w:val="Normal"/>
        <w:jc w:val="both"/>
        <w:rPr>
          <w:sz w:val="24"/>
          <w:szCs w:val="24"/>
        </w:rPr>
      </w:pPr>
      <w:r>
        <w:rPr>
          <w:b w:val="false"/>
          <w:bCs w:val="false"/>
          <w:color w:val="000000" w:themeColor="text1"/>
          <w:sz w:val="24"/>
          <w:szCs w:val="24"/>
        </w:rPr>
        <w:t>ОКПД2 27.90.33.110 Поставка м</w:t>
      </w:r>
      <w:r>
        <w:rPr>
          <w:b w:val="false"/>
          <w:bCs w:val="false"/>
          <w:color w:val="000000"/>
          <w:sz w:val="24"/>
          <w:szCs w:val="24"/>
          <w:lang w:val="en-US"/>
        </w:rPr>
        <w:t>одулей накопления энергии в сборе</w:t>
      </w:r>
      <w:r>
        <w:rPr>
          <w:b w:val="false"/>
          <w:bCs w:val="false"/>
          <w:color w:val="000000" w:themeColor="text1"/>
          <w:sz w:val="24"/>
          <w:szCs w:val="24"/>
        </w:rPr>
        <w:t xml:space="preserve"> (аварийный запас) для нужд филиала ПАО «РусГидро» - «Бурейская ГЭС»</w:t>
      </w:r>
    </w:p>
    <w:p>
      <w:pPr>
        <w:pStyle w:val="Normal"/>
        <w:keepNext w:val="true"/>
        <w:numPr>
          <w:ilvl w:val="1"/>
          <w:numId w:val="1"/>
        </w:numPr>
        <w:spacing w:before="120" w:after="60"/>
        <w:ind w:left="432" w:hanging="432"/>
        <w:outlineLvl w:val="3"/>
        <w:rPr>
          <w:b/>
          <w:bCs/>
        </w:rPr>
      </w:pPr>
      <w:r>
        <w:rPr>
          <w:rFonts w:eastAsia="Calibri"/>
          <w:b/>
          <w:bCs/>
          <w:color w:val="000000" w:themeColor="text1"/>
          <w:sz w:val="24"/>
          <w:szCs w:val="24"/>
          <w:lang w:eastAsia="x-none"/>
        </w:rPr>
        <w:t>Цель использования закупаемой продукции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-57" w:hanging="0"/>
        <w:outlineLvl w:val="3"/>
        <w:rPr>
          <w:rFonts w:eastAsia="Calibri"/>
          <w:b/>
          <w:bCs/>
          <w:i/>
          <w:i/>
          <w:color w:val="000000" w:themeColor="text1"/>
          <w:sz w:val="24"/>
          <w:szCs w:val="24"/>
          <w:lang w:eastAsia="x-none"/>
        </w:rPr>
      </w:pPr>
      <w:r>
        <w:rPr>
          <w:rFonts w:eastAsia="Calibri"/>
          <w:bCs/>
          <w:color w:val="000000" w:themeColor="text1"/>
          <w:sz w:val="24"/>
          <w:szCs w:val="24"/>
          <w:lang w:eastAsia="x-none"/>
        </w:rPr>
        <w:t xml:space="preserve">        </w:t>
      </w:r>
      <w:r>
        <w:rPr>
          <w:rFonts w:eastAsia="Calibri"/>
          <w:bCs/>
          <w:color w:val="000000" w:themeColor="text1"/>
          <w:sz w:val="24"/>
          <w:szCs w:val="24"/>
          <w:lang w:eastAsia="x-none"/>
        </w:rPr>
        <w:t>Пополнение аварийного запаса Филиала путем поставки , модулей накопления энергии (модуль гидроаккумулятора) в сборе для привода</w:t>
      </w:r>
      <w:r>
        <w:rPr>
          <w:rFonts w:eastAsia="Calibri"/>
          <w:b w:val="false"/>
          <w:bCs/>
          <w:i w:val="false"/>
          <w:strike w:val="false"/>
          <w:dstrike w:val="false"/>
          <w:outline w:val="false"/>
          <w:shadow w:val="false"/>
          <w:color w:val="000000" w:themeColor="text1"/>
          <w:sz w:val="24"/>
          <w:szCs w:val="24"/>
          <w:u w:val="none"/>
          <w:em w:val="none"/>
          <w:lang w:eastAsia="x-none"/>
        </w:rPr>
        <w:t xml:space="preserve"> НМВ-8.3 НМВ 8/STORAGE MODULE CPL. HMB-8 (1HDH111613R0002)</w:t>
      </w:r>
      <w:r>
        <w:rPr>
          <w:rFonts w:eastAsia="Calibri"/>
          <w:bCs/>
          <w:color w:val="000000" w:themeColor="text1"/>
          <w:sz w:val="24"/>
          <w:szCs w:val="24"/>
          <w:lang w:eastAsia="x-none"/>
        </w:rPr>
        <w:t xml:space="preserve">  необходимых для ликвидации возможных отказов (аварий) КРУЭ-500 кВ Бурейской ГЭС.</w:t>
      </w:r>
    </w:p>
    <w:p>
      <w:pPr>
        <w:pStyle w:val="Normal"/>
        <w:jc w:val="both"/>
        <w:rPr>
          <w:b/>
          <w:bCs/>
        </w:rPr>
      </w:pPr>
      <w:r>
        <w:rPr>
          <w:b/>
          <w:bCs/>
          <w:sz w:val="24"/>
          <w:szCs w:val="24"/>
        </w:rPr>
        <w:t>1.4. Иные условия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Любая информация, отраженная в предоставляемой в составе Документации о закупке Участникам состязательного отбора, а также  данные, указанные в Технических требованиях, является собственностью Заказчика и запрещена для любого копирования и передачи третьим лицам.</w:t>
      </w:r>
    </w:p>
    <w:p>
      <w:pPr>
        <w:pStyle w:val="Normal"/>
        <w:keepNext w:val="true"/>
        <w:numPr>
          <w:ilvl w:val="0"/>
          <w:numId w:val="1"/>
        </w:numPr>
        <w:spacing w:before="120" w:after="60"/>
        <w:ind w:left="3686" w:hanging="425"/>
        <w:outlineLvl w:val="0"/>
        <w:rPr>
          <w:rFonts w:eastAsia="Calibri"/>
          <w:b/>
          <w:i/>
          <w:i/>
          <w:caps/>
          <w:color w:val="000000" w:themeColor="text1"/>
          <w:lang w:eastAsia="x-none"/>
        </w:rPr>
      </w:pPr>
      <w:r>
        <w:rPr>
          <w:rFonts w:eastAsia="Calibri"/>
          <w:b/>
          <w:color w:val="000000" w:themeColor="text1"/>
          <w:lang w:eastAsia="x-none"/>
        </w:rPr>
        <w:t>Требования к продукции</w:t>
      </w:r>
    </w:p>
    <w:p>
      <w:pPr>
        <w:pStyle w:val="Normal"/>
        <w:numPr>
          <w:ilvl w:val="1"/>
          <w:numId w:val="1"/>
        </w:numPr>
        <w:rPr>
          <w:b/>
          <w:bCs/>
        </w:rPr>
      </w:pPr>
      <w:r>
        <w:rPr>
          <w:b/>
          <w:bCs/>
          <w:sz w:val="24"/>
          <w:szCs w:val="24"/>
        </w:rPr>
        <w:t>Требования к объемам и срокам поставки</w:t>
      </w:r>
    </w:p>
    <w:p>
      <w:pPr>
        <w:pStyle w:val="Normal"/>
        <w:rPr/>
      </w:pPr>
      <w:r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>2.1.1. Перечень и объем закупаемой продукции</w:t>
      </w:r>
    </w:p>
    <w:p>
      <w:pPr>
        <w:pStyle w:val="Normal"/>
        <w:rPr>
          <w:b/>
          <w:bCs/>
        </w:rPr>
      </w:pPr>
      <w:r>
        <w:rPr>
          <w:b/>
          <w:bCs/>
          <w:sz w:val="24"/>
          <w:szCs w:val="24"/>
        </w:rPr>
        <w:t>Таблица 1.1 Перечень и объем закупаемой продукции</w:t>
      </w:r>
    </w:p>
    <w:tbl>
      <w:tblPr>
        <w:tblW w:w="93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4"/>
        <w:gridCol w:w="4823"/>
        <w:gridCol w:w="2268"/>
        <w:gridCol w:w="1699"/>
      </w:tblGrid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 w:themeColor="text1"/>
                <w:sz w:val="24"/>
                <w:szCs w:val="24"/>
                <w:u w:val="none"/>
                <w:em w:val="none"/>
                <w:lang w:val="en-US"/>
              </w:rPr>
              <w:t>Модуль накопления энергии (модуль гидроаккумулятора) в сборе, для привода НМВ-8.3 НМВ 8/STORAGE MODULE CPL. HMB-8 (1HDH111613R0002) Рис.1 приложение №1 к ТТ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before="120" w:after="60"/>
        <w:ind w:left="0" w:hanging="0"/>
        <w:outlineLvl w:val="0"/>
        <w:rPr>
          <w:rFonts w:eastAsia="Calibri"/>
          <w:i/>
          <w:i/>
          <w:color w:val="000000" w:themeColor="text1"/>
          <w:sz w:val="24"/>
          <w:szCs w:val="24"/>
          <w:lang w:eastAsia="x-none"/>
        </w:rPr>
      </w:pPr>
      <w:r>
        <w:rPr>
          <w:rFonts w:eastAsia="Calibri"/>
          <w:color w:val="000000" w:themeColor="text1"/>
          <w:sz w:val="24"/>
          <w:szCs w:val="24"/>
          <w:lang w:eastAsia="x-none"/>
        </w:rPr>
        <w:tab/>
      </w:r>
    </w:p>
    <w:p>
      <w:pPr>
        <w:pStyle w:val="Normal"/>
        <w:numPr>
          <w:ilvl w:val="0"/>
          <w:numId w:val="0"/>
        </w:numPr>
        <w:spacing w:before="120" w:after="60"/>
        <w:ind w:left="0" w:hanging="0"/>
        <w:outlineLvl w:val="0"/>
        <w:rPr>
          <w:b/>
          <w:bCs/>
        </w:rPr>
      </w:pPr>
      <w:r>
        <w:rPr>
          <w:rFonts w:eastAsia="Calibri"/>
          <w:b/>
          <w:bCs/>
          <w:color w:val="000000" w:themeColor="text1"/>
          <w:sz w:val="24"/>
          <w:szCs w:val="24"/>
          <w:lang w:eastAsia="x-none"/>
        </w:rPr>
        <w:t xml:space="preserve">Таблица 2.1 Требования по срокам поставки продукции </w:t>
      </w:r>
    </w:p>
    <w:tbl>
      <w:tblPr>
        <w:tblW w:w="949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0"/>
        <w:gridCol w:w="2556"/>
        <w:gridCol w:w="3257"/>
        <w:gridCol w:w="3118"/>
      </w:tblGrid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 w:themeColor="text1"/>
                <w:sz w:val="24"/>
                <w:szCs w:val="24"/>
                <w:u w:val="none"/>
                <w:em w:val="none"/>
                <w:lang w:val="en-US"/>
              </w:rPr>
              <w:t>Модуль накопления энергии (модуль гидроаккумулятора) в сборе, для привода НМВ-8.3 НМВ 8/STORAGE MODULE CPL. HMB-8 (1HDH111613R0002)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день, следующий за днем подписания Сторонами Договора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в течение 240 (двести сорок) календарных дней с даты подписания Договора</w:t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w="11906" w:h="16838"/>
          <w:pgMar w:left="907" w:right="510" w:gutter="0" w:header="454" w:top="908" w:footer="567" w:bottom="82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tabs>
          <w:tab w:val="clear" w:pos="708"/>
          <w:tab w:val="left" w:pos="2712" w:leader="none"/>
        </w:tabs>
        <w:ind w:firstLine="142"/>
        <w:rPr>
          <w:b/>
          <w:bCs/>
        </w:rPr>
      </w:pPr>
      <w:r>
        <w:rPr>
          <w:b/>
          <w:bCs/>
          <w:sz w:val="24"/>
          <w:szCs w:val="24"/>
        </w:rPr>
        <w:t>2. Требования к качеству продукции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0" w:firstLine="142"/>
        <w:outlineLvl w:val="0"/>
        <w:rPr>
          <w:rFonts w:eastAsia="Calibri"/>
          <w:b/>
          <w:color w:val="000000" w:themeColor="text1"/>
          <w:sz w:val="24"/>
          <w:szCs w:val="24"/>
          <w:lang w:eastAsia="x-none"/>
        </w:rPr>
      </w:pPr>
      <w:r>
        <w:rPr>
          <w:rFonts w:eastAsia="Calibri"/>
          <w:color w:val="000000" w:themeColor="text1"/>
          <w:sz w:val="24"/>
          <w:szCs w:val="24"/>
          <w:lang w:eastAsia="x-none"/>
        </w:rPr>
        <w:t xml:space="preserve"> </w:t>
      </w:r>
      <w:r>
        <w:rPr>
          <w:rFonts w:eastAsia="Calibri"/>
          <w:b/>
          <w:bCs/>
          <w:color w:val="000000" w:themeColor="text1"/>
          <w:sz w:val="24"/>
          <w:szCs w:val="24"/>
          <w:lang w:eastAsia="x-none"/>
        </w:rPr>
        <w:t>Таблица 3. Требования к продукции</w:t>
      </w:r>
    </w:p>
    <w:tbl>
      <w:tblPr>
        <w:tblStyle w:val="aff2"/>
        <w:tblW w:w="15029" w:type="dxa"/>
        <w:jc w:val="left"/>
        <w:tblInd w:w="24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1"/>
        <w:gridCol w:w="2550"/>
        <w:gridCol w:w="6096"/>
        <w:gridCol w:w="1987"/>
        <w:gridCol w:w="1983"/>
        <w:gridCol w:w="1841"/>
      </w:tblGrid>
      <w:tr>
        <w:trPr/>
        <w:tc>
          <w:tcPr>
            <w:tcW w:w="57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п/поз</w:t>
            </w:r>
          </w:p>
        </w:tc>
        <w:tc>
          <w:tcPr>
            <w:tcW w:w="255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продукции</w:t>
            </w:r>
          </w:p>
        </w:tc>
        <w:tc>
          <w:tcPr>
            <w:tcW w:w="609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397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4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7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09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19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4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57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5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609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9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9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84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6</w:t>
            </w:r>
          </w:p>
        </w:tc>
      </w:tr>
      <w:tr>
        <w:trPr/>
        <w:tc>
          <w:tcPr>
            <w:tcW w:w="57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360" w:hanging="31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64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342" w:hRule="atLeast"/>
        </w:trPr>
        <w:tc>
          <w:tcPr>
            <w:tcW w:w="57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kern w:val="0"/>
                <w:sz w:val="24"/>
                <w:szCs w:val="24"/>
                <w:lang w:val="en-US" w:bidi="ar-SA"/>
              </w:rPr>
              <w:t>1.1</w:t>
            </w:r>
          </w:p>
        </w:tc>
        <w:tc>
          <w:tcPr>
            <w:tcW w:w="255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themeColor="text1"/>
                <w:kern w:val="0"/>
                <w:sz w:val="24"/>
                <w:szCs w:val="24"/>
                <w:u w:val="none"/>
                <w:em w:val="none"/>
                <w:lang w:val="en-US" w:bidi="ar-SA"/>
              </w:rPr>
              <w:t>Модуль накопления энергии (модуль гидроаккумулятора) в сборе, для привода НМВ-8.3 НМВ 8/STORAGE MODULE CPL. HMB-8 (1HDH111613R0002) Рис.1 приложение №1 к ТТ</w:t>
            </w:r>
          </w:p>
        </w:tc>
        <w:tc>
          <w:tcPr>
            <w:tcW w:w="6096" w:type="dxa"/>
            <w:tcBorders/>
            <w:shd w:color="auto" w:fill="auto" w:val="clear"/>
          </w:tcPr>
          <w:p>
            <w:pPr>
              <w:pStyle w:val="BodyText"/>
              <w:widowControl w:val="false"/>
              <w:spacing w:before="0" w:after="12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bidi="ar-SA"/>
              </w:rPr>
              <w:t>Поставка эквивалента недопустима в связи с тем, что закупаемый товар будет использоваться во взаимодействии с товарами, уже использующимися заказчиком (в соответствии с технической документацией)</w:t>
            </w:r>
          </w:p>
        </w:tc>
        <w:tc>
          <w:tcPr>
            <w:tcW w:w="19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184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342" w:hRule="atLeast"/>
        </w:trPr>
        <w:tc>
          <w:tcPr>
            <w:tcW w:w="57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1.2.</w:t>
            </w:r>
          </w:p>
        </w:tc>
        <w:tc>
          <w:tcPr>
            <w:tcW w:w="2550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Номинальные параметры (технические характеристики)</w:t>
            </w:r>
          </w:p>
        </w:tc>
        <w:tc>
          <w:tcPr>
            <w:tcW w:w="6096" w:type="dxa"/>
            <w:tcBorders>
              <w:top w:val="nil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12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>1. Модуль накопления энергии (модуль гидроаккумулятора) в сборе, для привода НМВ-8.3 НМВ</w:t>
            </w:r>
            <w:r>
              <w:rPr>
                <w:rFonts w:ascii="Times New Roman" w:hAnsi="Times New Roman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>8/STORAGE MODULE CPL. HMB-8 (1HDH111613R0002) должен соответствовать номинальным параметрам (техническим характеристикам), приведённым в приложении 2 «Таблица 6.1 Номинальные параметры НМВ-8.х» к настоящей ТТ.</w:t>
            </w:r>
            <w:r>
              <w:rPr>
                <w:rFonts w:ascii="Times New Roman" w:hAnsi="Times New Roman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>2. Общий вид (разрез) модуля накопления энергии показан в приложении 1 «Рис. 1 Гидропружинный привод типа HMB-4/-8» к настоящей ТТ</w:t>
            </w:r>
          </w:p>
        </w:tc>
        <w:tc>
          <w:tcPr>
            <w:tcW w:w="198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98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342" w:hRule="atLeast"/>
        </w:trPr>
        <w:tc>
          <w:tcPr>
            <w:tcW w:w="57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1.3.</w:t>
            </w:r>
          </w:p>
        </w:tc>
        <w:tc>
          <w:tcPr>
            <w:tcW w:w="255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новизне</w:t>
            </w:r>
          </w:p>
        </w:tc>
        <w:tc>
          <w:tcPr>
            <w:tcW w:w="609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12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  <w:p>
            <w:pPr>
              <w:pStyle w:val="Normal"/>
              <w:widowControl w:val="false"/>
              <w:suppressAutoHyphens w:val="true"/>
              <w:spacing w:before="12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98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184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360" w:hanging="31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64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184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kern w:val="0"/>
                <w:sz w:val="24"/>
                <w:szCs w:val="24"/>
                <w:lang w:val="en-US" w:bidi="ar-SA"/>
              </w:rPr>
              <w:t>2.1</w:t>
            </w:r>
          </w:p>
        </w:tc>
        <w:tc>
          <w:tcPr>
            <w:tcW w:w="255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Гарантийный срок</w:t>
            </w:r>
          </w:p>
        </w:tc>
        <w:tc>
          <w:tcPr>
            <w:tcW w:w="609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Гарантийный срок на поставляемые Товары должен быть равен сроку, установленному заводом - изготовителем и начинает течь с даты подписания Сторонами накладной ТОРГ-12. Гарантийный срок может быть продлен в соответствии с условиями Договора.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Установленный в отношении Товаров гарантийный срок распространяется на все составные части и комплектующие Товаров.</w:t>
            </w:r>
          </w:p>
        </w:tc>
        <w:tc>
          <w:tcPr>
            <w:tcW w:w="198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Предложение по сроку гарантии на оборудование и запасные части</w:t>
            </w:r>
          </w:p>
        </w:tc>
        <w:tc>
          <w:tcPr>
            <w:tcW w:w="198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  <w:t>-//-</w:t>
            </w:r>
          </w:p>
        </w:tc>
        <w:tc>
          <w:tcPr>
            <w:tcW w:w="184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360" w:hanging="31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64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184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hanging="276"/>
              <w:contextualSpacing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55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 запасными частями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609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запасных частей передать Заказчику относящиеся к ним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технические паспорта;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в 2 экз.; счет-фактура в 1 эк.; или УПД в 2 экз..</w:t>
            </w:r>
          </w:p>
        </w:tc>
        <w:tc>
          <w:tcPr>
            <w:tcW w:w="19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184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8646" w:type="dxa"/>
            <w:gridSpan w:val="2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198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8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184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1" w:type="dxa"/>
            <w:tcBorders>
              <w:top w:val="nil"/>
              <w:bottom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4.1.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к поставке МТР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96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Исполнитель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обязан обеспечить поставку указанных ТМЦ на складские помещения Покупателя: 676730, Амурская область,  пгт. Талакан, База флота, склад ТМЦ Бурейской ГЭС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720" w:hanging="0"/>
              <w:contextualSpacing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1983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9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720" w:hanging="0"/>
              <w:contextualSpacing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orient="landscape" w:w="16838" w:h="11906"/>
          <w:pgMar w:left="992" w:right="964" w:gutter="0" w:header="680" w:top="737" w:footer="737" w:bottom="794"/>
          <w:pgNumType w:start="7"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keepNext w:val="true"/>
        <w:numPr>
          <w:ilvl w:val="0"/>
          <w:numId w:val="0"/>
        </w:numPr>
        <w:spacing w:before="120" w:after="60"/>
        <w:ind w:left="142" w:firstLine="992"/>
        <w:jc w:val="center"/>
        <w:outlineLvl w:val="0"/>
        <w:rPr>
          <w:rFonts w:eastAsia="Calibri"/>
          <w:b/>
          <w:i/>
          <w:i/>
          <w:color w:val="000000" w:themeColor="text1"/>
          <w:lang w:eastAsia="x-none"/>
        </w:rPr>
      </w:pPr>
      <w:r>
        <w:rPr>
          <w:rFonts w:eastAsia="Calibri"/>
          <w:b/>
          <w:color w:val="000000" w:themeColor="text1"/>
          <w:lang w:eastAsia="x-none"/>
        </w:rPr>
        <w:t>3.Требования к документации по ценообразованию на этапе закупки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ab/>
        <w:tab/>
        <w:t>3.1.</w:t>
      </w:r>
      <w:r>
        <w:rPr>
          <w:iCs/>
          <w:sz w:val="24"/>
          <w:szCs w:val="24"/>
        </w:rPr>
        <w:t xml:space="preserve"> В обоснование стоимости своей заявки Участник предоставляет коммерческое предложение </w:t>
        <w:tab/>
        <w:tab/>
        <w:t xml:space="preserve">по </w:t>
        <w:tab/>
        <w:t xml:space="preserve">установленной в документации о закупке форме (с учетом прилагаемых к ней инструкций </w:t>
        <w:tab/>
        <w:tab/>
        <w:t xml:space="preserve">по </w:t>
        <w:tab/>
        <w:t>заполнению)</w:t>
      </w:r>
      <w:r>
        <w:rPr>
          <w:i/>
          <w:iCs/>
          <w:sz w:val="24"/>
          <w:szCs w:val="24"/>
        </w:rPr>
        <w:t>.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rFonts w:eastAsia="Calibri"/>
          <w:b/>
          <w:bCs/>
          <w:iCs/>
          <w:color w:val="000000" w:themeColor="text1"/>
          <w:sz w:val="24"/>
          <w:szCs w:val="24"/>
          <w:lang w:eastAsia="x-none"/>
        </w:rPr>
        <w:tab/>
        <w:tab/>
        <w:t>3.2.</w:t>
      </w:r>
      <w:r>
        <w:rPr>
          <w:rFonts w:eastAsia="Calibri"/>
          <w:bCs/>
          <w:iCs/>
          <w:color w:val="000000" w:themeColor="text1"/>
          <w:sz w:val="24"/>
          <w:szCs w:val="24"/>
          <w:lang w:eastAsia="x-none"/>
        </w:rPr>
        <w:t xml:space="preserve"> Дополнительные документы по ценообразованию (сметная документация) в состав заявки </w:t>
        <w:tab/>
        <w:tab/>
        <w:tab/>
        <w:t>Участника не включаются.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0" w:hanging="0"/>
        <w:jc w:val="center"/>
        <w:outlineLvl w:val="0"/>
        <w:rPr>
          <w:rFonts w:eastAsia="Calibri"/>
          <w:b/>
          <w:lang w:val="x-none" w:eastAsia="x-none"/>
        </w:rPr>
      </w:pPr>
      <w:r>
        <w:rPr>
          <w:rFonts w:eastAsia="Calibri"/>
          <w:b/>
          <w:lang w:eastAsia="x-none"/>
        </w:rPr>
        <w:t xml:space="preserve">4. </w:t>
      </w:r>
      <w:bookmarkStart w:id="5" w:name="_Toc188516964"/>
      <w:bookmarkStart w:id="6" w:name="_Toc124328411"/>
      <w:r>
        <w:rPr>
          <w:rFonts w:eastAsia="Calibri"/>
          <w:b/>
          <w:sz w:val="28"/>
          <w:szCs w:val="28"/>
          <w:lang w:val="x-none" w:eastAsia="x-none"/>
        </w:rPr>
        <w:t>Квалификация (предпочтительность) участника</w:t>
      </w:r>
      <w:bookmarkEnd w:id="5"/>
      <w:bookmarkEnd w:id="6"/>
    </w:p>
    <w:p>
      <w:pPr>
        <w:pStyle w:val="Normal"/>
        <w:numPr>
          <w:ilvl w:val="0"/>
          <w:numId w:val="0"/>
        </w:numPr>
        <w:spacing w:before="120" w:after="60"/>
        <w:ind w:left="0" w:hanging="0"/>
        <w:jc w:val="both"/>
        <w:outlineLvl w:val="0"/>
        <w:rPr/>
      </w:pPr>
      <w:r>
        <w:rPr/>
        <w:tab/>
        <w:tab/>
      </w:r>
      <w:r>
        <w:rPr>
          <w:sz w:val="24"/>
          <w:szCs w:val="24"/>
        </w:rPr>
        <w:t>Требования к квалификации Участника закупки представлены в таблице 4.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709" w:hanging="0"/>
        <w:outlineLvl w:val="3"/>
        <w:rPr>
          <w:rFonts w:eastAsia="Calibri"/>
          <w:bCs/>
          <w:sz w:val="24"/>
          <w:lang w:eastAsia="x-none"/>
        </w:rPr>
      </w:pPr>
      <w:r>
        <w:rPr>
          <w:rFonts w:eastAsia="Calibri"/>
          <w:b/>
          <w:bCs/>
          <w:sz w:val="24"/>
          <w:lang w:eastAsia="x-none"/>
        </w:rPr>
        <w:t xml:space="preserve">Таблица 4. Перечень квалификационных требований. </w:t>
      </w:r>
      <w:r>
        <w:rPr>
          <w:rFonts w:eastAsia="Calibri"/>
          <w:bCs/>
          <w:sz w:val="24"/>
          <w:lang w:eastAsia="x-none"/>
        </w:rPr>
        <w:t xml:space="preserve">Таблица 4. </w:t>
      </w:r>
    </w:p>
    <w:tbl>
      <w:tblPr>
        <w:tblW w:w="10348" w:type="dxa"/>
        <w:jc w:val="left"/>
        <w:tblInd w:w="8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3"/>
        <w:gridCol w:w="4586"/>
        <w:gridCol w:w="5249"/>
      </w:tblGrid>
      <w:tr>
        <w:trPr/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Требования к Участникам</w:t>
            </w:r>
          </w:p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2"/>
                <w:shd w:fill="FFFF99" w:val="clear"/>
              </w:rPr>
            </w:pPr>
            <w:r>
              <w:rPr>
                <w:i/>
                <w:iCs/>
                <w:sz w:val="24"/>
                <w:szCs w:val="22"/>
                <w:shd w:fill="FFFF99" w:val="clear"/>
              </w:rPr>
            </w:r>
          </w:p>
        </w:tc>
        <w:tc>
          <w:tcPr>
            <w:tcW w:w="5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наличию опыта: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39" w:leader="none"/>
              </w:tabs>
              <w:jc w:val="both"/>
              <w:rPr>
                <w:i/>
                <w:i/>
                <w:i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Участнику закупки в качестве повышения предпочтительности своей заявки </w:t>
            </w:r>
            <w:r>
              <w:rPr>
                <w:b/>
                <w:sz w:val="24"/>
                <w:szCs w:val="24"/>
              </w:rPr>
              <w:t>рекомендуется предоставить</w:t>
            </w:r>
            <w:r>
              <w:rPr>
                <w:sz w:val="24"/>
                <w:szCs w:val="24"/>
              </w:rPr>
              <w:t xml:space="preserve"> сведения для оценки Участника по неценовому критерию: </w:t>
            </w:r>
            <w:r>
              <w:rPr>
                <w:color w:val="000000" w:themeColor="text1"/>
                <w:sz w:val="24"/>
                <w:szCs w:val="24"/>
              </w:rPr>
              <w:t xml:space="preserve">Наличие опыта поставки продукции, соответствующей профилю лота, а именно: </w:t>
            </w:r>
            <w:r>
              <w:rPr>
                <w:rFonts w:eastAsia="Calibri"/>
                <w:i/>
                <w:iCs/>
                <w:sz w:val="24"/>
                <w:szCs w:val="24"/>
              </w:rPr>
              <w:t>опыта поставки запасных частей для электротехнического оборудования</w:t>
            </w:r>
            <w:r>
              <w:rPr>
                <w:color w:val="000000" w:themeColor="text1"/>
                <w:sz w:val="24"/>
                <w:szCs w:val="24"/>
              </w:rPr>
              <w:t>, при этом участником должны быть исполнены обязательства в общем (совокупном) объеме не менее 50 % от НМЦ лота за последние 5 (пять) лет, предшествующих дате подачи заявок.</w:t>
            </w:r>
          </w:p>
        </w:tc>
        <w:tc>
          <w:tcPr>
            <w:tcW w:w="5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both"/>
              <w:rPr>
                <w:i/>
                <w:i/>
                <w:iCs/>
                <w:sz w:val="22"/>
                <w:szCs w:val="22"/>
                <w:shd w:fill="FFFF99" w:val="clear"/>
              </w:rPr>
            </w:pPr>
            <w:r>
              <w:rPr>
                <w:rFonts w:eastAsia="Calibri"/>
                <w:iCs/>
                <w:sz w:val="22"/>
                <w:szCs w:val="22"/>
              </w:rPr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60"/>
              <w:ind w:left="312" w:hanging="284"/>
              <w:contextualSpacing/>
              <w:jc w:val="both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копии договоров, подписанных с обеих сторон;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60"/>
              <w:ind w:left="312" w:hanging="284"/>
              <w:contextualSpacing/>
              <w:rPr>
                <w:rFonts w:eastAsia="Calibri"/>
                <w:iCs/>
                <w:sz w:val="22"/>
                <w:szCs w:val="22"/>
                <w:shd w:fill="FFFF99" w:val="clear"/>
              </w:rPr>
            </w:pPr>
            <w:r>
              <w:rPr>
                <w:rFonts w:eastAsia="Calibri"/>
                <w:iCs/>
                <w:sz w:val="22"/>
                <w:szCs w:val="22"/>
              </w:rPr>
              <w:t>копии товарных накладных по форме ТОРГ-12 или УПД (Универсальный передаточный документ), подписанных с обеих сторон.</w:t>
            </w:r>
          </w:p>
          <w:p>
            <w:pPr>
              <w:pStyle w:val="Normal"/>
              <w:widowControl w:val="false"/>
              <w:spacing w:before="0" w:after="60"/>
              <w:ind w:left="312" w:hanging="0"/>
              <w:contextualSpacing/>
              <w:jc w:val="both"/>
              <w:rPr>
                <w:rFonts w:eastAsia="Calibri"/>
                <w:iCs/>
                <w:sz w:val="22"/>
                <w:szCs w:val="22"/>
                <w:shd w:fill="FFFF99" w:val="clear"/>
              </w:rPr>
            </w:pPr>
            <w:r>
              <w:rPr>
                <w:rFonts w:eastAsia="Calibri"/>
                <w:iCs/>
                <w:sz w:val="22"/>
                <w:szCs w:val="22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</w:p>
        </w:tc>
      </w:tr>
    </w:tbl>
    <w:p>
      <w:pPr>
        <w:pStyle w:val="Normal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9"/>
        <w:rPr>
          <w:b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6. Приложения: </w:t>
      </w:r>
    </w:p>
    <w:p>
      <w:pPr>
        <w:pStyle w:val="Normal"/>
        <w:ind w:firstLine="709"/>
        <w:rPr>
          <w:b w:val="false"/>
          <w:bCs w:val="false"/>
        </w:rPr>
      </w:pPr>
      <w:r>
        <w:rPr>
          <w:b w:val="false"/>
          <w:bCs w:val="false"/>
          <w:color w:val="000000" w:themeColor="text1"/>
          <w:sz w:val="24"/>
          <w:szCs w:val="24"/>
        </w:rPr>
        <w:t>Приложение №1 - Рис. 1 Гидропружинный привод</w:t>
      </w:r>
    </w:p>
    <w:p>
      <w:pPr>
        <w:pStyle w:val="Normal"/>
        <w:ind w:firstLine="709"/>
        <w:rPr>
          <w:b w:val="false"/>
          <w:bCs w:val="false"/>
        </w:rPr>
      </w:pPr>
      <w:r>
        <w:rPr>
          <w:b w:val="false"/>
          <w:bCs w:val="false"/>
          <w:color w:val="000000" w:themeColor="text1"/>
          <w:sz w:val="24"/>
          <w:szCs w:val="24"/>
        </w:rPr>
        <w:t>Приложение №2 - Номинальные параметры НМВ-8.х</w:t>
      </w:r>
    </w:p>
    <w:p>
      <w:pPr>
        <w:pStyle w:val="Normal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ind w:firstLine="709"/>
        <w:jc w:val="both"/>
        <w:rPr>
          <w:b/>
          <w:color w:val="000000" w:themeColor="text1"/>
          <w:sz w:val="24"/>
          <w:szCs w:val="24"/>
        </w:rPr>
      </w:pPr>
      <w:r>
        <w:rPr/>
      </w:r>
    </w:p>
    <w:sectPr>
      <w:headerReference w:type="default" r:id="rId12"/>
      <w:headerReference w:type="first" r:id="rId13"/>
      <w:footerReference w:type="default" r:id="rId14"/>
      <w:footerReference w:type="first" r:id="rId15"/>
      <w:type w:val="nextPage"/>
      <w:pgSz w:w="11906" w:h="16838"/>
      <w:pgMar w:left="238" w:right="249" w:gutter="0" w:header="680" w:top="737" w:footer="737" w:bottom="79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4529962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5554376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4658317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43734270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2364014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00874916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88" w:hanging="504"/>
      </w:pPr>
      <w:rPr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>
        <w:rFonts w:cs="Times New Roman"/>
      </w:r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>
        <w:rFonts w:cs="Times New Roman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008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f50085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f50085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2068d5"/>
    <w:pPr>
      <w:keepNext w:val="true"/>
      <w:tabs>
        <w:tab w:val="clear" w:pos="708"/>
        <w:tab w:val="left" w:pos="0" w:leader="none"/>
      </w:tabs>
      <w:spacing w:before="120" w:after="60"/>
      <w:ind w:left="1224" w:hanging="1224"/>
      <w:outlineLvl w:val="2"/>
    </w:pPr>
    <w:rPr>
      <w:rFonts w:eastAsia="Calibri"/>
      <w:i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rsid w:val="00f50085"/>
    <w:pPr>
      <w:ind w:left="432" w:hanging="1224"/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f50085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f50085"/>
    <w:rPr>
      <w:rFonts w:ascii="Times New Roman" w:hAnsi="Times New Roman" w:eastAsia="Calibri" w:cs="Times New Roman"/>
      <w:bCs/>
      <w:i/>
      <w:sz w:val="24"/>
      <w:szCs w:val="24"/>
      <w:lang w:eastAsia="x-none"/>
    </w:rPr>
  </w:style>
  <w:style w:type="character" w:styleId="3" w:customStyle="1">
    <w:name w:val="Заголовок 3 Знак"/>
    <w:basedOn w:val="DefaultParagraphFont"/>
    <w:qFormat/>
    <w:rsid w:val="002068d5"/>
    <w:rPr>
      <w:rFonts w:ascii="Times New Roman" w:hAnsi="Times New Roman" w:eastAsia="Calibri" w:cs="Times New Roman"/>
      <w:i/>
      <w:sz w:val="24"/>
      <w:szCs w:val="24"/>
      <w:lang w:eastAsia="x-none"/>
    </w:rPr>
  </w:style>
  <w:style w:type="character" w:styleId="4" w:customStyle="1">
    <w:name w:val="Заголовок 4 Знак"/>
    <w:basedOn w:val="DefaultParagraphFont"/>
    <w:qFormat/>
    <w:rsid w:val="00f5008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5" w:customStyle="1">
    <w:name w:val="Верхний колонтитул Знак"/>
    <w:basedOn w:val="DefaultParagraphFont"/>
    <w:uiPriority w:val="99"/>
    <w:qFormat/>
    <w:rsid w:val="00f5008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6" w:customStyle="1">
    <w:name w:val="Нижний колонтитул Знак"/>
    <w:basedOn w:val="DefaultParagraphFont"/>
    <w:uiPriority w:val="99"/>
    <w:qFormat/>
    <w:rsid w:val="00f5008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" w:customStyle="1">
    <w:name w:val="Гиперссылка1"/>
    <w:uiPriority w:val="99"/>
    <w:qFormat/>
    <w:rsid w:val="00f50085"/>
    <w:rPr>
      <w:color w:val="0000FF"/>
      <w:u w:val="single"/>
    </w:rPr>
  </w:style>
  <w:style w:type="character" w:styleId="Style7" w:customStyle="1">
    <w:name w:val="Текст примечания Знак"/>
    <w:basedOn w:val="DefaultParagraphFont"/>
    <w:link w:val="Annotationtext"/>
    <w:semiHidden/>
    <w:qFormat/>
    <w:rsid w:val="00f5008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Абзац списка Знак"/>
    <w:link w:val="ListParagraph"/>
    <w:uiPriority w:val="34"/>
    <w:qFormat/>
    <w:locked/>
    <w:rsid w:val="00f5008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9" w:customStyle="1">
    <w:name w:val="комментарий"/>
    <w:qFormat/>
    <w:rsid w:val="00f50085"/>
    <w:rPr>
      <w:b/>
      <w:i/>
      <w:shd w:fill="FFFF99" w:val="clear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e30f7"/>
    <w:rPr>
      <w:rFonts w:ascii="Segoe UI" w:hAnsi="Segoe UI" w:eastAsia="Times New Roman" w:cs="Segoe UI"/>
      <w:sz w:val="18"/>
      <w:szCs w:val="18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e3256"/>
    <w:rPr>
      <w:sz w:val="16"/>
      <w:szCs w:val="16"/>
    </w:rPr>
  </w:style>
  <w:style w:type="character" w:styleId="Style11" w:customStyle="1">
    <w:name w:val="Тема примечания Знак"/>
    <w:basedOn w:val="Style7"/>
    <w:link w:val="Annotationsubject"/>
    <w:uiPriority w:val="99"/>
    <w:semiHidden/>
    <w:qFormat/>
    <w:rsid w:val="009e3256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2" w:customStyle="1">
    <w:name w:val="Основной текст Знак"/>
    <w:basedOn w:val="DefaultParagraphFont"/>
    <w:qFormat/>
    <w:locked/>
    <w:rsid w:val="00eb24c0"/>
    <w:rPr>
      <w:lang w:eastAsia="x-none"/>
    </w:rPr>
  </w:style>
  <w:style w:type="character" w:styleId="12" w:customStyle="1">
    <w:name w:val="Основной текст Знак1"/>
    <w:basedOn w:val="DefaultParagraphFont"/>
    <w:uiPriority w:val="99"/>
    <w:semiHidden/>
    <w:qFormat/>
    <w:rsid w:val="00eb24c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3" w:customStyle="1">
    <w:name w:val="Ссылка указателя"/>
    <w:qFormat/>
    <w:rPr/>
  </w:style>
  <w:style w:type="character" w:styleId="PlaceholderText">
    <w:name w:val="Placeholder Text"/>
    <w:basedOn w:val="DefaultParagraphFont"/>
    <w:uiPriority w:val="99"/>
    <w:semiHidden/>
    <w:qFormat/>
    <w:rsid w:val="00c664d9"/>
    <w:rPr>
      <w:color w:val="808080"/>
    </w:rPr>
  </w:style>
  <w:style w:type="character" w:styleId="Linenumber">
    <w:name w:val="line number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2"/>
    <w:unhideWhenUsed/>
    <w:rsid w:val="00eb24c0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x-none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rsid w:val="00f50085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Footer">
    <w:name w:val="Footer"/>
    <w:basedOn w:val="Normal"/>
    <w:link w:val="Style6"/>
    <w:uiPriority w:val="99"/>
    <w:rsid w:val="00f5008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OC1">
    <w:name w:val="TOC 1"/>
    <w:basedOn w:val="Normal"/>
    <w:next w:val="Normal"/>
    <w:autoRedefine/>
    <w:uiPriority w:val="39"/>
    <w:rsid w:val="00f50085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f50085"/>
    <w:pPr>
      <w:ind w:left="280" w:hanging="0"/>
    </w:pPr>
    <w:rPr>
      <w:rFonts w:cs="Calibri" w:cstheme="minorHAnsi"/>
      <w:sz w:val="20"/>
      <w:szCs w:val="20"/>
    </w:rPr>
  </w:style>
  <w:style w:type="paragraph" w:styleId="Annotationtext">
    <w:name w:val="annotation text"/>
    <w:basedOn w:val="Normal"/>
    <w:link w:val="Style7"/>
    <w:semiHidden/>
    <w:qFormat/>
    <w:rsid w:val="00f50085"/>
    <w:pPr/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f50085"/>
    <w:pPr>
      <w:ind w:left="560" w:hanging="0"/>
    </w:pPr>
    <w:rPr>
      <w:rFonts w:cs="Calibri" w:cstheme="minorHAnsi"/>
      <w:sz w:val="20"/>
      <w:szCs w:val="20"/>
    </w:rPr>
  </w:style>
  <w:style w:type="paragraph" w:styleId="ListParagraph">
    <w:name w:val="List Paragraph"/>
    <w:basedOn w:val="Normal"/>
    <w:link w:val="Style8"/>
    <w:uiPriority w:val="34"/>
    <w:qFormat/>
    <w:rsid w:val="00f50085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Style17" w:customStyle="1">
    <w:name w:val="Таблица шапка"/>
    <w:basedOn w:val="Normal"/>
    <w:qFormat/>
    <w:rsid w:val="00f50085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3b455e5069e3c643fc568a4940ad5f0dff7428cfd97dac0e8f4506aa708e2a26msolistparagraph" w:customStyle="1">
    <w:name w:val="3b455e5069e3c643fc568a4940ad5f0dff7428cfd97dac0e8f4506aa708e2a26msolistparagraph"/>
    <w:basedOn w:val="Normal"/>
    <w:qFormat/>
    <w:rsid w:val="00f50085"/>
    <w:pPr>
      <w:spacing w:beforeAutospacing="1" w:afterAutospacing="1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e30f7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1"/>
    <w:uiPriority w:val="99"/>
    <w:semiHidden/>
    <w:unhideWhenUsed/>
    <w:qFormat/>
    <w:rsid w:val="009e3256"/>
    <w:pPr/>
    <w:rPr>
      <w:b/>
      <w:bCs/>
    </w:rPr>
  </w:style>
  <w:style w:type="paragraph" w:styleId="Revision">
    <w:name w:val="Revision"/>
    <w:uiPriority w:val="99"/>
    <w:semiHidden/>
    <w:qFormat/>
    <w:rsid w:val="009e325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yle18" w:customStyle="1">
    <w:name w:val="УРОВЕНЬ_(а)"/>
    <w:basedOn w:val="ListParagraph"/>
    <w:qFormat/>
    <w:rsid w:val="008423ec"/>
    <w:pPr>
      <w:numPr>
        <w:ilvl w:val="3"/>
        <w:numId w:val="7"/>
      </w:numPr>
      <w:spacing w:lineRule="exact" w:line="360" w:before="120" w:after="0"/>
      <w:contextualSpacing w:val="false"/>
      <w:jc w:val="both"/>
      <w:outlineLvl w:val="3"/>
    </w:pPr>
    <w:rPr>
      <w:rFonts w:eastAsia="Times New Roman"/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8423ec"/>
    <w:pPr>
      <w:numPr>
        <w:ilvl w:val="4"/>
        <w:numId w:val="7"/>
      </w:numPr>
      <w:spacing w:lineRule="exact" w:line="360" w:before="120" w:after="0"/>
      <w:contextualSpacing w:val="false"/>
      <w:jc w:val="both"/>
      <w:outlineLvl w:val="4"/>
    </w:pPr>
    <w:rPr>
      <w:rFonts w:eastAsia="Times New Roman"/>
      <w:sz w:val="26"/>
      <w:szCs w:val="28"/>
      <w:lang w:eastAsia="en-US"/>
    </w:rPr>
  </w:style>
  <w:style w:type="paragraph" w:styleId="21" w:customStyle="1">
    <w:name w:val="УРОВЕНЬ_Абзац_тип2"/>
    <w:basedOn w:val="ListParagraph"/>
    <w:qFormat/>
    <w:rsid w:val="008423ec"/>
    <w:pPr>
      <w:numPr>
        <w:ilvl w:val="6"/>
        <w:numId w:val="7"/>
      </w:numPr>
      <w:spacing w:lineRule="exact" w:line="360" w:before="120" w:after="0"/>
      <w:contextualSpacing w:val="false"/>
      <w:jc w:val="both"/>
    </w:pPr>
    <w:rPr>
      <w:rFonts w:eastAsia="Times New Roman"/>
      <w:sz w:val="26"/>
      <w:szCs w:val="28"/>
      <w:lang w:eastAsia="en-US"/>
    </w:rPr>
  </w:style>
  <w:style w:type="paragraph" w:styleId="31" w:customStyle="1">
    <w:name w:val="УРОВЕНЬ_Абзац_тип3"/>
    <w:basedOn w:val="ListParagraph"/>
    <w:qFormat/>
    <w:rsid w:val="008423ec"/>
    <w:pPr>
      <w:numPr>
        <w:ilvl w:val="7"/>
        <w:numId w:val="7"/>
      </w:numPr>
      <w:spacing w:lineRule="exact" w:line="360" w:before="120" w:after="0"/>
      <w:contextualSpacing w:val="false"/>
      <w:jc w:val="both"/>
    </w:pPr>
    <w:rPr>
      <w:rFonts w:eastAsia="Times New Roman"/>
      <w:sz w:val="26"/>
      <w:szCs w:val="28"/>
      <w:lang w:eastAsia="en-US"/>
    </w:rPr>
  </w:style>
  <w:style w:type="paragraph" w:styleId="Style19" w:customStyle="1">
    <w:name w:val="УРОВЕНЬ_Подпись"/>
    <w:basedOn w:val="ListParagraph"/>
    <w:qFormat/>
    <w:rsid w:val="008423ec"/>
    <w:pPr>
      <w:keepNext w:val="true"/>
      <w:numPr>
        <w:ilvl w:val="5"/>
        <w:numId w:val="7"/>
      </w:numPr>
      <w:spacing w:lineRule="exact" w:line="360" w:before="120" w:after="120"/>
      <w:contextualSpacing w:val="false"/>
      <w:jc w:val="right"/>
      <w:outlineLvl w:val="3"/>
    </w:pPr>
    <w:rPr>
      <w:rFonts w:eastAsia="Times New Roman"/>
      <w:sz w:val="26"/>
      <w:szCs w:val="28"/>
      <w:lang w:eastAsia="en-US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Style22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3"/>
    <w:uiPriority w:val="39"/>
    <w:rsid w:val="00f50085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10FBA-E424-4D36-9AF6-97DC775A8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4164</TotalTime>
  <Application>AlterOffice/3.4.0.9$Linux_X86_64 LibreOffice_project/b8daf9e823b1a5463a2f48435ddc2e8696e7d4fc</Application>
  <AppVersion>15.0000</AppVersion>
  <Pages>8</Pages>
  <Words>939</Words>
  <Characters>6353</Characters>
  <CharactersWithSpaces>7169</CharactersWithSpaces>
  <Paragraphs>156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2023-06-29T05:53:00Z</dcterms:created>
  <dc:creator>Пономаренко Андрей Александрович</dc:creator>
  <dc:description/>
  <dc:language>ru-RU</dc:language>
  <cp:lastModifiedBy>kukushkinavb@corp.gidroogk.com</cp:lastModifiedBy>
  <cp:lastPrinted>2024-03-05T08:30:00Z</cp:lastPrinted>
  <dcterms:modified xsi:type="dcterms:W3CDTF">2026-08-10T17:27:06Z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