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r>
        <w:rPr>
          <w:b/>
          <w:bCs/>
          <w:sz w:val="24"/>
          <w:szCs w:val="24"/>
        </w:rPr>
        <w:t xml:space="preserve">Договор поставки № </w:t>
      </w:r>
    </w:p>
    <w:p>
      <w:pPr>
        <w:pStyle w:val="Normal"/>
        <w:shd w:val="clear" w:color="auto" w:fill="FFFFFF"/>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Жигулевск</w:t>
        <w:tab/>
        <w:t xml:space="preserve">   «___» _________ 2026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Директора филиала ПАО «РусГидро» - «Жигулевская ГЭС» Шепелева Вячеслава Владимировича, действующего на основании доверенности № 9459 от 25.12.2024 г., с одной стороны, и </w:t>
      </w:r>
    </w:p>
    <w:p>
      <w:pPr>
        <w:pStyle w:val="Normal"/>
        <w:ind w:firstLine="709"/>
        <w:jc w:val="both"/>
        <w:rPr>
          <w:sz w:val="24"/>
          <w:szCs w:val="24"/>
        </w:rPr>
      </w:pPr>
      <w:r>
        <w:rPr>
          <w:b/>
          <w:sz w:val="24"/>
          <w:szCs w:val="24"/>
        </w:rPr>
        <w:t>_____________</w:t>
      </w:r>
      <w:r>
        <w:rPr>
          <w:sz w:val="24"/>
          <w:szCs w:val="24"/>
        </w:rPr>
        <w:t xml:space="preserve"> (___________) (далее – «Поставщик»), в лице ____________, действующей на основании 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lang w:eastAsia="en-US"/>
        </w:rPr>
        <w:t>по результатам проведенной Покупателем конкурентной процедуры по лоту ______ (№ процедуры на ЭТП _________),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 xml:space="preserve">Национальный режим </w:t>
      </w:r>
      <w:r>
        <w:rPr>
          <w:sz w:val="24"/>
          <w:szCs w:val="24"/>
          <w:lang w:eastAsia="en-US"/>
        </w:rPr>
        <w:t>-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shd w:val="clear" w:color="auto" w:fill="FFFFFF"/>
        <w:tabs>
          <w:tab w:val="clear" w:pos="708"/>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sz w:val="24"/>
          <w:szCs w:val="24"/>
          <w:lang w:eastAsia="en-US"/>
        </w:rPr>
        <w:t>__________</w:t>
      </w:r>
      <w:r>
        <w:rPr>
          <w:rFonts w:eastAsia="Calibri"/>
          <w:bCs/>
          <w:sz w:val="24"/>
          <w:szCs w:val="24"/>
          <w:lang w:eastAsia="en-US"/>
        </w:rPr>
        <w:t xml:space="preserve"> </w:t>
      </w:r>
      <w:r>
        <w:rPr>
          <w:bCs/>
          <w:sz w:val="24"/>
          <w:szCs w:val="24"/>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 - «Жигулевская ГЭС».</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Место поставки Товара: филиал ПАО «РусГидро» - «Жигулевская ГЭС», Московское шоссе, д.2, г. Жигулевск, Самарская обл., Российская Федерация, 445350</w:t>
      </w:r>
      <w:r>
        <w:rPr>
          <w:sz w:val="24"/>
          <w:szCs w:val="24"/>
        </w:rPr>
        <w:t xml:space="preserve"> (далее – «Место поставки»).</w:t>
      </w:r>
    </w:p>
    <w:p>
      <w:pPr>
        <w:pStyle w:val="Normal"/>
        <w:numPr>
          <w:ilvl w:val="1"/>
          <w:numId w:val="2"/>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Начало – с даты подписания Договора.</w:t>
      </w:r>
    </w:p>
    <w:p>
      <w:pPr>
        <w:pStyle w:val="Normal"/>
        <w:numPr>
          <w:ilvl w:val="2"/>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sz w:val="24"/>
          <w:szCs w:val="24"/>
        </w:rPr>
        <w:t>_________</w:t>
      </w:r>
      <w:r>
        <w:rPr>
          <w:bCs/>
          <w:sz w:val="24"/>
          <w:szCs w:val="24"/>
        </w:rPr>
        <w:t>.</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Поставка одноэтапная в соответствии со сроком, указанным в п. 1.4</w:t>
      </w:r>
    </w:p>
    <w:p>
      <w:pPr>
        <w:pStyle w:val="Normal"/>
        <w:shd w:val="clear" w:color="auto" w:fill="FFFFFF"/>
        <w:tabs>
          <w:tab w:val="clear" w:pos="708"/>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является т</w:t>
      </w:r>
      <w:r>
        <w:rPr>
          <w:bCs/>
          <w:sz w:val="24"/>
          <w:szCs w:val="24"/>
          <w:highlight w:val="lightGray"/>
        </w:rPr>
        <w:t>вердой</w:t>
      </w:r>
      <w:r>
        <w:rPr>
          <w:bCs/>
          <w:sz w:val="24"/>
          <w:szCs w:val="24"/>
        </w:rPr>
        <w:t xml:space="preserve"> и составляет</w:t>
      </w:r>
      <w:r>
        <w:rPr>
          <w:sz w:val="24"/>
          <w:szCs w:val="24"/>
        </w:rPr>
        <w:t xml:space="preserve"> _______________ (__________) рубля ___ копеек</w:t>
      </w:r>
      <w:r>
        <w:rPr>
          <w:bCs/>
          <w:sz w:val="24"/>
          <w:szCs w:val="24"/>
        </w:rPr>
        <w:t xml:space="preserve"> без учета НДС, при этом НДС исчисляется дополнительно по ставке, установленной ст. 164 Налогового Кодекса РФ.</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  </w:t>
      </w: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left="0" w:firstLine="709"/>
        <w:jc w:val="both"/>
        <w:rPr>
          <w:bCs/>
          <w:sz w:val="24"/>
          <w:szCs w:val="24"/>
          <w:highlight w:val="lightGray"/>
        </w:rPr>
      </w:pPr>
      <w:r>
        <w:rPr>
          <w:bCs/>
          <w:sz w:val="24"/>
          <w:szCs w:val="24"/>
          <w:highlight w:val="lightGray"/>
        </w:rPr>
        <w:t>производство и / или приобретение Товара;</w:t>
      </w:r>
    </w:p>
    <w:p>
      <w:pPr>
        <w:pStyle w:val="Normal"/>
        <w:numPr>
          <w:ilvl w:val="2"/>
          <w:numId w:val="2"/>
        </w:numPr>
        <w:shd w:val="clear" w:color="auto" w:fill="FFFFFF"/>
        <w:tabs>
          <w:tab w:val="clear" w:pos="708"/>
          <w:tab w:val="left" w:pos="1418" w:leader="none"/>
        </w:tabs>
        <w:ind w:left="0" w:firstLine="709"/>
        <w:jc w:val="both"/>
        <w:rPr>
          <w:bCs/>
          <w:sz w:val="24"/>
          <w:szCs w:val="24"/>
          <w:highlight w:val="lightGray"/>
        </w:rPr>
      </w:pPr>
      <w:r>
        <w:rPr>
          <w:bCs/>
          <w:sz w:val="24"/>
          <w:szCs w:val="24"/>
        </w:rPr>
        <w:t>транспортировку Товара до Места поставки, погрузку, разгрузку, перемещение по территории Покупателя</w:t>
      </w:r>
      <w:r>
        <w:rPr>
          <w:rStyle w:val="FootnoteReference"/>
          <w:sz w:val="24"/>
          <w:szCs w:val="24"/>
        </w:rPr>
        <w:footnoteReference w:id="2"/>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Normal"/>
        <w:shd w:val="clear" w:color="auto" w:fill="FFFFFF"/>
        <w:tabs>
          <w:tab w:val="clear" w:pos="708"/>
          <w:tab w:val="left" w:pos="0" w:leader="none"/>
          <w:tab w:val="left" w:pos="1134" w:leader="none"/>
        </w:tabs>
        <w:ind w:firstLine="709"/>
        <w:jc w:val="both"/>
        <w:rPr>
          <w:sz w:val="24"/>
          <w:szCs w:val="24"/>
        </w:rPr>
      </w:pPr>
      <w:r>
        <w:rPr>
          <w:sz w:val="24"/>
          <w:szCs w:val="24"/>
        </w:rPr>
        <w:t>2.4.1 Авансовый платеж за Товар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pPr>
        <w:pStyle w:val="Normal"/>
        <w:shd w:val="clear" w:color="auto" w:fill="FFFFFF"/>
        <w:tabs>
          <w:tab w:val="clear" w:pos="708"/>
          <w:tab w:val="left" w:pos="0" w:leader="none"/>
          <w:tab w:val="left" w:pos="1134" w:leader="none"/>
        </w:tabs>
        <w:ind w:firstLine="709"/>
        <w:jc w:val="both"/>
        <w:rPr>
          <w:sz w:val="24"/>
          <w:szCs w:val="24"/>
        </w:rPr>
      </w:pPr>
      <w:r>
        <w:rPr>
          <w:sz w:val="24"/>
          <w:szCs w:val="24"/>
        </w:rPr>
        <w:t>2.4.2. Последующий платеж в размере 70 % (семидесяти процентов) от стоимости Товара выплачивается Поставщику 20 ( двадцати) календарных дней /7 (семи)</w:t>
      </w:r>
      <w:r>
        <w:rPr>
          <w:rStyle w:val="FootnoteReference"/>
          <w:sz w:val="24"/>
          <w:szCs w:val="24"/>
        </w:rPr>
        <w:footnoteReference w:id="3"/>
      </w:r>
      <w:r>
        <w:rPr>
          <w:sz w:val="24"/>
          <w:szCs w:val="24"/>
        </w:rPr>
        <w:t xml:space="preserve">  рабочих дней с даты подписания Сторонами накладной ТОРГ-12, на основании счета, выставленного Поставщиком, и с учетом пункта 2.4.3 Договора.</w:t>
      </w:r>
    </w:p>
    <w:p>
      <w:pPr>
        <w:pStyle w:val="Normal"/>
        <w:shd w:val="clear" w:color="auto" w:fill="FFFFFF"/>
        <w:tabs>
          <w:tab w:val="clear" w:pos="708"/>
          <w:tab w:val="left" w:pos="0" w:leader="none"/>
          <w:tab w:val="left" w:pos="1134" w:leader="none"/>
        </w:tabs>
        <w:ind w:firstLine="709"/>
        <w:jc w:val="both"/>
        <w:rPr>
          <w:sz w:val="24"/>
          <w:szCs w:val="24"/>
        </w:rPr>
      </w:pPr>
      <w:r>
        <w:rPr>
          <w:sz w:val="24"/>
          <w:szCs w:val="24"/>
        </w:rPr>
        <w:t xml:space="preserve">2.4.3. В случае выставления Поставщиком счета на сумму менее размера предусмотренного Договором платежа, оплата осуществляется по сумме счета. </w:t>
      </w:r>
    </w:p>
    <w:p>
      <w:pPr>
        <w:pStyle w:val="Normal"/>
        <w:shd w:val="clear" w:color="auto" w:fill="FFFFFF"/>
        <w:tabs>
          <w:tab w:val="clear" w:pos="708"/>
          <w:tab w:val="left" w:pos="0" w:leader="none"/>
          <w:tab w:val="left" w:pos="1134" w:leader="none"/>
        </w:tabs>
        <w:ind w:firstLine="709"/>
        <w:jc w:val="both"/>
        <w:rPr>
          <w:sz w:val="24"/>
          <w:szCs w:val="24"/>
        </w:rPr>
      </w:pPr>
      <w:r>
        <w:rPr>
          <w:sz w:val="24"/>
          <w:szCs w:val="24"/>
        </w:rPr>
        <w:t xml:space="preserve">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w:t>
      </w:r>
    </w:p>
    <w:p>
      <w:pPr>
        <w:pStyle w:val="Normal"/>
        <w:shd w:val="clear" w:color="auto" w:fill="FFFFFF"/>
        <w:tabs>
          <w:tab w:val="clear" w:pos="708"/>
          <w:tab w:val="left" w:pos="0" w:leader="none"/>
          <w:tab w:val="left" w:pos="1134" w:leader="none"/>
        </w:tabs>
        <w:ind w:firstLine="709"/>
        <w:jc w:val="both"/>
        <w:rPr>
          <w:sz w:val="24"/>
          <w:szCs w:val="24"/>
        </w:rPr>
      </w:pPr>
      <w:r>
        <w:rPr>
          <w:sz w:val="24"/>
          <w:szCs w:val="24"/>
        </w:rPr>
        <w:t>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276" w:leader="none"/>
        </w:tabs>
        <w:suppressAutoHyphens w:val="false"/>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851" w:leader="none"/>
          <w:tab w:val="left" w:pos="1134" w:leader="none"/>
        </w:tabs>
        <w:ind w:left="0" w:firstLine="709"/>
        <w:jc w:val="both"/>
        <w:rPr>
          <w:sz w:val="24"/>
          <w:szCs w:val="24"/>
        </w:rPr>
      </w:pPr>
      <w:r>
        <w:rPr>
          <w:sz w:val="24"/>
          <w:szCs w:val="24"/>
        </w:rPr>
        <w:t xml:space="preserve">  </w:t>
      </w: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r>
        <w:rPr>
          <w:sz w:val="24"/>
        </w:rPr>
        <w:t xml:space="preserve"> </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8"/>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11"/>
        </w:numPr>
        <w:tabs>
          <w:tab w:val="clear" w:pos="708"/>
          <w:tab w:val="left" w:pos="1418" w:leader="none"/>
        </w:tabs>
        <w:ind w:left="0" w:firstLine="709"/>
        <w:jc w:val="both"/>
        <w:rPr>
          <w:sz w:val="24"/>
          <w:szCs w:val="24"/>
        </w:rPr>
      </w:pPr>
      <w:r>
        <w:rPr>
          <w:sz w:val="24"/>
          <w:szCs w:val="24"/>
        </w:rPr>
        <w:t>сертификат качества в 1 (одном) экз.;</w:t>
      </w:r>
    </w:p>
    <w:p>
      <w:pPr>
        <w:pStyle w:val="Normal"/>
        <w:numPr>
          <w:ilvl w:val="0"/>
          <w:numId w:val="11"/>
        </w:numPr>
        <w:tabs>
          <w:tab w:val="clear" w:pos="708"/>
          <w:tab w:val="left" w:pos="1418" w:leader="none"/>
        </w:tabs>
        <w:ind w:left="0" w:firstLine="709"/>
        <w:jc w:val="both"/>
        <w:rPr>
          <w:sz w:val="24"/>
          <w:szCs w:val="24"/>
        </w:rPr>
      </w:pPr>
      <w:r>
        <w:rPr>
          <w:sz w:val="24"/>
          <w:szCs w:val="24"/>
        </w:rPr>
        <w:t>технический паспорт на русском языке в 1 (одном) экз.;</w:t>
      </w:r>
    </w:p>
    <w:p>
      <w:pPr>
        <w:pStyle w:val="Normal"/>
        <w:numPr>
          <w:ilvl w:val="0"/>
          <w:numId w:val="11"/>
        </w:numPr>
        <w:tabs>
          <w:tab w:val="clear" w:pos="708"/>
          <w:tab w:val="left" w:pos="1418" w:leader="none"/>
        </w:tabs>
        <w:ind w:left="0" w:firstLine="709"/>
        <w:jc w:val="both"/>
        <w:rPr>
          <w:sz w:val="24"/>
          <w:szCs w:val="24"/>
        </w:rPr>
      </w:pPr>
      <w:r>
        <w:rPr>
          <w:sz w:val="24"/>
          <w:szCs w:val="24"/>
        </w:rPr>
        <w:t>инструкция по эксплуатации на русском языке в 1 (одном) экз.;</w:t>
      </w:r>
    </w:p>
    <w:p>
      <w:pPr>
        <w:pStyle w:val="Normal"/>
        <w:numPr>
          <w:ilvl w:val="0"/>
          <w:numId w:val="11"/>
        </w:numPr>
        <w:tabs>
          <w:tab w:val="clear" w:pos="708"/>
          <w:tab w:val="left" w:pos="1418" w:leader="none"/>
        </w:tabs>
        <w:ind w:left="0" w:firstLine="709"/>
        <w:jc w:val="both"/>
        <w:rPr>
          <w:sz w:val="24"/>
          <w:szCs w:val="24"/>
        </w:rPr>
      </w:pPr>
      <w:r>
        <w:rPr>
          <w:sz w:val="24"/>
          <w:szCs w:val="24"/>
        </w:rPr>
        <w:t>упаковочный лист в 1 (одном) экз.;</w:t>
      </w:r>
    </w:p>
    <w:p>
      <w:pPr>
        <w:pStyle w:val="Normal"/>
        <w:numPr>
          <w:ilvl w:val="0"/>
          <w:numId w:val="10"/>
        </w:numPr>
        <w:tabs>
          <w:tab w:val="clear" w:pos="708"/>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10"/>
        </w:numPr>
        <w:shd w:val="clear" w:color="auto" w:fill="FFFFFF"/>
        <w:tabs>
          <w:tab w:val="clear" w:pos="708"/>
          <w:tab w:val="left" w:pos="1418" w:leader="none"/>
        </w:tabs>
        <w:ind w:left="0" w:firstLine="709"/>
        <w:jc w:val="both"/>
        <w:rPr>
          <w:sz w:val="24"/>
          <w:szCs w:val="24"/>
        </w:rPr>
      </w:pPr>
      <w:r>
        <w:rPr>
          <w:sz w:val="24"/>
          <w:szCs w:val="24"/>
        </w:rPr>
        <w:t>накладная ТОРГ-12 в 2 (двух) экз.</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 </w:t>
      </w:r>
      <w:bookmarkStart w:id="0" w:name="_Ref361408232"/>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rPr>
        <w:footnoteReference w:id="4"/>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bookmarkStart w:id="2" w:name="_Ref361396594"/>
      <w:r>
        <w:rPr>
          <w:sz w:val="24"/>
          <w:szCs w:val="24"/>
        </w:rPr>
        <w:t>Датой поставки Товара является дата подписания Сторонами накладной ТОРГ-12.</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left="0" w:firstLine="709"/>
        <w:jc w:val="both"/>
        <w:rPr>
          <w:sz w:val="24"/>
          <w:szCs w:val="24"/>
        </w:rPr>
      </w:pPr>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0"/>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Приемка Товара со вскрытием тары и упаковки производится Покупателем в присутствии представителя Поставщика в течение 10</w:t>
      </w:r>
      <w:r>
        <w:rPr>
          <w:sz w:val="24"/>
          <w:szCs w:val="24"/>
          <w:highlight w:val="lightGray"/>
        </w:rPr>
        <w:t xml:space="preserve">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8"/>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shd w:val="clear" w:color="auto" w:fill="FFFFFF"/>
        <w:tabs>
          <w:tab w:val="clear" w:pos="708"/>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3.9, 3.11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left="0" w:firstLine="709"/>
        <w:jc w:val="both"/>
        <w:rPr>
          <w:sz w:val="24"/>
          <w:szCs w:val="24"/>
        </w:rPr>
      </w:pPr>
      <w:r>
        <w:rPr>
          <w:sz w:val="24"/>
          <w:szCs w:val="24"/>
        </w:rPr>
        <w:t>Гарантийный срок на Товар, поставленный по Договору, составляет не менее 12 (Двенадцати) месяцев и начинает течь с даты подписания Сторонами накладной ТОРГ-12.</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ListParagraph"/>
        <w:numPr>
          <w:ilvl w:val="1"/>
          <w:numId w:val="8"/>
        </w:numPr>
        <w:shd w:val="clear" w:color="auto" w:fill="FFFFFF"/>
        <w:tabs>
          <w:tab w:val="clear" w:pos="708"/>
          <w:tab w:val="left" w:pos="1134" w:leader="none"/>
        </w:tabs>
        <w:suppressAutoHyphens w:val="false"/>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8"/>
          <w:tab w:val="left" w:pos="1134" w:leader="none"/>
        </w:tabs>
        <w:ind w:firstLine="709"/>
        <w:jc w:val="both"/>
        <w:rPr>
          <w:sz w:val="24"/>
          <w:szCs w:val="24"/>
        </w:rPr>
      </w:pPr>
      <w:r>
        <w:rPr>
          <w:sz w:val="24"/>
          <w:szCs w:val="24"/>
        </w:rPr>
        <w:t xml:space="preserve"> </w:t>
      </w:r>
    </w:p>
    <w:p>
      <w:pPr>
        <w:pStyle w:val="Normal"/>
        <w:numPr>
          <w:ilvl w:val="0"/>
          <w:numId w:val="2"/>
        </w:numPr>
        <w:shd w:val="clear" w:color="auto" w:fill="FFFFFF"/>
        <w:tabs>
          <w:tab w:val="clear" w:pos="708"/>
          <w:tab w:val="left" w:pos="284" w:leader="none"/>
        </w:tabs>
        <w:ind w:left="0" w:hanging="0"/>
        <w:jc w:val="center"/>
        <w:rPr>
          <w:b/>
          <w:bCs/>
          <w:sz w:val="24"/>
          <w:szCs w:val="24"/>
        </w:rPr>
      </w:pPr>
      <w:r>
        <w:rPr/>
        <w:t xml:space="preserve"> </w:t>
      </w:r>
      <w:r>
        <w:rPr>
          <w:b/>
          <w:bCs/>
          <w:sz w:val="24"/>
          <w:szCs w:val="24"/>
        </w:rPr>
        <w:t>Ответственность Сторон</w:t>
      </w:r>
    </w:p>
    <w:p>
      <w:pPr>
        <w:pStyle w:val="ListParagraph"/>
        <w:numPr>
          <w:ilvl w:val="1"/>
          <w:numId w:val="2"/>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В случае нарушения Поставщиком обязательств по поставке товара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Normal"/>
        <w:widowControl/>
        <w:tabs>
          <w:tab w:val="clear" w:pos="708"/>
          <w:tab w:val="left" w:pos="1276" w:leader="none"/>
        </w:tabs>
        <w:jc w:val="both"/>
        <w:rPr>
          <w:bCs/>
          <w:sz w:val="24"/>
          <w:szCs w:val="24"/>
        </w:rPr>
      </w:pPr>
      <w:r>
        <w:rPr>
          <w:bCs/>
          <w:sz w:val="24"/>
          <w:szCs w:val="24"/>
        </w:rPr>
        <w:t xml:space="preserve">               –</w:t>
      </w:r>
      <w:r>
        <w:rPr>
          <w:bCs/>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widowControl/>
        <w:tabs>
          <w:tab w:val="clear" w:pos="708"/>
          <w:tab w:val="left" w:pos="1276" w:leader="none"/>
        </w:tabs>
        <w:jc w:val="both"/>
        <w:rPr>
          <w:bCs/>
          <w:sz w:val="24"/>
          <w:szCs w:val="24"/>
        </w:rPr>
      </w:pPr>
      <w:r>
        <w:rPr>
          <w:bCs/>
          <w:sz w:val="24"/>
          <w:szCs w:val="24"/>
        </w:rPr>
        <w:t xml:space="preserve">                –</w:t>
      </w:r>
      <w:r>
        <w:rPr>
          <w:bCs/>
          <w:sz w:val="24"/>
          <w:szCs w:val="24"/>
        </w:rPr>
        <w:tab/>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2"/>
        </w:numPr>
        <w:tabs>
          <w:tab w:val="clear" w:pos="708"/>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t xml:space="preserve"> </w:t>
      </w: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t xml:space="preserve"> </w:t>
      </w:r>
      <w:r>
        <w:rPr>
          <w:bCs/>
          <w:sz w:val="24"/>
          <w:szCs w:val="24"/>
          <w:highlight w:val="lightGray"/>
        </w:rPr>
        <w:t xml:space="preserve">В случае если неисполнение/ненадлежащее исполнение Поставщиком обязательств по Договору повлекло за собой нарушение Покупателем обязательств на оптовом и/или розничных рынках электрической энергии и мощности, Поставщик </w:t>
      </w:r>
      <w:r>
        <w:rPr>
          <w:sz w:val="24"/>
          <w:szCs w:val="24"/>
          <w:highlight w:val="lightGray"/>
        </w:rPr>
        <w:t>несет ответственность перед Покупателем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Покупателем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pPr>
        <w:pStyle w:val="Normal"/>
        <w:ind w:firstLine="709"/>
        <w:jc w:val="both"/>
        <w:rPr>
          <w:sz w:val="24"/>
          <w:szCs w:val="24"/>
          <w:highlight w:val="lightGray"/>
        </w:rPr>
      </w:pPr>
      <w:r>
        <w:rPr>
          <w:sz w:val="24"/>
          <w:szCs w:val="24"/>
          <w:highlight w:val="lightGray"/>
        </w:rPr>
        <w:t xml:space="preserve">Кроме суммы реального ущерба, Поставщик компенсирует </w:t>
      </w:r>
      <w:r>
        <w:rPr>
          <w:bCs/>
          <w:sz w:val="24"/>
          <w:szCs w:val="24"/>
          <w:highlight w:val="lightGray"/>
        </w:rPr>
        <w:t>Покупателю</w:t>
      </w:r>
      <w:r>
        <w:rPr>
          <w:sz w:val="24"/>
          <w:szCs w:val="24"/>
          <w:highlight w:val="lightGray"/>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ind w:firstLine="709"/>
        <w:jc w:val="both"/>
        <w:rPr>
          <w:sz w:val="24"/>
          <w:szCs w:val="24"/>
          <w:highlight w:val="lightGray"/>
        </w:rPr>
      </w:pPr>
      <w:r>
        <w:rPr>
          <w:sz w:val="24"/>
          <w:szCs w:val="24"/>
          <w:highlight w:val="lightGray"/>
        </w:rPr>
        <w:t xml:space="preserve">Размер упущенной выгоды (выручки) подтверждается (по выбору </w:t>
      </w:r>
      <w:r>
        <w:rPr>
          <w:bCs/>
          <w:sz w:val="24"/>
          <w:szCs w:val="24"/>
          <w:highlight w:val="lightGray"/>
        </w:rPr>
        <w:t>Покупателя</w:t>
      </w:r>
      <w:r>
        <w:rPr>
          <w:sz w:val="24"/>
          <w:szCs w:val="24"/>
          <w:highlight w:val="lightGray"/>
        </w:rPr>
        <w:t>):</w:t>
      </w:r>
    </w:p>
    <w:p>
      <w:pPr>
        <w:pStyle w:val="Normal"/>
        <w:widowControl/>
        <w:numPr>
          <w:ilvl w:val="0"/>
          <w:numId w:val="9"/>
        </w:numPr>
        <w:suppressAutoHyphens w:val="false"/>
        <w:spacing w:lineRule="auto" w:line="252"/>
        <w:ind w:left="0" w:firstLine="709"/>
        <w:jc w:val="both"/>
        <w:rPr>
          <w:sz w:val="24"/>
          <w:szCs w:val="24"/>
          <w:highlight w:val="lightGray"/>
        </w:rPr>
      </w:pPr>
      <w:r>
        <w:rPr>
          <w:sz w:val="24"/>
          <w:szCs w:val="24"/>
          <w:highlight w:val="lightGray"/>
        </w:rPr>
        <w:t>в ценовых зонах:</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ListParagraph"/>
        <w:widowControl/>
        <w:shd w:val="clear" w:color="auto" w:fill="FFFFFF"/>
        <w:tabs>
          <w:tab w:val="clear" w:pos="708"/>
          <w:tab w:val="left" w:pos="1276" w:leader="none"/>
        </w:tabs>
        <w:ind w:left="709" w:hanging="0"/>
        <w:jc w:val="both"/>
        <w:rPr>
          <w:bCs/>
          <w:sz w:val="24"/>
          <w:szCs w:val="24"/>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t>
      </w:r>
      <w:r>
        <w:rPr>
          <w:bCs/>
          <w:sz w:val="24"/>
          <w:szCs w:val="24"/>
          <w:highlight w:val="lightGray"/>
        </w:rPr>
        <w:t>».</w:t>
      </w:r>
      <w:r>
        <w:rPr>
          <w:rStyle w:val="FootnoteReference"/>
          <w:bCs/>
          <w:sz w:val="24"/>
          <w:szCs w:val="24"/>
          <w:highlight w:val="lightGray"/>
        </w:rPr>
        <w:footnoteReference w:id="5"/>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Ответственность Покупателя за причиненные Поставщику убытки ограничивается реальным ущербом, но не более Цены Договора.</w:t>
      </w:r>
    </w:p>
    <w:p>
      <w:pPr>
        <w:pStyle w:val="ListParagraph"/>
        <w:widowControl/>
        <w:numPr>
          <w:ilvl w:val="1"/>
          <w:numId w:val="2"/>
        </w:numPr>
        <w:shd w:val="clear" w:color="auto" w:fill="FFFFFF"/>
        <w:tabs>
          <w:tab w:val="clear" w:pos="708"/>
          <w:tab w:val="left" w:pos="1276" w:leader="none"/>
          <w:tab w:val="left" w:pos="1418"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276" w:leader="none"/>
          <w:tab w:val="left" w:pos="1418"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276" w:leader="none"/>
          <w:tab w:val="left" w:pos="1418"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276" w:leader="none"/>
          <w:tab w:val="left" w:pos="1418"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3"/>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3"/>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3"/>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8"/>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Самарской области</w:t>
      </w:r>
      <w:r>
        <w:rPr>
          <w:bCs/>
          <w:sz w:val="24"/>
          <w:szCs w:val="24"/>
        </w:rPr>
        <w:t xml:space="preserve">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 xml:space="preserve"> </w:t>
      </w: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 xml:space="preserve">  </w:t>
      </w: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 xml:space="preserve"> </w:t>
      </w: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 xml:space="preserve"> </w:t>
      </w: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 xml:space="preserve"> </w:t>
      </w: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bCs/>
          <w:color w:val="000000"/>
          <w:sz w:val="24"/>
          <w:szCs w:val="24"/>
        </w:rPr>
        <w:t xml:space="preserve"> </w:t>
      </w:r>
      <w:r>
        <w:rPr>
          <w:color w:val="000000"/>
          <w:sz w:val="24"/>
          <w:szCs w:val="24"/>
        </w:rPr>
        <w:t xml:space="preserve">Каналы связи Линия доверия Группы РусГидро: </w:t>
      </w:r>
    </w:p>
    <w:p>
      <w:pPr>
        <w:pStyle w:val="ListParagraph"/>
        <w:shd w:val="clear" w:color="auto" w:fill="FFFFFF"/>
        <w:tabs>
          <w:tab w:val="clear" w:pos="708"/>
          <w:tab w:val="left" w:pos="1134" w:leader="none"/>
        </w:tabs>
        <w:ind w:left="0" w:hanging="0"/>
        <w:jc w:val="both"/>
        <w:rPr>
          <w:bCs/>
          <w:color w:val="000000"/>
          <w:sz w:val="24"/>
          <w:szCs w:val="24"/>
        </w:rPr>
      </w:pPr>
      <w:r>
        <w:rPr>
          <w:color w:val="000000"/>
          <w:sz w:val="24"/>
          <w:szCs w:val="24"/>
        </w:rPr>
        <w:t xml:space="preserve">            </w:t>
      </w:r>
      <w:r>
        <w:rPr>
          <w:color w:val="000000"/>
          <w:sz w:val="24"/>
          <w:szCs w:val="24"/>
        </w:rPr>
        <w:t xml:space="preserve">8.7.1. </w:t>
      </w:r>
      <w:r>
        <w:rPr>
          <w:sz w:val="24"/>
          <w:szCs w:val="24"/>
        </w:rPr>
        <w:t xml:space="preserve">Электронная почта: </w:t>
      </w:r>
      <w:hyperlink r:id="rId2">
        <w:r>
          <w:rPr>
            <w:rStyle w:val="Hyperlink"/>
            <w:sz w:val="24"/>
            <w:szCs w:val="24"/>
          </w:rPr>
          <w:t>ld@rushydro.ru</w:t>
        </w:r>
      </w:hyperlink>
      <w:r>
        <w:rPr>
          <w:sz w:val="24"/>
          <w:szCs w:val="24"/>
        </w:rPr>
        <w:t>.</w:t>
      </w:r>
    </w:p>
    <w:p>
      <w:pPr>
        <w:pStyle w:val="ListParagraph"/>
        <w:shd w:val="clear" w:color="auto" w:fill="FFFFFF"/>
        <w:tabs>
          <w:tab w:val="clear" w:pos="708"/>
          <w:tab w:val="left" w:pos="1134" w:leader="none"/>
        </w:tabs>
        <w:ind w:left="0" w:firstLine="709"/>
        <w:jc w:val="both"/>
        <w:rPr>
          <w:bCs/>
          <w:color w:val="000000"/>
          <w:sz w:val="24"/>
          <w:szCs w:val="24"/>
        </w:rPr>
      </w:pPr>
      <w:r>
        <w:rPr>
          <w:sz w:val="24"/>
          <w:szCs w:val="24"/>
        </w:rPr>
        <w:t>8.7.2.   Специальная форма «обратной связи», размещенная на официальном сайте Покупателя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sz w:val="24"/>
            <w:szCs w:val="24"/>
          </w:rPr>
          <w:t>№ 18162/09</w:t>
        </w:r>
      </w:hyperlink>
      <w:r>
        <w:rPr>
          <w:bCs/>
          <w:sz w:val="24"/>
          <w:szCs w:val="24"/>
        </w:rPr>
        <w:t xml:space="preserve"> 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5">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4"/>
        </w:numPr>
        <w:tabs>
          <w:tab w:val="clear" w:pos="708"/>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4"/>
        </w:numPr>
        <w:tabs>
          <w:tab w:val="clear" w:pos="708"/>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4"/>
        </w:numPr>
        <w:tabs>
          <w:tab w:val="clear" w:pos="708"/>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4"/>
        </w:numPr>
        <w:tabs>
          <w:tab w:val="clear" w:pos="708"/>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4"/>
        </w:numPr>
        <w:tabs>
          <w:tab w:val="clear" w:pos="708"/>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 xml:space="preserve">с </w:t>
      </w:r>
      <w:r>
        <w:rPr>
          <w:sz w:val="24"/>
          <w:szCs w:val="24"/>
        </w:rPr>
        <w:t>даты подписания Договора.</w:t>
      </w:r>
    </w:p>
    <w:p>
      <w:pPr>
        <w:pStyle w:val="Normal"/>
        <w:widowControl/>
        <w:numPr>
          <w:ilvl w:val="1"/>
          <w:numId w:val="2"/>
        </w:numPr>
        <w:tabs>
          <w:tab w:val="clear" w:pos="708"/>
          <w:tab w:val="left" w:pos="142" w:leader="none"/>
          <w:tab w:val="left" w:pos="709" w:leader="none"/>
        </w:tabs>
        <w:snapToGrid w:val="false"/>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8"/>
          <w:tab w:val="left" w:pos="142" w:leader="none"/>
        </w:tabs>
        <w:ind w:firstLine="709"/>
        <w:jc w:val="both"/>
        <w:rPr>
          <w:sz w:val="24"/>
          <w:szCs w:val="24"/>
          <w:highlight w:val="lightGray"/>
          <w:lang w:eastAsia="en-US"/>
        </w:rPr>
      </w:pPr>
      <w:r>
        <w:rPr>
          <w:sz w:val="24"/>
          <w:szCs w:val="24"/>
          <w:highlight w:val="lightGray"/>
          <w:lang w:eastAsia="en-US"/>
        </w:rPr>
        <w:t>Договор, подписан</w:t>
      </w:r>
      <w:bookmarkStart w:id="8" w:name="_GoBack"/>
      <w:bookmarkEnd w:id="8"/>
      <w:r>
        <w:rPr>
          <w:sz w:val="24"/>
          <w:szCs w:val="24"/>
          <w:highlight w:val="lightGray"/>
          <w:lang w:eastAsia="en-US"/>
        </w:rPr>
        <w:t>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6"/>
      </w:r>
      <w:r>
        <w:rPr>
          <w:sz w:val="24"/>
          <w:szCs w:val="24"/>
          <w:highlight w:val="lightGray"/>
          <w:lang w:eastAsia="en-US"/>
        </w:rPr>
        <w:t>.</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9"/>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Normal"/>
        <w:widowControl/>
        <w:numPr>
          <w:ilvl w:val="1"/>
          <w:numId w:val="2"/>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7"/>
      </w:r>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Normal"/>
        <w:shd w:val="clear" w:color="auto" w:fill="FFFFFF"/>
        <w:ind w:firstLine="567"/>
        <w:jc w:val="both"/>
        <w:rPr>
          <w:sz w:val="24"/>
          <w:szCs w:val="24"/>
        </w:rPr>
      </w:pPr>
      <w:r>
        <w:rPr>
          <w:sz w:val="24"/>
          <w:szCs w:val="24"/>
        </w:rPr>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ind w:firstLine="709"/>
        <w:jc w:val="both"/>
        <w:rPr>
          <w:rFonts w:eastAsia="Calibri"/>
          <w:sz w:val="24"/>
          <w:szCs w:val="24"/>
          <w:lang w:eastAsia="en-US"/>
        </w:rPr>
      </w:pPr>
      <w:bookmarkStart w:id="10" w:name="sub_1"/>
      <w:bookmarkEnd w:id="10"/>
      <w:r>
        <w:rPr>
          <w:rFonts w:eastAsia="Calibri"/>
          <w:sz w:val="24"/>
          <w:szCs w:val="24"/>
          <w:lang w:eastAsia="en-US"/>
        </w:rPr>
        <w:t>Приложение № 1 – Спецификация.</w:t>
      </w:r>
    </w:p>
    <w:p>
      <w:pPr>
        <w:pStyle w:val="Normal"/>
        <w:widowControl/>
        <w:shd w:val="clear" w:color="auto" w:fill="FFFFFF"/>
        <w:tabs>
          <w:tab w:val="clear" w:pos="708"/>
          <w:tab w:val="left" w:pos="0" w:leader="none"/>
        </w:tabs>
        <w:ind w:firstLine="709"/>
        <w:jc w:val="both"/>
        <w:rPr>
          <w:rFonts w:eastAsia="Calibri"/>
          <w:sz w:val="24"/>
          <w:szCs w:val="24"/>
          <w:lang w:eastAsia="en-US"/>
        </w:rPr>
      </w:pPr>
      <w:r>
        <w:rPr>
          <w:rFonts w:eastAsia="Calibri"/>
          <w:sz w:val="24"/>
          <w:szCs w:val="24"/>
          <w:lang w:eastAsia="en-US"/>
        </w:rPr>
        <w:t>Приложение № 2 - Технические требования.</w:t>
      </w:r>
    </w:p>
    <w:p>
      <w:pPr>
        <w:pStyle w:val="Normal"/>
        <w:widowControl/>
        <w:shd w:val="clear" w:color="auto" w:fill="FFFFFF"/>
        <w:tabs>
          <w:tab w:val="clear" w:pos="708"/>
          <w:tab w:val="left" w:pos="0" w:leader="none"/>
          <w:tab w:val="left" w:pos="2694" w:leader="none"/>
        </w:tabs>
        <w:ind w:firstLine="709"/>
        <w:jc w:val="both"/>
        <w:rPr>
          <w:rFonts w:eastAsia="Calibri"/>
          <w:sz w:val="24"/>
          <w:szCs w:val="24"/>
          <w:lang w:eastAsia="en-US"/>
        </w:rPr>
      </w:pPr>
      <w:r>
        <w:rPr>
          <w:rFonts w:eastAsia="Calibri"/>
          <w:sz w:val="24"/>
          <w:szCs w:val="24"/>
          <w:lang w:eastAsia="en-US"/>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bookmarkStart w:id="11" w:name="sub_1_Копия_1"/>
      <w:bookmarkEnd w:id="11"/>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69"/>
        <w:gridCol w:w="159"/>
        <w:gridCol w:w="4627"/>
        <w:gridCol w:w="335"/>
      </w:tblGrid>
      <w:tr>
        <w:trPr/>
        <w:tc>
          <w:tcPr>
            <w:tcW w:w="4928" w:type="dxa"/>
            <w:gridSpan w:val="2"/>
            <w:tcBorders/>
            <w:shd w:color="auto" w:fill="auto" w:val="clear"/>
          </w:tcPr>
          <w:p>
            <w:pPr>
              <w:pStyle w:val="Normal"/>
              <w:widowControl w:val="false"/>
              <w:rPr>
                <w:sz w:val="24"/>
                <w:szCs w:val="24"/>
              </w:rPr>
            </w:pPr>
            <w:r>
              <w:rPr>
                <w:sz w:val="24"/>
                <w:szCs w:val="24"/>
              </w:rPr>
              <w:t>ПОКУПАТЕЛЬ:</w:t>
            </w:r>
          </w:p>
        </w:tc>
        <w:tc>
          <w:tcPr>
            <w:tcW w:w="4962" w:type="dxa"/>
            <w:gridSpan w:val="2"/>
            <w:tcBorders/>
            <w:shd w:color="auto" w:fill="auto" w:val="clear"/>
          </w:tcPr>
          <w:p>
            <w:pPr>
              <w:pStyle w:val="Normal"/>
              <w:widowControl w:val="false"/>
              <w:rPr>
                <w:sz w:val="24"/>
                <w:szCs w:val="24"/>
              </w:rPr>
            </w:pPr>
            <w:r>
              <w:rPr>
                <w:sz w:val="24"/>
                <w:szCs w:val="24"/>
              </w:rPr>
              <w:t>ПОСТАВЩИК:</w:t>
            </w:r>
          </w:p>
        </w:tc>
      </w:tr>
      <w:tr>
        <w:trPr/>
        <w:tc>
          <w:tcPr>
            <w:tcW w:w="4928" w:type="dxa"/>
            <w:gridSpan w:val="2"/>
            <w:tcBorders/>
            <w:shd w:color="auto" w:fill="auto" w:val="clear"/>
          </w:tcPr>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t>Место нахождения: г. Красноярск, ул. Перенсона, зд. 2а, пом. 1</w:t>
            </w:r>
          </w:p>
          <w:p>
            <w:pPr>
              <w:pStyle w:val="Normal"/>
              <w:widowControl w:val="false"/>
              <w:rPr>
                <w:sz w:val="24"/>
                <w:szCs w:val="24"/>
              </w:rPr>
            </w:pPr>
            <w:r>
              <w:rPr>
                <w:sz w:val="24"/>
                <w:szCs w:val="24"/>
              </w:rPr>
              <w:t>Почтовый адрес: 660049, Красноярск, улица Перенсона, 2А</w:t>
            </w:r>
          </w:p>
          <w:p>
            <w:pPr>
              <w:pStyle w:val="Normal"/>
              <w:widowControl w:val="false"/>
              <w:rPr>
                <w:sz w:val="24"/>
                <w:szCs w:val="24"/>
              </w:rPr>
            </w:pPr>
            <w:r>
              <w:rPr>
                <w:sz w:val="24"/>
                <w:szCs w:val="24"/>
              </w:rPr>
              <w:t>Грузополучатель/Плательщик</w:t>
            </w:r>
          </w:p>
          <w:p>
            <w:pPr>
              <w:pStyle w:val="Normal"/>
              <w:widowControl w:val="false"/>
              <w:rPr>
                <w:sz w:val="24"/>
                <w:szCs w:val="24"/>
              </w:rPr>
            </w:pPr>
            <w:r>
              <w:rPr>
                <w:sz w:val="24"/>
                <w:szCs w:val="24"/>
              </w:rPr>
              <w:t>Филиал ПАО «РусГидро» - «Жигулевская ГЭС»</w:t>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634502001</w:t>
            </w:r>
          </w:p>
          <w:p>
            <w:pPr>
              <w:pStyle w:val="Normal"/>
              <w:widowControl w:val="false"/>
              <w:rPr>
                <w:sz w:val="24"/>
                <w:szCs w:val="24"/>
              </w:rPr>
            </w:pPr>
            <w:r>
              <w:rPr>
                <w:sz w:val="24"/>
                <w:szCs w:val="24"/>
              </w:rPr>
              <w:t>Р/с 40702810054040002491 в Поволжском банке ПАО Сбербанк г. Самара</w:t>
            </w:r>
          </w:p>
          <w:p>
            <w:pPr>
              <w:pStyle w:val="Normal"/>
              <w:widowControl w:val="false"/>
              <w:rPr>
                <w:sz w:val="24"/>
                <w:szCs w:val="24"/>
              </w:rPr>
            </w:pPr>
            <w:r>
              <w:rPr>
                <w:sz w:val="24"/>
                <w:szCs w:val="24"/>
              </w:rPr>
              <w:t>К/с 30101810200000000607</w:t>
            </w:r>
          </w:p>
          <w:p>
            <w:pPr>
              <w:pStyle w:val="Normal"/>
              <w:widowControl w:val="false"/>
              <w:rPr>
                <w:sz w:val="24"/>
                <w:szCs w:val="24"/>
              </w:rPr>
            </w:pPr>
            <w:r>
              <w:rPr>
                <w:sz w:val="24"/>
                <w:szCs w:val="24"/>
              </w:rPr>
              <w:t>БИК 043601607</w:t>
            </w:r>
          </w:p>
          <w:p>
            <w:pPr>
              <w:pStyle w:val="Normal"/>
              <w:widowControl w:val="false"/>
              <w:rPr>
                <w:sz w:val="24"/>
                <w:szCs w:val="24"/>
              </w:rPr>
            </w:pPr>
            <w:r>
              <w:rPr>
                <w:sz w:val="24"/>
                <w:szCs w:val="24"/>
              </w:rPr>
              <w:t>Тел.: (84862) 75-359</w:t>
            </w:r>
          </w:p>
          <w:p>
            <w:pPr>
              <w:pStyle w:val="Normal"/>
              <w:widowControl w:val="false"/>
              <w:rPr>
                <w:sz w:val="24"/>
                <w:szCs w:val="24"/>
              </w:rPr>
            </w:pPr>
            <w:r>
              <w:rPr>
                <w:sz w:val="24"/>
                <w:szCs w:val="24"/>
              </w:rPr>
              <w:t>Факс: (84862) 21-587</w:t>
            </w:r>
          </w:p>
          <w:p>
            <w:pPr>
              <w:pStyle w:val="Normal"/>
              <w:widowControl w:val="false"/>
              <w:rPr>
                <w:sz w:val="24"/>
                <w:szCs w:val="24"/>
              </w:rPr>
            </w:pPr>
            <w:r>
              <w:rPr>
                <w:sz w:val="24"/>
                <w:szCs w:val="24"/>
              </w:rPr>
            </w:r>
          </w:p>
        </w:tc>
        <w:tc>
          <w:tcPr>
            <w:tcW w:w="4962" w:type="dxa"/>
            <w:gridSpan w:val="2"/>
            <w:tcBorders/>
            <w:shd w:color="auto" w:fill="auto" w:val="clear"/>
          </w:tcPr>
          <w:p>
            <w:pPr>
              <w:pStyle w:val="Normal"/>
              <w:widowControl w:val="false"/>
              <w:rPr>
                <w:sz w:val="24"/>
                <w:szCs w:val="24"/>
              </w:rPr>
            </w:pPr>
            <w:r>
              <w:rPr>
                <w:sz w:val="24"/>
                <w:szCs w:val="24"/>
              </w:rPr>
            </w:r>
          </w:p>
        </w:tc>
      </w:tr>
      <w:tr>
        <w:trPr/>
        <w:tc>
          <w:tcPr>
            <w:tcW w:w="4769" w:type="dxa"/>
            <w:tcBorders/>
            <w:shd w:color="auto" w:fill="auto" w:val="clear"/>
          </w:tcPr>
          <w:p>
            <w:pPr>
              <w:pStyle w:val="Normal"/>
              <w:widowControl w:val="false"/>
              <w:rPr>
                <w:sz w:val="24"/>
                <w:szCs w:val="24"/>
              </w:rPr>
            </w:pPr>
            <w:r>
              <w:rPr>
                <w:sz w:val="24"/>
                <w:szCs w:val="24"/>
              </w:rPr>
              <w:t xml:space="preserve">_______________ / </w:t>
            </w:r>
            <w:r>
              <w:rPr>
                <w:b/>
                <w:sz w:val="24"/>
                <w:szCs w:val="24"/>
              </w:rPr>
              <w:t>В.В. Шепелев</w:t>
            </w:r>
            <w:r>
              <w:rPr>
                <w:sz w:val="24"/>
                <w:szCs w:val="24"/>
              </w:rPr>
              <w:t xml:space="preserve"> / </w:t>
            </w:r>
          </w:p>
          <w:p>
            <w:pPr>
              <w:pStyle w:val="Normal"/>
              <w:widowControl w:val="false"/>
              <w:rPr>
                <w:sz w:val="24"/>
                <w:szCs w:val="24"/>
              </w:rPr>
            </w:pPr>
            <w:r>
              <w:rPr>
                <w:sz w:val="24"/>
                <w:szCs w:val="24"/>
              </w:rPr>
            </w:r>
          </w:p>
        </w:tc>
        <w:tc>
          <w:tcPr>
            <w:tcW w:w="4786" w:type="dxa"/>
            <w:gridSpan w:val="2"/>
            <w:tcBorders/>
            <w:shd w:color="auto" w:fill="auto" w:val="clear"/>
          </w:tcPr>
          <w:p>
            <w:pPr>
              <w:pStyle w:val="Normal"/>
              <w:widowControl w:val="false"/>
              <w:rPr>
                <w:sz w:val="24"/>
                <w:szCs w:val="24"/>
              </w:rPr>
            </w:pPr>
            <w:r>
              <w:rPr>
                <w:sz w:val="24"/>
                <w:szCs w:val="24"/>
              </w:rPr>
              <w:t xml:space="preserve">_______________ / </w:t>
            </w:r>
            <w:r>
              <w:rPr>
                <w:b/>
                <w:sz w:val="23"/>
                <w:szCs w:val="23"/>
              </w:rPr>
              <w:t xml:space="preserve">___________ </w:t>
            </w:r>
            <w:r>
              <w:rPr>
                <w:sz w:val="23"/>
                <w:szCs w:val="23"/>
              </w:rPr>
              <w:t>/</w:t>
            </w:r>
            <w:r>
              <w:rPr>
                <w:sz w:val="24"/>
                <w:szCs w:val="24"/>
              </w:rPr>
              <w:t xml:space="preserve"> </w:t>
            </w:r>
          </w:p>
        </w:tc>
        <w:tc>
          <w:tcPr>
            <w:tcW w:w="335" w:type="dxa"/>
            <w:tcBorders/>
            <w:shd w:color="auto" w:fill="auto" w:val="clear"/>
          </w:tcPr>
          <w:p>
            <w:pPr>
              <w:pStyle w:val="Normal"/>
              <w:widowControl w:val="false"/>
              <w:rPr/>
            </w:pPr>
            <w:r>
              <w:rPr/>
            </w:r>
          </w:p>
        </w:tc>
      </w:tr>
    </w:tbl>
    <w:p>
      <w:pPr>
        <w:pStyle w:val="Normal"/>
        <w:tabs>
          <w:tab w:val="clear" w:pos="708"/>
          <w:tab w:val="left" w:pos="8670" w:leader="none"/>
        </w:tabs>
        <w:rPr/>
      </w:pPr>
      <w:r>
        <w:rPr/>
        <w:tab/>
      </w:r>
    </w:p>
    <w:p>
      <w:pPr>
        <w:pStyle w:val="Normal"/>
        <w:tabs>
          <w:tab w:val="clear" w:pos="708"/>
          <w:tab w:val="left" w:pos="8670" w:leader="none"/>
        </w:tabs>
        <w:rPr/>
      </w:pPr>
      <w:r>
        <w:rPr/>
      </w:r>
    </w:p>
    <w:p>
      <w:pPr>
        <w:pStyle w:val="Normal"/>
        <w:tabs>
          <w:tab w:val="clear" w:pos="708"/>
          <w:tab w:val="left" w:pos="8670" w:leader="none"/>
        </w:tabs>
        <w:rPr/>
      </w:pPr>
      <w:r>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t>Приложение № 1</w:t>
      </w:r>
    </w:p>
    <w:p>
      <w:pPr>
        <w:pStyle w:val="Normal"/>
        <w:ind w:left="5103" w:right="96" w:hanging="0"/>
        <w:jc w:val="right"/>
        <w:rPr>
          <w:sz w:val="22"/>
          <w:szCs w:val="22"/>
        </w:rPr>
      </w:pPr>
      <w:r>
        <w:rPr>
          <w:sz w:val="22"/>
          <w:szCs w:val="22"/>
        </w:rPr>
        <w:t>к Договору поставки</w:t>
      </w:r>
    </w:p>
    <w:p>
      <w:pPr>
        <w:pStyle w:val="Normal"/>
        <w:ind w:left="5103" w:right="96" w:hanging="0"/>
        <w:jc w:val="right"/>
        <w:rPr>
          <w:sz w:val="22"/>
          <w:szCs w:val="22"/>
        </w:rPr>
      </w:pPr>
      <w:r>
        <w:rPr>
          <w:sz w:val="22"/>
          <w:szCs w:val="22"/>
        </w:rPr>
        <w:t xml:space="preserve">от «____» __________ 2026 г. </w:t>
      </w:r>
    </w:p>
    <w:p>
      <w:pPr>
        <w:pStyle w:val="Normal"/>
        <w:ind w:left="5103" w:right="96" w:hanging="0"/>
        <w:jc w:val="right"/>
        <w:rPr>
          <w:sz w:val="22"/>
          <w:szCs w:val="22"/>
        </w:rPr>
      </w:pPr>
      <w:r>
        <w:rPr>
          <w:sz w:val="22"/>
          <w:szCs w:val="22"/>
        </w:rPr>
        <w:t xml:space="preserve">№ </w:t>
      </w:r>
      <w:r>
        <w:rPr>
          <w:sz w:val="22"/>
          <w:szCs w:val="22"/>
        </w:rPr>
        <w:t>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10098"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845"/>
        <w:gridCol w:w="592"/>
        <w:gridCol w:w="610"/>
        <w:gridCol w:w="618"/>
        <w:gridCol w:w="775"/>
        <w:gridCol w:w="725"/>
        <w:gridCol w:w="616"/>
        <w:gridCol w:w="736"/>
        <w:gridCol w:w="691"/>
        <w:gridCol w:w="508"/>
        <w:gridCol w:w="651"/>
        <w:gridCol w:w="541"/>
        <w:gridCol w:w="524"/>
        <w:gridCol w:w="714"/>
        <w:gridCol w:w="952"/>
      </w:tblGrid>
      <w:tr>
        <w:trPr>
          <w:trHeight w:val="526" w:hRule="atLeast"/>
        </w:trPr>
        <w:tc>
          <w:tcPr>
            <w:tcW w:w="8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8"/>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9"/>
            </w:r>
          </w:p>
          <w:p>
            <w:pPr>
              <w:pStyle w:val="Normal"/>
              <w:widowControl w:val="false"/>
              <w:jc w:val="center"/>
              <w:rPr>
                <w:bCs/>
              </w:rPr>
            </w:pPr>
            <w:r>
              <w:rPr>
                <w:bCs/>
              </w:rPr>
            </w:r>
          </w:p>
        </w:tc>
        <w:tc>
          <w:tcPr>
            <w:tcW w:w="5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8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8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32" w:type="dxa"/>
            <w:gridSpan w:val="13"/>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66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4"/>
          <w:szCs w:val="24"/>
        </w:rPr>
      </w:pPr>
      <w:r>
        <w:rPr>
          <w:i/>
          <w:sz w:val="24"/>
          <w:szCs w:val="24"/>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szCs w:val="24"/>
              </w:rPr>
            </w:pPr>
            <w:r>
              <w:rPr>
                <w:b/>
                <w:sz w:val="24"/>
                <w:szCs w:val="24"/>
              </w:rPr>
              <w:t>Покупатель:</w:t>
            </w:r>
          </w:p>
        </w:tc>
        <w:tc>
          <w:tcPr>
            <w:tcW w:w="4805" w:type="dxa"/>
            <w:tcBorders/>
          </w:tcPr>
          <w:p>
            <w:pPr>
              <w:pStyle w:val="Normal"/>
              <w:widowControl w:val="false"/>
              <w:rPr>
                <w:b/>
                <w:sz w:val="24"/>
                <w:szCs w:val="24"/>
              </w:rPr>
            </w:pPr>
            <w:r>
              <w:rPr>
                <w:b/>
                <w:sz w:val="24"/>
                <w:szCs w:val="24"/>
              </w:rPr>
              <w:t>Поставщик:</w:t>
            </w:r>
          </w:p>
        </w:tc>
      </w:tr>
      <w:tr>
        <w:trPr>
          <w:trHeight w:val="269" w:hRule="atLeast"/>
        </w:trPr>
        <w:tc>
          <w:tcPr>
            <w:tcW w:w="4826" w:type="dxa"/>
            <w:tcBorders/>
          </w:tcPr>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lang w:val="en-US"/>
              </w:rPr>
              <w:t xml:space="preserve">________________ </w:t>
            </w:r>
            <w:r>
              <w:rPr>
                <w:b/>
                <w:sz w:val="24"/>
                <w:szCs w:val="24"/>
              </w:rPr>
              <w:t>/ В.В. Шепелев /</w:t>
            </w:r>
          </w:p>
          <w:p>
            <w:pPr>
              <w:pStyle w:val="Normal"/>
              <w:widowControl w:val="false"/>
              <w:rPr>
                <w:b/>
                <w:sz w:val="24"/>
                <w:szCs w:val="24"/>
              </w:rPr>
            </w:pPr>
            <w:r>
              <w:rPr>
                <w:b/>
                <w:sz w:val="24"/>
                <w:szCs w:val="24"/>
              </w:rPr>
            </w:r>
          </w:p>
        </w:tc>
        <w:tc>
          <w:tcPr>
            <w:tcW w:w="4805" w:type="dxa"/>
            <w:tcBorders/>
          </w:tcPr>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lang w:val="en-US"/>
              </w:rPr>
              <w:t xml:space="preserve">________________ </w:t>
            </w:r>
            <w:r>
              <w:rPr>
                <w:b/>
                <w:sz w:val="24"/>
                <w:szCs w:val="24"/>
              </w:rPr>
              <w:t>/ ____________ /</w:t>
            </w:r>
          </w:p>
        </w:tc>
      </w:tr>
    </w:tbl>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sz w:val="22"/>
          <w:szCs w:val="22"/>
        </w:rPr>
      </w:r>
    </w:p>
    <w:p>
      <w:pPr>
        <w:pStyle w:val="Normal"/>
        <w:tabs>
          <w:tab w:val="clear" w:pos="708"/>
          <w:tab w:val="left" w:pos="8670" w:leader="none"/>
        </w:tabs>
        <w:jc w:val="right"/>
        <w:rPr>
          <w:sz w:val="22"/>
          <w:szCs w:val="22"/>
        </w:rPr>
      </w:pPr>
      <w:r>
        <w:rPr/>
      </w:r>
    </w:p>
    <w:sectPr>
      <w:headerReference w:type="default" r:id="rId6"/>
      <w:footerReference w:type="default" r:id="rId7"/>
      <w:footnotePr>
        <w:numFmt w:val="decimal"/>
      </w:footnotePr>
      <w:type w:val="nextPage"/>
      <w:pgSz w:w="11906" w:h="16838"/>
      <w:pgMar w:left="1134" w:right="851" w:gutter="0" w:header="567" w:top="851" w:footer="709" w:bottom="2268"/>
      <w:pgNumType w:fmt="decimal"/>
      <w:formProt w:val="false"/>
      <w:textDirection w:val="lrTb"/>
      <w:docGrid w:type="default" w:linePitch="36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rPr/>
      </w:pPr>
      <w:r>
        <w:rPr>
          <w:rStyle w:val="Style14"/>
        </w:rPr>
        <w:footnoteRef/>
      </w:r>
      <w:r>
        <w:rP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5">
    <w:p>
      <w:pPr>
        <w:pStyle w:val="FootnoteText"/>
        <w:jc w:val="both"/>
        <w:rPr/>
      </w:pPr>
      <w:r>
        <w:rPr>
          <w:rStyle w:val="Style14"/>
        </w:rPr>
        <w:footnoteRef/>
      </w:r>
      <w:r>
        <w:rPr/>
        <w:t xml:space="preserve"> </w:t>
      </w:r>
      <w:r>
        <w:rPr/>
        <w:t>Указанное условие применяется к договорам поставки Товара, обеспечивающего производство и/или передачу (транспортировку) электрической энергии и мощности</w:t>
      </w:r>
    </w:p>
  </w:footnote>
  <w:footnote w:id="6">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7">
    <w:p>
      <w:pPr>
        <w:pStyle w:val="FootnoteText"/>
        <w:jc w:val="both"/>
        <w:rPr/>
      </w:pPr>
      <w:r>
        <w:rPr>
          <w:rStyle w:val="Style14"/>
        </w:rPr>
        <w:footnoteRef/>
      </w:r>
      <w:r>
        <w:rPr/>
        <w:t xml:space="preserve"> </w:t>
      </w:r>
      <w:r>
        <w:rPr/>
        <w:t>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8">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9">
    <w:p>
      <w:pPr>
        <w:pStyle w:val="FootnoteText"/>
        <w:jc w:val="both"/>
        <w:rPr/>
      </w:pPr>
      <w:r>
        <w:rPr>
          <w:rStyle w:val="Style14"/>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3 Постановления Правительства РФ от 23.12.2024 № 1875</w:t>
      </w:r>
      <w:r>
        <w:rPr>
          <w:rFonts w:eastAsia="Calibri" w:eastAsiaTheme="minorHAnsi"/>
          <w:highlight w:val="lightGray"/>
          <w:lang w:eastAsia="en-US"/>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i/>
        <w:i/>
      </w:rPr>
    </w:pPr>
    <w:r>
      <w:rPr>
        <w:i/>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2984"/>
        </w:tabs>
        <w:ind w:left="2984"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4"/>
      <w:numFmt w:val="decimal"/>
      <w:lvlText w:val="%1"/>
      <w:lvlJc w:val="left"/>
      <w:pPr>
        <w:tabs>
          <w:tab w:val="num" w:pos="0"/>
        </w:tabs>
        <w:ind w:left="360" w:hanging="360"/>
      </w:pPr>
      <w:rPr/>
    </w:lvl>
    <w:lvl w:ilvl="1">
      <w:start w:val="7"/>
      <w:numFmt w:val="decimal"/>
      <w:lvlText w:val="%1.%2"/>
      <w:lvlJc w:val="left"/>
      <w:pPr>
        <w:tabs>
          <w:tab w:val="num" w:pos="0"/>
        </w:tabs>
        <w:ind w:left="1779" w:hanging="360"/>
      </w:pPr>
      <w:rPr/>
    </w:lvl>
    <w:lvl w:ilvl="2">
      <w:start w:val="1"/>
      <w:numFmt w:val="decimal"/>
      <w:lvlText w:val="%1.%2.%3"/>
      <w:lvlJc w:val="left"/>
      <w:pPr>
        <w:tabs>
          <w:tab w:val="num" w:pos="0"/>
        </w:tabs>
        <w:ind w:left="3558" w:hanging="720"/>
      </w:pPr>
      <w:rPr/>
    </w:lvl>
    <w:lvl w:ilvl="3">
      <w:start w:val="1"/>
      <w:numFmt w:val="decimal"/>
      <w:lvlText w:val="%1.%2.%3.%4"/>
      <w:lvlJc w:val="left"/>
      <w:pPr>
        <w:tabs>
          <w:tab w:val="num" w:pos="0"/>
        </w:tabs>
        <w:ind w:left="4977" w:hanging="720"/>
      </w:pPr>
      <w:rPr/>
    </w:lvl>
    <w:lvl w:ilvl="4">
      <w:start w:val="1"/>
      <w:numFmt w:val="decimal"/>
      <w:lvlText w:val="%1.%2.%3.%4.%5"/>
      <w:lvlJc w:val="left"/>
      <w:pPr>
        <w:tabs>
          <w:tab w:val="num" w:pos="0"/>
        </w:tabs>
        <w:ind w:left="6756" w:hanging="1080"/>
      </w:pPr>
      <w:rPr/>
    </w:lvl>
    <w:lvl w:ilvl="5">
      <w:start w:val="1"/>
      <w:numFmt w:val="decimal"/>
      <w:lvlText w:val="%1.%2.%3.%4.%5.%6"/>
      <w:lvlJc w:val="left"/>
      <w:pPr>
        <w:tabs>
          <w:tab w:val="num" w:pos="0"/>
        </w:tabs>
        <w:ind w:left="8175" w:hanging="1080"/>
      </w:pPr>
      <w:rPr/>
    </w:lvl>
    <w:lvl w:ilvl="6">
      <w:start w:val="1"/>
      <w:numFmt w:val="decimal"/>
      <w:lvlText w:val="%1.%2.%3.%4.%5.%6.%7"/>
      <w:lvlJc w:val="left"/>
      <w:pPr>
        <w:tabs>
          <w:tab w:val="num" w:pos="0"/>
        </w:tabs>
        <w:ind w:left="9954" w:hanging="1440"/>
      </w:pPr>
      <w:rPr/>
    </w:lvl>
    <w:lvl w:ilvl="7">
      <w:start w:val="1"/>
      <w:numFmt w:val="decimal"/>
      <w:lvlText w:val="%1.%2.%3.%4.%5.%6.%7.%8"/>
      <w:lvlJc w:val="left"/>
      <w:pPr>
        <w:tabs>
          <w:tab w:val="num" w:pos="0"/>
        </w:tabs>
        <w:ind w:left="11373" w:hanging="1440"/>
      </w:pPr>
      <w:rPr/>
    </w:lvl>
    <w:lvl w:ilvl="8">
      <w:start w:val="1"/>
      <w:numFmt w:val="decimal"/>
      <w:lvlText w:val="%1.%2.%3.%4.%5.%6.%7.%8.%9"/>
      <w:lvlJc w:val="left"/>
      <w:pPr>
        <w:tabs>
          <w:tab w:val="num" w:pos="0"/>
        </w:tabs>
        <w:ind w:left="13152" w:hanging="1800"/>
      </w:pPr>
      <w:rPr/>
    </w:lvl>
  </w:abstractNum>
  <w:abstractNum w:abstractNumId="9">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FollowedHyperlink">
    <w:name w:val="FollowedHyperlink"/>
    <w:rPr>
      <w:color w:val="800000"/>
      <w:u w:val="single"/>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cs="Calibri" w:eastAsia="Times New Roman"/>
      <w:color w:val="auto"/>
      <w:kern w:val="0"/>
      <w:sz w:val="22"/>
      <w:szCs w:val="20"/>
      <w:lang w:val="ru-RU" w:eastAsia="ru-RU" w:bidi="ar-SA"/>
    </w:rPr>
  </w:style>
  <w:style w:type="paragraph" w:styleId="EndnoteText">
    <w:name w:val="Endnote Text"/>
    <w:basedOn w:val="Normal"/>
    <w:pPr>
      <w:suppressLineNumbers/>
      <w:ind w:left="340" w:hanging="34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C4C5D0-E6F3-46B2-887F-AA6133A12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Application>AlterOffice/2025.3.1.0$Linux_X86_64 LibreOffice_project/6648c49ab2ca125dff246c75ec00a85a64baa8dd</Application>
  <AppVersion>15.0000</AppVersion>
  <Pages>18</Pages>
  <Words>6887</Words>
  <Characters>48674</Characters>
  <CharactersWithSpaces>55343</CharactersWithSpaces>
  <Paragraphs>282</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2025-03-31T07:59:00Z</dcterms:created>
  <dc:creator>tsypilev_ag</dc:creator>
  <dc:description/>
  <dc:language>ru-RU</dc:language>
  <cp:lastModifiedBy>Раенко Ирина Николаевна</cp:lastModifiedBy>
  <cp:lastPrinted>2025-01-24T10:05:00Z</cp:lastPrinted>
  <dcterms:modified xsi:type="dcterms:W3CDTF">2026-05-22T06:54:00Z</dcterms:modified>
  <cp:revision>20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