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246"/>
        <w:ind w:firstLine="0" w:left="0" w:right="0"/>
        <w:jc w:val="center"/>
        <w:rPr>
          <w:rFonts w:ascii="Calibri" w:hAnsi="Calibri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4"/>
        </w:rPr>
        <w:t>Требования к качеству работ</w:t>
      </w:r>
    </w:p>
    <w:p w14:paraId="02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Работы</w:t>
      </w:r>
      <w:r>
        <w:rPr>
          <w:rFonts w:ascii="Calibri" w:hAnsi="Calibri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4"/>
        </w:rPr>
        <w:t>необходимо выполнить в соответствии с Техническим заданием, а также действующими нормативно-техническими документами.</w:t>
      </w:r>
    </w:p>
    <w:p w14:paraId="03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Для выполнения работ Подрядчик обязан иметь собственную зарегистрированную освидетельствованную электролабораторию или договор на оказание услуг зарегистрированной освидетельствованной электролабораторией.</w:t>
      </w:r>
    </w:p>
    <w:p w14:paraId="04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Подрядчик должен выполнить все виды работ собственной или привлеченной для данных целей техникой и оборудованием.</w:t>
      </w:r>
    </w:p>
    <w:p w14:paraId="05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При производстве работ Подрядчик обязан выполнить необходимые мероприятия по обеспечению безопасности движения, техники безопасности, охране окружающей среды и безопасности выполнения работ в соответствии с действующими нормативными правовыми актами и нормативно-техническими документами.</w:t>
      </w:r>
    </w:p>
    <w:p w14:paraId="06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br/>
      </w:r>
    </w:p>
    <w:tbl>
      <w:tblPr>
        <w:tblW w:type="auto" w:w="0"/>
        <w:tblLayout w:type="fixed"/>
      </w:tblPr>
      <w:tblGrid>
        <w:gridCol w:w="270"/>
        <w:gridCol w:w="3240"/>
        <w:gridCol w:w="2025"/>
        <w:gridCol w:w="4110"/>
      </w:tblGrid>
      <w:tr>
        <w:trPr/>
        <w:tc>
          <w:tcPr>
            <w:tcW w:type="dxa" w:w="2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№</w:t>
            </w:r>
          </w:p>
          <w:p w14:paraId="0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п/п</w:t>
            </w:r>
          </w:p>
        </w:tc>
        <w:tc>
          <w:tcPr>
            <w:tcW w:type="dxa" w:w="32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Товар, предлагаемый к использованию при выполнении работ</w:t>
            </w:r>
          </w:p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 (параметр)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Минимальные, максимальные, неизменяемые значения (диапазон значений) показателей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0D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1</w:t>
            </w:r>
          </w:p>
          <w:p w14:paraId="0E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10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Опора</w:t>
            </w:r>
            <w:r>
              <w:rPr>
                <w:rFonts w:ascii="Calibri" w:hAnsi="Calibri"/>
                <w:color w:val="000000"/>
                <w:sz w:val="22"/>
              </w:rPr>
              <w:t xml:space="preserve"> ж</w:t>
            </w:r>
            <w:r>
              <w:rPr>
                <w:rFonts w:ascii="Times New Roman" w:hAnsi="Times New Roman"/>
                <w:color w:val="002060"/>
                <w:sz w:val="24"/>
              </w:rPr>
              <w:t>елезобетонная</w:t>
            </w:r>
          </w:p>
        </w:tc>
        <w:tc>
          <w:tcPr>
            <w:tcW w:type="dxa" w:w="202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стойки</w:t>
            </w:r>
          </w:p>
          <w:p w14:paraId="1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СВ-95-3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СВ-110-5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1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2</w:t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1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Опора металлическая</w:t>
            </w:r>
          </w:p>
        </w:tc>
        <w:tc>
          <w:tcPr>
            <w:tcW w:type="dxa" w:w="202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опоры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СФГ-400-9,0-01-ц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СФГ-700-9,0-02-ц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1D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3</w:t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1F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Закладная часть опоры</w:t>
            </w:r>
          </w:p>
        </w:tc>
        <w:tc>
          <w:tcPr>
            <w:tcW w:type="dxa" w:w="202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закладной части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ЗФ-24/8/Д310-2.5-б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ЗФ-30/8/Д380-2.5-б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2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4</w:t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26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Самонесущий изолированный провод</w:t>
            </w:r>
          </w:p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Марка провода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СИП-2-3х50+1х54.6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Соответствие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</w:rPr>
              <w:t>ГОСТ 31946-2012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соответствует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2C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5</w:t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2E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Светильник консольный</w:t>
            </w:r>
          </w:p>
          <w:p w14:paraId="2F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30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Тип светильника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Уличный для дорожного освещения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Мощность, Вт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90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Степень защиты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IP</w:t>
            </w:r>
            <w:r>
              <w:rPr>
                <w:rFonts w:ascii="Times New Roman" w:hAnsi="Times New Roman"/>
                <w:color w:val="002060"/>
                <w:sz w:val="22"/>
              </w:rPr>
              <w:t>65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Гарантия производителя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5 лет</w:t>
            </w:r>
          </w:p>
        </w:tc>
      </w:tr>
      <w:tr>
        <w:trPr/>
        <w:tc>
          <w:tcPr>
            <w:tcW w:type="dxa" w:w="27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3A000000">
            <w:pPr>
              <w:spacing w:after="0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3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6</w:t>
            </w:r>
          </w:p>
        </w:tc>
        <w:tc>
          <w:tcPr>
            <w:tcW w:type="dxa" w:w="32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3D000000">
            <w:pPr>
              <w:spacing w:after="0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  <w:p w14:paraId="3E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Светильник консольный</w:t>
            </w:r>
          </w:p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Тип светильника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Уличный для дорожного освещения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Мощность, Вт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140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Степень защиты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IP</w:t>
            </w:r>
            <w:r>
              <w:rPr>
                <w:rFonts w:ascii="Times New Roman" w:hAnsi="Times New Roman"/>
                <w:color w:val="002060"/>
                <w:sz w:val="22"/>
              </w:rPr>
              <w:t>65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Гарантия производителя</w:t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2060"/>
                <w:sz w:val="22"/>
              </w:rPr>
              <w:t>5 лет</w:t>
            </w:r>
          </w:p>
        </w:tc>
      </w:tr>
      <w:tr>
        <w:trPr/>
        <w:tc>
          <w:tcPr>
            <w:tcW w:type="dxa" w:w="27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32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0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00000">
            <w:pPr>
              <w:spacing w:after="119" w:before="246"/>
              <w:ind w:firstLine="0" w:left="0" w:right="0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4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</w:tr>
    </w:tbl>
    <w:p w14:paraId="49000000">
      <w:pPr>
        <w:spacing w:after="0" w:before="246"/>
        <w:ind w:firstLine="0" w:left="0" w:right="0"/>
        <w:rPr>
          <w:rFonts w:ascii="Calibri" w:hAnsi="Calibri"/>
          <w:color w:val="000000"/>
          <w:sz w:val="22"/>
        </w:rPr>
      </w:pPr>
      <w:r>
        <w:br/>
      </w:r>
    </w:p>
    <w:p w14:paraId="4A000000">
      <w:pPr>
        <w:spacing w:after="0" w:before="246"/>
        <w:ind w:firstLine="425" w:left="0" w:right="28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i w:val="1"/>
          <w:color w:val="000000"/>
          <w:sz w:val="22"/>
        </w:rPr>
        <w:t>Примечание:</w:t>
      </w:r>
    </w:p>
    <w:p w14:paraId="4B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i w:val="1"/>
          <w:color w:val="000000"/>
          <w:sz w:val="22"/>
        </w:rPr>
        <w:t>1.</w:t>
      </w:r>
      <w:r>
        <w:rPr>
          <w:rFonts w:ascii="Calibri" w:hAnsi="Calibri"/>
          <w:color w:val="000000"/>
          <w:sz w:val="22"/>
        </w:rPr>
        <w:t xml:space="preserve"> </w:t>
      </w:r>
      <w:r>
        <w:rPr>
          <w:rFonts w:ascii="Times New Roman" w:hAnsi="Times New Roman"/>
          <w:i w:val="1"/>
          <w:color w:val="000000"/>
          <w:sz w:val="22"/>
          <w:u w:color="000000" w:val="single"/>
        </w:rPr>
        <w:t>Любое</w:t>
      </w:r>
      <w:r>
        <w:rPr>
          <w:rFonts w:ascii="Calibri" w:hAnsi="Calibri"/>
          <w:color w:val="000000"/>
          <w:sz w:val="22"/>
        </w:rPr>
        <w:t xml:space="preserve"> </w:t>
      </w:r>
      <w:r>
        <w:rPr>
          <w:rFonts w:ascii="Times New Roman" w:hAnsi="Times New Roman"/>
          <w:i w:val="1"/>
          <w:color w:val="000000"/>
          <w:sz w:val="22"/>
        </w:rPr>
        <w:t>упоминание на товарные знаки материалов, оборудования, конструкций в техническом задании и(или) локальном сметном расчете подразумевает возможность их замены участником закупки на эквивалентные (соответствующие или превосходящие по качественным характеристикам) при соблюдении ограничений, регламентированных ст. 14 Федерального закона от 05.04.2013 № 44-ФЗ и нормативными правовыми актами Российской Федерации в области импортозамещения;</w:t>
      </w:r>
    </w:p>
    <w:p w14:paraId="4C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i w:val="1"/>
          <w:color w:val="000000"/>
          <w:sz w:val="22"/>
        </w:rPr>
        <w:t>2. Наименование материалов, оборудования, конструкций в техническом задании и(или) локальном сметном расчете, содержащие товарные знаки, использованы заказчиком для определения начальной (максимальной) цены контракта.</w:t>
      </w:r>
    </w:p>
    <w:p w14:paraId="4D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i w:val="1"/>
          <w:color w:val="000000"/>
          <w:sz w:val="22"/>
          <w:highlight w:val="white"/>
        </w:rPr>
        <w:t>3. Все товарные знаки (указание на конкретных производителей), указанные в техническом задании и(или) локальном сметном расчете, необходимо считать сопровождаемыми словами «или эквивалент».</w:t>
      </w:r>
    </w:p>
    <w:p w14:paraId="4E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i w:val="1"/>
          <w:color w:val="000000"/>
          <w:sz w:val="22"/>
          <w:highlight w:val="white"/>
        </w:rPr>
        <w:t>4. Извещение не содержит положений, запрещающих осуществлять замену предусмотренных в техническом задании и(или) локальном сметном расчете товаров (материалов, конструкций, оборудования), используемого при выполнении работ, на аналогичное (эквивалентное).</w:t>
      </w:r>
    </w:p>
    <w:p w14:paraId="4F000000">
      <w:pPr>
        <w:spacing w:after="0" w:before="246"/>
        <w:ind w:firstLine="425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i w:val="1"/>
          <w:color w:val="000000"/>
          <w:sz w:val="22"/>
        </w:rPr>
        <w:t xml:space="preserve">5. Товары, указанные в техническом задании и(или) локальном сметном расчете, являются используемыми при выполнении работ. Указанные товары не передаются заказчику по товарной накладной или акту передачи, не принимаются к бухгалтерскому учету заказчика в соответствии с Федеральным </w:t>
      </w:r>
      <w:r>
        <w:rPr>
          <w:rFonts w:ascii="Times New Roman" w:hAnsi="Times New Roman"/>
          <w:i w:val="1"/>
          <w:color w:val="0000FF"/>
          <w:sz w:val="22"/>
          <w:u w:color="000000" w:val="single"/>
        </w:rPr>
        <w:fldChar w:fldCharType="begin"/>
      </w:r>
      <w:r>
        <w:rPr>
          <w:rFonts w:ascii="Times New Roman" w:hAnsi="Times New Roman"/>
          <w:i w:val="1"/>
          <w:color w:val="0000FF"/>
          <w:sz w:val="22"/>
          <w:u w:color="000000" w:val="single"/>
        </w:rPr>
        <w:instrText>HYPERLINK "https://login.consultant.ru/link/?req=doc&amp;base=LAW&amp;n=389500&amp;dst=100038&amp;field=134&amp;date=28.02.2022"</w:instrText>
      </w:r>
      <w:r>
        <w:rPr>
          <w:rFonts w:ascii="Times New Roman" w:hAnsi="Times New Roman"/>
          <w:i w:val="1"/>
          <w:color w:val="0000FF"/>
          <w:sz w:val="22"/>
          <w:u w:color="000000" w:val="single"/>
        </w:rPr>
        <w:fldChar w:fldCharType="separate"/>
      </w:r>
      <w:r>
        <w:rPr>
          <w:rFonts w:ascii="Times New Roman" w:hAnsi="Times New Roman"/>
          <w:i w:val="1"/>
          <w:color w:val="0000FF"/>
          <w:sz w:val="22"/>
          <w:u w:color="000000" w:val="single"/>
        </w:rPr>
        <w:t>законом</w:t>
      </w:r>
      <w:r>
        <w:rPr>
          <w:rFonts w:ascii="Times New Roman" w:hAnsi="Times New Roman"/>
          <w:i w:val="1"/>
          <w:color w:val="0000FF"/>
          <w:sz w:val="22"/>
          <w:u w:color="000000" w:val="single"/>
        </w:rPr>
        <w:fldChar w:fldCharType="end"/>
      </w:r>
      <w:r>
        <w:rPr>
          <w:rFonts w:ascii="Times New Roman" w:hAnsi="Times New Roman"/>
          <w:i w:val="1"/>
          <w:color w:val="000000"/>
          <w:sz w:val="22"/>
        </w:rPr>
        <w:t xml:space="preserve"> от 06.12.2011 № 402-ФЗ «О бухгалтерском учете», а являются строительными и расходными материалами, которые используются в ходе выполнения работ.</w:t>
      </w:r>
    </w:p>
    <w:p w14:paraId="50000000">
      <w:pPr>
        <w:spacing w:after="0" w:before="246"/>
        <w:ind w:firstLine="539" w:left="0" w:right="0"/>
        <w:jc w:val="both"/>
        <w:rPr>
          <w:rFonts w:ascii="Calibri" w:hAnsi="Calibri"/>
          <w:color w:val="000000"/>
          <w:sz w:val="22"/>
        </w:rPr>
      </w:pPr>
      <w:r>
        <w:br/>
      </w:r>
    </w:p>
    <w:p w14:paraId="51000000">
      <w:pPr>
        <w:spacing w:after="0" w:before="246"/>
        <w:ind w:firstLine="0" w:left="0" w:right="0"/>
        <w:rPr>
          <w:rFonts w:ascii="Calibri" w:hAnsi="Calibri"/>
          <w:color w:val="000000"/>
          <w:sz w:val="22"/>
        </w:rPr>
      </w:pPr>
      <w:r>
        <w:br/>
      </w:r>
    </w:p>
    <w:p w14:paraId="52000000">
      <w:pPr>
        <w:pStyle w:val="Style_1"/>
      </w:pPr>
    </w:p>
    <w:p w14:paraId="53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  <w:r>
        <w:br/>
      </w:r>
    </w:p>
    <w:p w14:paraId="54000000">
      <w:pPr>
        <w:spacing w:after="0" w:before="269"/>
        <w:ind w:firstLine="0" w:left="0" w:right="0"/>
        <w:jc w:val="center"/>
        <w:rPr>
          <w:b w:val="1"/>
          <w:color w:val="000000"/>
        </w:rPr>
      </w:pPr>
      <w:r>
        <w:rPr>
          <w:rFonts w:ascii="Times New Roman" w:hAnsi="Times New Roman"/>
          <w:b w:val="1"/>
          <w:color w:val="000000"/>
          <w:sz w:val="24"/>
        </w:rPr>
        <w:t>Перечень нормативно-технических документов, обязательных при выполнении работ</w:t>
      </w:r>
    </w:p>
    <w:tbl>
      <w:tblPr>
        <w:tblW w:type="auto" w:w="0"/>
        <w:tblLayout w:type="fixed"/>
      </w:tblPr>
      <w:tblGrid>
        <w:gridCol w:w="300"/>
        <w:gridCol w:w="2670"/>
        <w:gridCol w:w="7005"/>
      </w:tblGrid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№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Обозначение нормативно-технического документа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Наименование нормативно-технического документа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СП 34.13330.2021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Свод правил. Автомобильные дороги. СНиП 2.05.02-85*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СП 78.13330.2012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Свод правил. Автомобильные дороги. Актуализированная редакция СНиП 3.06.03-85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СП 52.13330.2016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Свод правил. Естественное и искусственное освещение. Актуализированная редакция СНиП 23-05-95*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ОДМ 218.4.005-2010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Отраслевой дорожный методический документ. Рекомендации по обеспечению безопасности движения на автомобильных дорогах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«Рекомендации по обеспечению безопасности движения на автомобильных дорогах» (изданы на основании распоряжения Росавтодора от 12.01.2011 № 13-р)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Правила устройства электроустановок (действующие издания)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Правила технической эксплуатации электроустановок потребителей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ГОСТ Р 55706-2023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Национальный стандарт Российской Федерации. Освещение наружное утилитарное. Классификация и нормы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ГОСТ Р 54305-2011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Национальный стандарт Российской Федерации. Дороги автомобильные общего пользования. Горизонтальная освещенность от искусственного освещения. Технические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ГОСТ Р 52766-2007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Национальный стандарт Российской Федерации. Дороги автомобильные общего пользования. Элементы обустройства. Общие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11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ГОСТ Р 52289-2019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ГОСТ Р 50597-2017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СН 541-82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Инструкция по проектированию наружного освещения городов, поселков и сельских населенных пунктов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ГОСТ 31946-2012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Межгосударственный стандарт. Провода самонесущие изолированные и защищенные для воздушных линий электропередачи. Общие технические условия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15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ТР ТС 014/2011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Технический регламент Таможенного союза. Безопасность автомобильных дорог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Распоряжение Правительства Российской Федерации от 04.11.2017 № 2438-р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Перечень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17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Письмо Росавтодора от 23.03.2005 № ОБ-28/1266-ИС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 внесении изменений и дополнений в техническую документацию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ГОСТ 32756-2014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Межгосударственный стандарт. Дороги автомобильные общего пользования. Требования к проведению промежуточной приемки выполненных работ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ГОСТ Р 58406.2-2020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Национальный стандарт Российской Федерации. Дороги автомобильные общего пользования. Смеси горячие асфальтобетонные и асфальтобетон. Технические условия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20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ГОСТ Р 58967-2020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Национальный стандарт Российской Федерации. Ограждения инвентарные строительных площадок и участков производства строительно-монтажных работ. Технические условия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00000">
            <w:pPr>
              <w:spacing w:after="0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СП 49.13330.2010</w:t>
            </w:r>
          </w:p>
          <w:p w14:paraId="96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(СНиП 12-03-2001)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Безопасность труда в строительстве. Часть 1. Общие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22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9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-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«Методические рекомендации по ремонту и содержанию автомобильных дорог общего пользования» (взамен ВСН 24-88)» (</w:t>
            </w:r>
            <w:r>
              <w:rPr>
                <w:rFonts w:ascii="Times New Roman" w:hAnsi="Times New Roman"/>
                <w:color w:val="000000"/>
                <w:sz w:val="22"/>
              </w:rPr>
              <w:t>приняты и введены в действие Письмом Минтранса России от 17.03.2004 № ОС-28/1270-ис</w:t>
            </w:r>
            <w:r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23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Приказ Минстроя России от 02.12.2022 № 1026/пр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24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Приказ Минстроя России от 16.05.2023 № 344/пр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FF"/>
                <w:sz w:val="22"/>
              </w:rPr>
              <w:t>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ГОСТ 32756-2014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</w:rPr>
              <w:t>Межгосударственный стандарт. Дороги автомобильные общего пользования. Требования к проведению промежуточной приемки выполненных работ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59104-2020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Линии электроосвещения. Технические правила содержания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27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59105-2020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Автоматизированные системы управления дорожным движением, метеообеспечения, пункты весового и габаритного контроля. Технические правила содержания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59290-2021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Требования к проведению входного и операционного контроля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59432-2021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Доступность для инвалидов и других маломобильных групп населения. Общие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59433-2021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Сооружения защитные от воздействия воды. Общие технические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59292-2021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Требования к уровню летнего содержания. Критерии оценки и методы контроля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32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ГОСТ Р 59434-2021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99"/>
                <w:sz w:val="22"/>
                <w:highlight w:val="white"/>
              </w:rPr>
              <w:t>Дороги автомобильные общего пользования. Требования к уровню зимнего содержания. Критерии оценки и методы контроля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ГОСТ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59205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2021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Дороги автомобильные общего пользования охрана окружающей среды Технические требования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ПНСТ 502-2020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Дороги автомобильные общего пользования. Функциональная классификация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ПНСТ 509-2020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Дороги автомобильные общего пользования. Ограждения дорожные. Требования к эксплуатации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2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3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ОДМ 218.6.019-2016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Рекомендации по организации движения и ограждению мест производства дорожных работ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5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37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Правила технической эксплуатации электроустановок потребителей (утверждены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приказом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Минэнерго России от 13.01.2003 № 6)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8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Правила содержания и ремонта автомобильных дорог общего пользования регионального или межмуниципального значения и создания и использования парковок (парковочных мест) на автомобильных дорогах общего пользования регионального или межмуниципального значения в Нижегородской области, утвержденные постановлением Правительства Нижегородской области от 22.05.2013 № 318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B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br/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Правила</w:t>
            </w:r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технической эксплуатации электрических станций и сетей Российской Федерации</w:t>
            </w:r>
            <w:r>
              <w:rPr>
                <w:rFonts w:ascii="Times New Roman" w:hAnsi="Times New Roman"/>
                <w:color w:val="000000"/>
                <w:sz w:val="22"/>
              </w:rPr>
              <w:t>, утверждены приказом Минэнерго РФ от 19.06.2003 № 229</w:t>
            </w:r>
          </w:p>
        </w:tc>
      </w:tr>
      <w:tr>
        <w:trPr/>
        <w:tc>
          <w:tcPr>
            <w:tcW w:type="dxa" w:w="3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E000000">
            <w:pPr>
              <w:spacing w:after="119" w:before="246"/>
              <w:ind w:firstLine="0" w:left="0" w:right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40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top"/>
          </w:tcPr>
          <w:p w14:paraId="CF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ГОСТ 32755-2014</w:t>
            </w:r>
          </w:p>
        </w:tc>
        <w:tc>
          <w:tcPr>
            <w:tcW w:type="dxa" w:w="7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00000">
            <w:pPr>
              <w:spacing w:after="119" w:before="246"/>
              <w:ind w:firstLine="0" w:left="0" w:right="0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Межгосударственный стандарт. Дороги автомобильные общего пользования. Требования к проведению приемки в эксплуатацию выполненных работ (введен в действие Приказом Росстандарта от 24.09.2014 № 1202-ст)</w:t>
            </w:r>
          </w:p>
        </w:tc>
      </w:tr>
    </w:tbl>
    <w:p w14:paraId="D1000000">
      <w:p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Примечание: в процессе заключения и исполнения Договора должны использоваться актуальные редакции нормативно-технических документов. Кроме того, при исполнении Договора могут учитываться вновь вводимые и/или не указанные в настоящем приложении нормативно-технические документы.</w:t>
      </w:r>
    </w:p>
    <w:p w14:paraId="D2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3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  <w:r>
        <w:br/>
      </w:r>
    </w:p>
    <w:p w14:paraId="D4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5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6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7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8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9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A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B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C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D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E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DF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E0000000">
      <w:pPr>
        <w:spacing w:after="0" w:before="246"/>
        <w:ind w:firstLine="0" w:left="0" w:right="0"/>
        <w:jc w:val="right"/>
        <w:rPr>
          <w:rFonts w:ascii="Calibri" w:hAnsi="Calibri"/>
          <w:color w:val="000000"/>
          <w:sz w:val="22"/>
        </w:rPr>
      </w:pPr>
    </w:p>
    <w:p w14:paraId="E1000000">
      <w:pPr>
        <w:spacing w:after="0" w:before="246"/>
        <w:ind w:firstLine="0" w:left="0" w:right="0"/>
        <w:jc w:val="center"/>
        <w:rPr>
          <w:rFonts w:ascii="Calibri" w:hAnsi="Calibri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4"/>
        </w:rPr>
        <w:t>ПОЛОЖЕНИЕ</w:t>
      </w:r>
    </w:p>
    <w:p w14:paraId="E2000000">
      <w:pPr>
        <w:spacing w:after="0" w:before="246"/>
        <w:ind w:firstLine="0" w:left="0" w:right="0"/>
        <w:jc w:val="center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по технической эксплуатации установок наружного освещения на автомобильных дорогах общего пользования Нижегородской области</w:t>
      </w:r>
    </w:p>
    <w:p w14:paraId="E3000000">
      <w:pPr>
        <w:spacing w:after="0" w:before="246"/>
        <w:ind w:firstLine="0" w:left="0" w:right="0"/>
        <w:jc w:val="center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(утверждено приказом ГКУ НО "ГУАД" от 11.03.2019 № 140)</w:t>
      </w:r>
    </w:p>
    <w:p w14:paraId="E4000000">
      <w:pPr>
        <w:spacing w:after="0" w:before="246"/>
        <w:ind w:firstLine="0" w:left="3986" w:right="0"/>
        <w:jc w:val="both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E5000000">
      <w:pPr>
        <w:spacing w:after="0" w:before="246"/>
        <w:ind w:firstLine="0" w:left="3986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 Общие положения.</w:t>
      </w:r>
    </w:p>
    <w:p w14:paraId="E6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1.1. Настоящее положение содержит основные технические, технологические и организационные требования по ведению эксплуатации наружного освещения автомо­бильных дорог и контролю за его состоянием.</w:t>
      </w:r>
    </w:p>
    <w:p w14:paraId="E7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1.2. Положение распространяется на эксплуатацию установок наружного освещения (далее - НО) дорог, находящихся в оперативном управлении ГКУ НО «ГУАД», а также устройства управления НО, электрические сети и трансформаторные подстанции 10 (6), 0,4 кВ.</w:t>
      </w:r>
    </w:p>
    <w:p w14:paraId="E8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1.3. Соблюдение Положения должно позволить улучшить состояние НО, полнее удовлетворить современные потребности участников дорожного движения НО, которые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способствуют снижению нарушений общественного порядка, дорожно-транспортных происшествий и повышению комфорта проживания населения.</w:t>
      </w:r>
    </w:p>
    <w:p w14:paraId="E9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1.4. Положение базируется на основополагающих нормативно-технических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документах, относящихся к НО: ГОСТ Р 50597-2017 «Национальный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«Правила содержания и ремонта автомобильных дорог общего пользования регионального или межмуниципального значения и создания и использования парковок (парковочных мест) на автомобильных дорогах общего пользования регионального или межмуниципального значения в нижегородской области» (утверждены постановлением Правительства Нижегородской области от 22.05.2013 № 318), «Правила устройства электроустановок», «Правила технической эксплуатации электрических станций и сетей», «Правила эксплуатации электроустановок потребителей».</w:t>
      </w:r>
    </w:p>
    <w:p w14:paraId="EA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1.5. Положение учитывает специфические условия эксплуатации установок НО, их питающих и распределительных электрических сетей, работающих в значительно более тяжелых условиях, чем городские и сельские электрические сети 0,4 кВ, а именно:</w:t>
      </w:r>
    </w:p>
    <w:p w14:paraId="EB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 размещение установок НО и их электрических сетей в непосредственной близости от проезжих частей улиц и дорог с транспортным движением. Это неизбежно приводит к нарушениям их работы (отказам) при наездах, а также резко усложняет и удорожает проведение работ на линии;</w:t>
      </w:r>
    </w:p>
    <w:p w14:paraId="EC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 наличие протяженных участков воздушных сетей НО, выполненных не изолированными проводами, на дорогах с высокорослыми деревьями приводит к многочисленным обрывам при сильных ветрах и необходимости проведения срочных восстановительных работ;</w:t>
      </w:r>
    </w:p>
    <w:p w14:paraId="ED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 наличие через каждые 30-40 м в распределительных кабельных сетях ответвлений к светильникам, выполненных с разрезанием и разделкой кабеля в цоколях опор, снижает надежность работы установок, в том числе и защиты, и требует постоянного контроля слабо защищенных разделок кабеля и щитков в цоколях многочисленных опор;</w:t>
      </w:r>
    </w:p>
    <w:p w14:paraId="EE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 периодическое включение и отключение не менее, чем один раз в сутки распределительных сетей НО с изменяющейся по характеру нагрузкой при включении, что при использовании электромагнитных коммутационных аппаратов вызывает появление переходных режимов в сетях и снижает надежность питания установок НО;</w:t>
      </w:r>
    </w:p>
    <w:p w14:paraId="EF000000">
      <w:pPr>
        <w:spacing w:after="0" w:before="246"/>
        <w:ind w:firstLine="618" w:left="4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 необходимость обслуживания каждого светового прибора в течение года,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заключающегося в ревизии его электрической схемы, узла крепления, и проведении замены ламп. Периодичность замены ламп в значительной степени зависит от качества электрической энергии, поступающей от энергоснабжающей организации.</w:t>
      </w:r>
    </w:p>
    <w:p w14:paraId="F0000000">
      <w:pPr>
        <w:spacing w:after="0" w:before="246"/>
        <w:ind w:firstLine="607" w:left="57" w:right="79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1.6. Положение устанавливает требования и сроки проведения обслуживания, технического надзора и контроля за работой организаций по эксплуатации установок НО.</w:t>
      </w:r>
    </w:p>
    <w:p w14:paraId="F1000000">
      <w:pPr>
        <w:spacing w:after="0" w:before="246"/>
        <w:ind w:firstLine="607" w:left="57" w:right="79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1.7. Техническое обслуживание включает в себя комплекс мероприятий. направленных на обеспечение бесперебойной работы установок НО и предотвращение их преждевременного износа как при нормальном режиме эксплуатации под воздействием внешней среды, так и при его внезапном нарушении путем своевременного выявления и устранения возникающих неисправностей.</w:t>
      </w:r>
    </w:p>
    <w:p w14:paraId="F2000000">
      <w:pPr>
        <w:spacing w:after="0" w:before="246"/>
        <w:ind w:firstLine="663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1.8. Техническое обслуживание и текущий ремонт НО проводятся специализированными эксплуатационными организациями (Подрядчиками), имеющими на то разрешительную документацию в соответствии с действующим законодательством.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</w:p>
    <w:p w14:paraId="F3000000">
      <w:pPr>
        <w:spacing w:after="0" w:before="246"/>
        <w:ind w:firstLine="0" w:left="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F4000000">
      <w:pPr>
        <w:spacing w:after="0" w:before="246"/>
        <w:ind w:firstLine="0" w:left="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2.Техническое обслуживание</w:t>
      </w:r>
    </w:p>
    <w:p w14:paraId="F5000000">
      <w:pPr>
        <w:spacing w:after="0" w:before="246"/>
        <w:ind w:firstLine="0" w:left="76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2.1 Состав работ по техническому обслуживанию включает:</w:t>
      </w:r>
    </w:p>
    <w:p w14:paraId="F6000000">
      <w:pPr>
        <w:spacing w:after="0" w:before="246"/>
        <w:ind w:firstLine="624" w:left="68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обеспечение регламентированного режима работы установок НО путем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своевременного включения, частичного или полного отключения и оперативного контро</w:t>
      </w:r>
      <w:r>
        <w:rPr>
          <w:rFonts w:ascii="Times New Roman" w:hAnsi="Times New Roman"/>
          <w:color w:val="000000"/>
          <w:spacing w:val="4"/>
          <w:sz w:val="24"/>
          <w:highlight w:val="white"/>
        </w:rPr>
        <w:t>ля исправности и соответствия состояния установок заданному режиму;</w:t>
      </w:r>
    </w:p>
    <w:p w14:paraId="F7000000">
      <w:pPr>
        <w:spacing w:after="0" w:before="246"/>
        <w:ind w:firstLine="624" w:left="68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поддержание нормируемых светотехнических параметров установок путем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замены вышедших из строя ламп, отдельных светильников, восстановления поврежденных опор,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восстановление правильного положения кронштейнов (консолей), светильников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относительно освещаемого объекта;</w:t>
      </w:r>
    </w:p>
    <w:p w14:paraId="F8000000">
      <w:pPr>
        <w:numPr>
          <w:ilvl w:val="0"/>
          <w:numId w:val="1"/>
        </w:numPr>
        <w:spacing w:after="269" w:before="269"/>
        <w:ind w:firstLine="0" w:left="600" w:right="0"/>
      </w:pPr>
    </w:p>
    <w:p w14:paraId="F9000000">
      <w:pPr>
        <w:numPr>
          <w:ilvl w:val="0"/>
          <w:numId w:val="1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2"/>
          <w:sz w:val="24"/>
          <w:highlight w:val="white"/>
        </w:rPr>
        <w:t>проведение периодических и внеочередных осмотров установок НО с целью вы-­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явления отказов в их работе;</w:t>
      </w:r>
    </w:p>
    <w:p w14:paraId="FA000000">
      <w:pPr>
        <w:numPr>
          <w:ilvl w:val="0"/>
          <w:numId w:val="1"/>
        </w:numPr>
        <w:spacing w:after="269" w:before="269"/>
        <w:ind w:firstLine="0" w:left="600" w:right="0"/>
      </w:pPr>
    </w:p>
    <w:p w14:paraId="FB000000">
      <w:pPr>
        <w:numPr>
          <w:ilvl w:val="0"/>
          <w:numId w:val="1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2"/>
          <w:sz w:val="24"/>
          <w:highlight w:val="white"/>
        </w:rPr>
        <w:t>измерение уровней напряжения и токов в пунктах питания на соответствие рас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пределения светильников по фазам и величине нагрузки;</w:t>
      </w:r>
    </w:p>
    <w:p w14:paraId="FC000000">
      <w:pPr>
        <w:spacing w:after="0" w:before="246"/>
        <w:ind w:firstLine="544" w:left="96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-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проведение выборочного (а при необходимости и сплошного) входного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контроля поступающих газоразрядных ламп высокого давления на соответствие их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основным техническим параметрам;</w:t>
      </w:r>
    </w:p>
    <w:p w14:paraId="FD000000">
      <w:pPr>
        <w:spacing w:after="0" w:before="246"/>
        <w:ind w:firstLine="0" w:left="7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6"/>
          <w:sz w:val="24"/>
          <w:highlight w:val="white"/>
        </w:rPr>
        <w:t>- выполнение неотложных работ по ликвидации внезапных отказов в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установках НО, в том числе отказов электрооборудования и устройств управления.</w:t>
      </w:r>
    </w:p>
    <w:p w14:paraId="FE000000">
      <w:pPr>
        <w:spacing w:after="0" w:before="246"/>
        <w:ind w:firstLine="714" w:left="0" w:right="0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FF000000">
      <w:pPr>
        <w:spacing w:after="0" w:before="246"/>
        <w:ind w:hanging="811" w:left="76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2.2. Режимы работы установок НО.</w:t>
      </w:r>
    </w:p>
    <w:p w14:paraId="00010000">
      <w:pPr>
        <w:spacing w:after="0" w:before="246"/>
        <w:ind w:firstLine="675" w:left="17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2.2.1. Установки НО должны включаться в вечерние сумерки при естественной ос­вещенности 20 лк. (к этому моменту газоразрядные лампы высокого давления в светильни­ках должны полностью разгореться), а отключаться - в утренние сумерки, не ранее повы­шения естественной освещенности до 10 лк. При автоматизированном управлении установками НО отступление от графика допускается в пределах технических данных приборов управления, но не более15 мин. в ту или другую сторону.</w:t>
      </w:r>
    </w:p>
    <w:p w14:paraId="01010000">
      <w:pPr>
        <w:spacing w:after="0" w:before="246"/>
        <w:ind w:firstLine="675" w:left="17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2.2.2. При выполнении работ по обслуживанию и ремонту установок НО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допускается по разрешению руководства Подрядчика, производить в дневные часы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кратковременные пробные включения отдельных участков установок длительностью не более 15 мин., что должно быть зафиксировано в журнале производства работ.</w:t>
      </w:r>
    </w:p>
    <w:p w14:paraId="02010000">
      <w:pPr>
        <w:spacing w:after="0" w:before="246"/>
        <w:ind w:firstLine="0" w:left="760" w:right="0"/>
        <w:jc w:val="both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03010000">
      <w:pPr>
        <w:spacing w:after="0" w:before="246"/>
        <w:ind w:firstLine="0" w:left="76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</w:t>
      </w:r>
      <w:r>
        <w:rPr>
          <w:rFonts w:ascii="Times New Roman" w:hAnsi="Times New Roman"/>
          <w:color w:val="000000"/>
          <w:sz w:val="24"/>
          <w:highlight w:val="white"/>
          <w:u w:color="000000" w:val="single"/>
        </w:rPr>
        <w:t>. Уровни освещения и процент горения светильников.</w:t>
      </w:r>
    </w:p>
    <w:p w14:paraId="04010000">
      <w:pPr>
        <w:spacing w:after="0" w:before="246"/>
        <w:ind w:firstLine="680" w:left="17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2.3.1. Установки НО, поддерживаемые в технически исправном состоянии, должны иметь количественные и качественные светотехнические параметры, предусмотренные в рабочих проектах на их сооружение или реконструкцию и подтвержденные при приемке установок в эксплуатацию. Измерения светотехнических параметров установок НО должны производиться при приемке новых, реконструированных и прошедших капитальный ремонт установок.</w:t>
      </w:r>
    </w:p>
    <w:p w14:paraId="05010000">
      <w:pPr>
        <w:spacing w:after="0" w:before="246"/>
        <w:ind w:firstLine="680" w:left="17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Измерения в дальнейшем должны производиться по мере необходимости или при получении жа­лоб населения, участников дорожного движения и организаций.</w:t>
      </w:r>
    </w:p>
    <w:p w14:paraId="06010000">
      <w:pPr>
        <w:spacing w:after="0" w:before="246"/>
        <w:ind w:firstLine="641" w:left="62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Количественные значения светотехнических показателей установок НО в процессе эксплуатации не должны снижаться более, чем до 0.85 от предусмотренных в рабочих проектах.</w:t>
      </w:r>
    </w:p>
    <w:p w14:paraId="07010000">
      <w:pPr>
        <w:spacing w:after="0" w:before="246"/>
        <w:ind w:firstLine="641" w:left="62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Процент горящих светильников в установках НО на автомобильных до­рогах должен быть не менее 95%. При этом не допускается расположение не рабо­тающих светильников подряд, один за другим.</w:t>
      </w:r>
    </w:p>
    <w:p w14:paraId="08010000">
      <w:pPr>
        <w:spacing w:after="0" w:before="246"/>
        <w:ind w:firstLine="714" w:left="0" w:right="91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6"/>
          <w:sz w:val="24"/>
          <w:highlight w:val="white"/>
        </w:rPr>
        <w:t>Отказы в работе наружных осветительных установок, связанные с обрывом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highlight w:val="white"/>
        </w:rPr>
        <w:t>электрических проводов или повреждением опор, следует устранять немедленно по­</w:t>
      </w:r>
      <w:r>
        <w:rPr>
          <w:rFonts w:ascii="Times New Roman" w:hAnsi="Times New Roman"/>
          <w:color w:val="000000"/>
          <w:spacing w:val="4"/>
          <w:sz w:val="24"/>
          <w:highlight w:val="white"/>
        </w:rPr>
        <w:t>сле обнаружения.</w:t>
      </w:r>
    </w:p>
    <w:p w14:paraId="09010000">
      <w:pPr>
        <w:spacing w:after="0" w:before="246"/>
        <w:ind w:firstLine="658" w:left="5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2.3.2.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Процент горения светильников определяется как отношение числа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горящих светильников к общему числу установленных светильников.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highlight w:val="white"/>
        </w:rPr>
        <w:t>Маршрут объезда установок НО для определения процента горения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светильников должен включать все 100 % светильников.</w:t>
      </w:r>
    </w:p>
    <w:p w14:paraId="0A010000">
      <w:pPr>
        <w:spacing w:after="0" w:before="246"/>
        <w:ind w:firstLine="641" w:left="62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Контрольные объезды должны проводиться 1 раз в месяц, а внеплановые - при по­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ступлении телефонограммы Заказчика руководителю подрядной организации.</w:t>
      </w:r>
    </w:p>
    <w:p w14:paraId="0B010000">
      <w:pPr>
        <w:spacing w:after="0" w:before="246"/>
        <w:ind w:firstLine="663" w:left="45" w:right="51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</w:rPr>
        <w:t>Состав контрольной группы должен включать представителей Подрядчика и Заказ­</w:t>
      </w:r>
      <w:r>
        <w:rPr>
          <w:rFonts w:ascii="Times New Roman" w:hAnsi="Times New Roman"/>
          <w:color w:val="000000"/>
          <w:spacing w:val="-10"/>
          <w:sz w:val="24"/>
          <w:highlight w:val="white"/>
        </w:rPr>
        <w:t>чика. К работе могут быть привлечены представители ГИБДД, эксплуатирующей дорожной организации.</w:t>
      </w:r>
    </w:p>
    <w:p w14:paraId="0C010000">
      <w:pPr>
        <w:spacing w:after="0" w:before="246"/>
        <w:ind w:firstLine="646" w:left="74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2.3.3.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Персонал Подрядчика должен проводить объезды установок НО в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вечернее и ночное время для своевременного выявления не горящих светильников 1 раз в 2 недели с октября по март и 1 раз в 4 недели с апреля по сентябрь.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Сроки проведения объездов могут корректироваться руководством П</w:t>
      </w:r>
      <w:r>
        <w:rPr>
          <w:rFonts w:ascii="Times New Roman" w:hAnsi="Times New Roman"/>
          <w:color w:val="000000"/>
          <w:spacing w:val="-6"/>
          <w:sz w:val="24"/>
          <w:highlight w:val="white"/>
        </w:rPr>
        <w:t>одрядчика.</w:t>
      </w:r>
    </w:p>
    <w:p w14:paraId="0D010000">
      <w:pPr>
        <w:spacing w:after="0" w:before="246"/>
        <w:ind w:firstLine="765" w:left="1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2.3.4.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Восстановление горения отдельных светильников, сбитых при наездах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автотранспортом, должно выполняться в сроки, указанные в предписании представителя Заказчика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.</w:t>
      </w:r>
    </w:p>
    <w:p w14:paraId="0E010000">
      <w:pPr>
        <w:spacing w:after="0" w:before="246"/>
        <w:ind w:firstLine="0" w:left="12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2.3.5. В нештатных ситуациях,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Объекта, временному ограничению и/или запрещению проезда по поврежденным и/или опасным для движения транспорта участкам Объекта. С момента обнаружения нештатных ситуаций на участке Объекта, препятствующих безопасному или бесперебойному движению транспортных средств, Подрядчик обязан немедленно приступить к ликвидации их последствий.</w:t>
      </w:r>
    </w:p>
    <w:p w14:paraId="0F010000">
      <w:pPr>
        <w:spacing w:after="0" w:before="246"/>
        <w:ind w:firstLine="590" w:left="125" w:right="0"/>
        <w:jc w:val="both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10010000">
      <w:pPr>
        <w:spacing w:after="0" w:before="246"/>
        <w:ind w:firstLine="590" w:left="125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2.4</w:t>
      </w:r>
      <w:r>
        <w:rPr>
          <w:rFonts w:ascii="Times New Roman" w:hAnsi="Times New Roman"/>
          <w:color w:val="000000"/>
          <w:sz w:val="24"/>
          <w:highlight w:val="white"/>
          <w:u w:color="000000" w:val="single"/>
        </w:rPr>
        <w:t>. Проведение осмотров установок НО в дневное время, устранение выявленных отказов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11010000">
      <w:pPr>
        <w:spacing w:after="0" w:before="246"/>
        <w:ind w:firstLine="607" w:left="102" w:right="34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2.4.1. Периодические осмотры и проверки оборудования и установок НО проводятся в дневное время по планам и графикам, составленным в соответствии с настоящим Положением:</w:t>
      </w:r>
    </w:p>
    <w:p w14:paraId="12010000">
      <w:pPr>
        <w:spacing w:after="0" w:before="246"/>
        <w:ind w:firstLine="0" w:left="3487" w:right="0"/>
        <w:jc w:val="both"/>
        <w:rPr>
          <w:rFonts w:ascii="Calibri" w:hAnsi="Calibri"/>
          <w:color w:val="000000"/>
          <w:spacing w:val="8"/>
          <w:sz w:val="22"/>
          <w:highlight w:val="white"/>
        </w:rPr>
      </w:pPr>
      <w:r>
        <w:br/>
      </w:r>
    </w:p>
    <w:p w14:paraId="13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Воздушные и кабельные линии:</w:t>
      </w:r>
    </w:p>
    <w:p w14:paraId="14010000">
      <w:pPr>
        <w:numPr>
          <w:ilvl w:val="0"/>
          <w:numId w:val="2"/>
        </w:numPr>
        <w:spacing w:after="269" w:before="269"/>
        <w:ind w:firstLine="0" w:left="600" w:right="0"/>
      </w:pPr>
    </w:p>
    <w:p w14:paraId="15010000">
      <w:pPr>
        <w:numPr>
          <w:ilvl w:val="0"/>
          <w:numId w:val="2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Осмотр воздушной линии 0.4-10 кВ электромонтерами - 1 раз в месяц, инженерно-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техническим персоналом - 1 раз в год.</w:t>
      </w:r>
    </w:p>
    <w:p w14:paraId="16010000">
      <w:pPr>
        <w:numPr>
          <w:ilvl w:val="0"/>
          <w:numId w:val="2"/>
        </w:numPr>
        <w:spacing w:after="269" w:before="269"/>
        <w:ind w:firstLine="0" w:left="600" w:right="0"/>
      </w:pPr>
    </w:p>
    <w:p w14:paraId="17010000">
      <w:pPr>
        <w:numPr>
          <w:ilvl w:val="0"/>
          <w:numId w:val="2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Проверка габаритов и регулировка проводов и тросов - 1 раз в 3 года.</w:t>
      </w:r>
    </w:p>
    <w:p w14:paraId="18010000">
      <w:pPr>
        <w:numPr>
          <w:ilvl w:val="0"/>
          <w:numId w:val="2"/>
        </w:numPr>
        <w:spacing w:after="269" w:before="269"/>
        <w:ind w:firstLine="0" w:left="600" w:right="0"/>
      </w:pPr>
    </w:p>
    <w:p w14:paraId="19010000">
      <w:pPr>
        <w:numPr>
          <w:ilvl w:val="0"/>
          <w:numId w:val="2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Осмотр и подтяжка болтов, гаек, замков - ежегодно в первые два года, в даль­нейшем - по мере необходимости.</w:t>
      </w:r>
    </w:p>
    <w:p w14:paraId="1A010000">
      <w:pPr>
        <w:numPr>
          <w:ilvl w:val="0"/>
          <w:numId w:val="2"/>
        </w:numPr>
        <w:spacing w:after="269" w:before="269"/>
        <w:ind w:firstLine="0" w:left="600" w:right="0"/>
      </w:pPr>
    </w:p>
    <w:p w14:paraId="1B010000">
      <w:pPr>
        <w:numPr>
          <w:ilvl w:val="0"/>
          <w:numId w:val="2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Осмотр трасс кабеля, кабельных разделок - 1 раз в 3 месяца.</w:t>
      </w:r>
    </w:p>
    <w:p w14:paraId="1C010000">
      <w:pPr>
        <w:numPr>
          <w:ilvl w:val="0"/>
          <w:numId w:val="2"/>
        </w:numPr>
        <w:spacing w:after="269" w:before="269"/>
        <w:ind w:firstLine="0" w:left="600" w:right="0"/>
      </w:pPr>
    </w:p>
    <w:p w14:paraId="1D010000">
      <w:pPr>
        <w:numPr>
          <w:ilvl w:val="0"/>
          <w:numId w:val="2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Измерения токовых нагрузок и напряжений -1 раз в 2 года.</w:t>
      </w:r>
    </w:p>
    <w:p w14:paraId="1E010000">
      <w:pPr>
        <w:spacing w:after="0" w:before="246"/>
        <w:ind w:firstLine="652" w:left="11" w:right="96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6) Проверка состояния изоляции кабельных линий, испытания мегомметром 2,5 кВ - перед вводом в эксплуатацию новых кабелей и 1 кВ - после проведения текущего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highlight w:val="white"/>
        </w:rPr>
        <w:t>ремонта, в процессе эксплуатации -1 раз в год.</w:t>
      </w:r>
    </w:p>
    <w:p w14:paraId="1F010000">
      <w:pPr>
        <w:spacing w:after="0" w:before="246"/>
        <w:ind w:firstLine="652" w:left="68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7)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highlight w:val="white"/>
        </w:rPr>
        <w:t>Измерения сопротивления петли фаза-ноль в распределительной сети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перед вводом линии в эксплуатацию и в дальнейшем - после проведения капитального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highlight w:val="white"/>
        </w:rPr>
        <w:t>ремонта.</w:t>
      </w:r>
    </w:p>
    <w:p w14:paraId="20010000">
      <w:pPr>
        <w:spacing w:after="0" w:before="246"/>
        <w:ind w:firstLine="652" w:left="68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4"/>
          <w:sz w:val="24"/>
          <w:highlight w:val="white"/>
        </w:rPr>
        <w:t>8) Замена кабеля – 1 раз в 16 лет.</w:t>
      </w:r>
    </w:p>
    <w:p w14:paraId="21010000">
      <w:pPr>
        <w:spacing w:after="0" w:before="246"/>
        <w:ind w:firstLine="652" w:left="68" w:right="0"/>
        <w:jc w:val="both"/>
        <w:rPr>
          <w:rFonts w:ascii="Calibri" w:hAnsi="Calibri"/>
          <w:color w:val="000000"/>
          <w:spacing w:val="4"/>
          <w:sz w:val="22"/>
          <w:highlight w:val="white"/>
        </w:rPr>
      </w:pPr>
      <w:r>
        <w:br/>
      </w:r>
    </w:p>
    <w:p w14:paraId="22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Опорные конструкции:</w:t>
      </w:r>
    </w:p>
    <w:p w14:paraId="23010000">
      <w:pPr>
        <w:spacing w:after="0" w:before="246"/>
        <w:ind w:firstLine="425" w:left="181" w:right="0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9)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highlight w:val="white"/>
        </w:rPr>
        <w:t>Проверка железобетонных опор на наличие трещин, сколов, обнажение армату­</w:t>
      </w:r>
      <w:r>
        <w:rPr>
          <w:rFonts w:ascii="Times New Roman" w:hAnsi="Times New Roman"/>
          <w:color w:val="000000"/>
          <w:sz w:val="24"/>
          <w:highlight w:val="white"/>
        </w:rPr>
        <w:t>ры - 1 раз в 3 года.</w:t>
      </w:r>
    </w:p>
    <w:p w14:paraId="24010000">
      <w:pPr>
        <w:spacing w:after="0" w:before="246"/>
        <w:ind w:hanging="204" w:left="142" w:right="0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10)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12"/>
          <w:sz w:val="24"/>
          <w:highlight w:val="white"/>
        </w:rPr>
        <w:t>Проверка вертикальности опор и положения кронштейнов (консолей) со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светильниками относительно освещаемого объекта - 1 раз в год.</w:t>
      </w:r>
    </w:p>
    <w:p w14:paraId="25010000">
      <w:pPr>
        <w:spacing w:after="0" w:before="246"/>
        <w:ind w:firstLine="0" w:left="11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11) Проверка исправности дверок и замков в железобетонных и металлических опорах, а также отсутствия возможности доступа без применения инструмента к кабельной разделке, к щиткам с предохранителем или автоматическим выключателем в цоколях опор - 1 раз в 3 месяца, чаще - исходя из состояния опор, длительное время находящихся в эксплуатации.</w:t>
      </w:r>
    </w:p>
    <w:p w14:paraId="26010000">
      <w:pPr>
        <w:spacing w:after="0" w:before="246"/>
        <w:ind w:firstLine="879" w:left="0" w:right="23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12) Окраска кронштейнов, консолей, металлических опор, а также нумерация опор - 1 раз в год.</w:t>
      </w:r>
    </w:p>
    <w:p w14:paraId="27010000">
      <w:pPr>
        <w:spacing w:after="0" w:before="246"/>
        <w:ind w:hanging="822" w:left="850" w:right="23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13) Нанесение вертикальной разметки на опору - 1 раз в год.</w:t>
      </w:r>
    </w:p>
    <w:p w14:paraId="28010000">
      <w:pPr>
        <w:spacing w:after="0" w:before="246"/>
        <w:ind w:firstLine="0" w:left="0" w:right="23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14) Замена опор – 1 раз в 50 лет.</w:t>
      </w:r>
    </w:p>
    <w:p w14:paraId="29010000">
      <w:pPr>
        <w:spacing w:after="0" w:before="246"/>
        <w:ind w:firstLine="0" w:left="3923" w:right="0"/>
        <w:jc w:val="both"/>
        <w:rPr>
          <w:rFonts w:ascii="Calibri" w:hAnsi="Calibri"/>
          <w:color w:val="000000"/>
          <w:spacing w:val="-2"/>
          <w:sz w:val="22"/>
          <w:highlight w:val="white"/>
        </w:rPr>
      </w:pPr>
      <w:r>
        <w:br/>
      </w:r>
    </w:p>
    <w:p w14:paraId="2A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Пункты питания (ПП):</w:t>
      </w:r>
    </w:p>
    <w:p w14:paraId="2B010000">
      <w:pPr>
        <w:spacing w:after="0" w:before="246"/>
        <w:ind w:firstLine="0" w:left="11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15) Текущий ремонт, в том числе осмотр и проверка состояния электрического оборудования, очистка от пыли и грязи ПП - 1 раз в 3 ме­сяца. В случае необходимости замене подлежат предохранители, магнитные пускатели, крепежные изделия, автоматы, рубильники и разрядники.</w:t>
      </w:r>
    </w:p>
    <w:p w14:paraId="2C010000">
      <w:pPr>
        <w:spacing w:after="0" w:before="246"/>
        <w:ind w:firstLine="459" w:left="18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16) Осмотр комплектных трансформаторных подстанций (КТП), комплектных распределительных устройств (КРУН), распределительных устройств (РУ)- 1раз в месяц.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</w:p>
    <w:p w14:paraId="2D010000">
      <w:pPr>
        <w:spacing w:after="0" w:before="246"/>
        <w:ind w:firstLine="527" w:left="18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17) Техническое обслуживание устройства автоматического включения НО -1 раз в месяц.</w:t>
      </w:r>
    </w:p>
    <w:p w14:paraId="2E010000">
      <w:pPr>
        <w:spacing w:after="0" w:before="246"/>
        <w:ind w:firstLine="0" w:left="70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18) Замена приборов учета – 1 раз в 10 лет.</w:t>
      </w:r>
    </w:p>
    <w:p w14:paraId="2F010000">
      <w:pPr>
        <w:spacing w:after="0" w:before="246"/>
        <w:ind w:firstLine="0" w:left="709" w:right="0"/>
        <w:jc w:val="both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30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Заземляющие устройства:</w:t>
      </w:r>
    </w:p>
    <w:p w14:paraId="31010000">
      <w:pPr>
        <w:spacing w:after="0" w:before="246"/>
        <w:ind w:firstLine="0" w:left="0" w:right="42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19) Проверка заземляющих устройств (наличия цепи между заземлителем и заземляемым элементом, измерение сопротивления заземляющих устройств) - 1раз в 3 года.</w:t>
      </w:r>
    </w:p>
    <w:p w14:paraId="32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Осветительные приборы:</w:t>
      </w:r>
    </w:p>
    <w:p w14:paraId="33010000">
      <w:pPr>
        <w:spacing w:after="0" w:before="246"/>
        <w:ind w:firstLine="765" w:left="0" w:right="845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20) Замена светильников - 1 раз в 16 лет.</w:t>
      </w:r>
    </w:p>
    <w:p w14:paraId="34010000">
      <w:pPr>
        <w:spacing w:after="0" w:before="246"/>
        <w:ind w:firstLine="765" w:left="0" w:right="845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21) Замена ламп - 1 раз в год.</w:t>
      </w:r>
    </w:p>
    <w:p w14:paraId="35010000">
      <w:pPr>
        <w:spacing w:after="0" w:before="246"/>
        <w:ind w:firstLine="765" w:left="0" w:right="17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22) Техническое обслуживание и ремонт светильников - 1 раз в год (с заменой пускорегулирующей аппаратуры – до 50 %).</w:t>
      </w:r>
    </w:p>
    <w:p w14:paraId="36010000">
      <w:p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37010000">
      <w:pPr>
        <w:spacing w:after="0" w:before="246"/>
        <w:ind w:firstLine="0" w:left="11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2.4.2. Выявленные в процессе осмотров или испытаний внезапные отказы, связан­ные с безопасностью работы установок НО и с обеспечением работы систем управления, устраняются немедленно, остальные - в соответствии с допустимой очередностью, уточ­няемой руководством Подрядчика по согласованию с представителем Заказчика.</w:t>
      </w:r>
    </w:p>
    <w:p w14:paraId="38010000">
      <w:pPr>
        <w:spacing w:after="0" w:before="246"/>
        <w:ind w:firstLine="544" w:left="79" w:right="102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Результаты осмотра и испытаний оформляются в виде протоколов, актов и т.д. с последующим составлением ведомостей дефектов и намечаемых работ.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</w:p>
    <w:p w14:paraId="39010000">
      <w:pPr>
        <w:spacing w:after="0" w:before="246"/>
        <w:ind w:firstLine="544" w:left="79" w:right="102"/>
        <w:jc w:val="both"/>
        <w:rPr>
          <w:rFonts w:ascii="Calibri" w:hAnsi="Calibri"/>
          <w:color w:val="000000"/>
          <w:spacing w:val="18"/>
          <w:sz w:val="22"/>
          <w:highlight w:val="white"/>
        </w:rPr>
      </w:pPr>
      <w:r>
        <w:br/>
      </w:r>
    </w:p>
    <w:p w14:paraId="3A010000">
      <w:pPr>
        <w:spacing w:after="0" w:before="246"/>
        <w:ind w:hanging="91" w:left="45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3. Требования, предъявляемые к установкам НО.</w:t>
      </w:r>
    </w:p>
    <w:p w14:paraId="3B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Воздушные и кабельные линии, опорные конструкции:</w:t>
      </w:r>
    </w:p>
    <w:p w14:paraId="3C010000">
      <w:pPr>
        <w:spacing w:after="0" w:before="246"/>
        <w:ind w:firstLine="680" w:left="62" w:right="96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1) Положение стоек опор, кронштейнов, светильников должно быть единообразным с тем, чтобы не нарушалась стройность восприятия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опор со светильниками в дневное время.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Опоры должны быть выправлены и находиться в вертикальном положении.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Исключение составляют ветхие железобетонные опоры,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подлежащие замене в плановом порядке. Разрушенные опоры должны быть заменены.</w:t>
      </w:r>
    </w:p>
    <w:p w14:paraId="3D010000">
      <w:pPr>
        <w:spacing w:after="0" w:before="246"/>
        <w:ind w:firstLine="658" w:left="0" w:right="113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2) Дверцы и замки в железобетонных и металлических опорах должны быть в исправном состоянии и надежно закрывать доступ к кабельной разделке, предохранител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ям или автоматическим выключателем щитков в цоколях опор.</w:t>
      </w:r>
    </w:p>
    <w:p w14:paraId="3E010000">
      <w:pPr>
        <w:spacing w:after="0" w:before="246"/>
        <w:ind w:firstLine="0" w:left="5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3)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Металлические опоры, кронштейны, траверсы, консоли, дверцы железобетонных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опор должны быть окрашены и не иметь очагов коррозии, на дверцах опор должен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быть нанесен знак электрического напряжения в соответствии с ССБТ.</w:t>
      </w:r>
    </w:p>
    <w:p w14:paraId="3F010000">
      <w:pPr>
        <w:spacing w:after="0" w:before="246"/>
        <w:ind w:firstLine="0" w:left="51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4) На опорах должны быть легко читаемые их номера, нанесенные краской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или с использованием табличек трафаретного типа на стороне, обращенной к проезжей части, цифры должны быть единообразными, в том числе и нанесенные краской.</w:t>
      </w:r>
    </w:p>
    <w:p w14:paraId="40010000">
      <w:pPr>
        <w:spacing w:after="0" w:before="246"/>
        <w:ind w:firstLine="72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5) Крепление неизолированных проводов воздушных линий на изоляторах опор должно быть одинарным с использованием проволочных вязок или специальных зажимов; провода ответвлений должны иметь глухое крепление на изоляторах.</w:t>
      </w:r>
    </w:p>
    <w:p w14:paraId="41010000">
      <w:pPr>
        <w:spacing w:after="0" w:before="246"/>
        <w:ind w:firstLine="72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6) Провода воздушной распределительной линии должны располагаться на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опоре следующим образом: на стороне проезжей части - нижний провод - нулевой, верхний - фаза А, провода управления должны размещаться ниже проводов распределительной сети НО.</w:t>
      </w:r>
    </w:p>
    <w:p w14:paraId="42010000">
      <w:pPr>
        <w:numPr>
          <w:ilvl w:val="0"/>
          <w:numId w:val="3"/>
        </w:numPr>
        <w:spacing w:after="0" w:before="246"/>
        <w:ind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highlight w:val="white"/>
        </w:rPr>
        <w:t>Размещение жил кабеля при его разделке в цоколе опоры или на опоре должно</w:t>
      </w:r>
      <w:r>
        <w:br/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быть таким: нижняя жила - нулевая фаза - N, следующие - фазы А, В, С.</w:t>
      </w:r>
    </w:p>
    <w:p w14:paraId="43010000">
      <w:pPr>
        <w:spacing w:after="0" w:before="246"/>
        <w:ind w:right="0"/>
        <w:jc w:val="both"/>
        <w:rPr>
          <w:rFonts w:ascii="Calibri" w:hAnsi="Calibri"/>
          <w:color w:val="000000"/>
          <w:sz w:val="22"/>
          <w:highlight w:val="white"/>
        </w:rPr>
      </w:pPr>
    </w:p>
    <w:p w14:paraId="44010000">
      <w:pPr>
        <w:numPr>
          <w:ilvl w:val="0"/>
          <w:numId w:val="4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highlight w:val="white"/>
        </w:rPr>
        <w:t>При наличии в цоколе опоры более двух концов кабеля на каждом из них</w:t>
      </w:r>
      <w:r>
        <w:br/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должны быть установлены бирки с указанием направлений; железобетонные опоры</w:t>
      </w:r>
      <w:r>
        <w:br/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при этом должны быть оборудованы приставными кабельными ящиками или цоколями.</w:t>
      </w:r>
    </w:p>
    <w:p w14:paraId="45010000">
      <w:pPr>
        <w:numPr>
          <w:ilvl w:val="0"/>
          <w:numId w:val="4"/>
        </w:numPr>
        <w:spacing w:after="269" w:before="269"/>
        <w:ind w:firstLine="0" w:left="600" w:right="0"/>
      </w:pPr>
    </w:p>
    <w:p w14:paraId="46010000">
      <w:pPr>
        <w:numPr>
          <w:ilvl w:val="0"/>
          <w:numId w:val="4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highlight w:val="white"/>
        </w:rPr>
        <w:t>Провода воздушных распределительных сетей НО и провода управления не должны иметь более одного соединения в пролете, ответвления к светильникам должны быть выполнены с помощью ответвительных болтовых соединений или специальных зажимов.</w:t>
      </w:r>
    </w:p>
    <w:p w14:paraId="47010000">
      <w:pPr>
        <w:numPr>
          <w:ilvl w:val="0"/>
          <w:numId w:val="4"/>
        </w:numPr>
        <w:spacing w:after="269" w:before="269"/>
        <w:ind w:firstLine="0" w:left="600" w:right="0"/>
      </w:pPr>
    </w:p>
    <w:p w14:paraId="48010000">
      <w:pPr>
        <w:numPr>
          <w:ilvl w:val="0"/>
          <w:numId w:val="4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highlight w:val="white"/>
        </w:rPr>
        <w:t>Кабельная распределительная сеть и сеть управления не должны иметь поврежденных участков.</w:t>
      </w:r>
    </w:p>
    <w:p w14:paraId="49010000">
      <w:pPr>
        <w:numPr>
          <w:ilvl w:val="0"/>
          <w:numId w:val="4"/>
        </w:numPr>
        <w:spacing w:after="269" w:before="269"/>
        <w:ind w:firstLine="0" w:left="600" w:right="0"/>
      </w:pPr>
    </w:p>
    <w:p w14:paraId="4A010000">
      <w:pPr>
        <w:numPr>
          <w:ilvl w:val="0"/>
          <w:numId w:val="4"/>
        </w:num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4"/>
          <w:sz w:val="24"/>
          <w:highlight w:val="white"/>
        </w:rPr>
        <w:t>Светильники с истекшим сроком службы, резко снизившие свои эксплуатационные параметры и неремонтопригодные, должны быть заменены на новые или прошедшие капитальный ремонт светильники аналогичной мощности и назначения с учетом сохране­ния, как правило, одинаковой их внешней формы в пределах данного участка дороги.</w:t>
      </w:r>
    </w:p>
    <w:p w14:paraId="4B010000">
      <w:pPr>
        <w:spacing w:after="0" w:before="246"/>
        <w:ind w:firstLine="0" w:left="45" w:right="0"/>
        <w:jc w:val="both"/>
        <w:rPr>
          <w:rFonts w:ascii="Calibri" w:hAnsi="Calibri"/>
          <w:color w:val="000000"/>
          <w:sz w:val="22"/>
          <w:highlight w:val="white"/>
        </w:rPr>
      </w:pPr>
    </w:p>
    <w:p w14:paraId="4C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Пункты питания:</w:t>
      </w:r>
    </w:p>
    <w:p w14:paraId="4D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12) Шкафы ПП должны быть покрашены, на двери при помощи трафарета должны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быть нанесены номер шкафа, наименование эксплуатационного предприятия, телефон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дежурного диспетчера и знак электрического напряжения в соответствии с ССБТ.</w:t>
      </w:r>
    </w:p>
    <w:p w14:paraId="4E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13) Шкафы ПП должны иметь исправные замки, навесы и откидывающиеся ступеньки. Крепежные изделия (болты, гайки, шайбы) не должны иметь следов коррозии и побежалости.</w:t>
      </w:r>
    </w:p>
    <w:p w14:paraId="4F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14) Шкафы и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панели ПП должны быть чистыми, в кабельных каналах не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должно быть воды, и они должны быть закрыты металлическими крышками.</w:t>
      </w:r>
    </w:p>
    <w:p w14:paraId="50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15) Каркас панели ПП, нулевая шина, видимая часть контура заземления должны быть покрашены в черный цвет, а шины, концы кабельных жил, перемычки - соответственно в цвета желтый (фаза А), зеленый (фаза В) и красный (фаза С); на контуре заземления должна быть шпилька с гайкой для присоединения переносного заземления, на шинах места присоединений должны быть очищены от краски.</w:t>
      </w:r>
    </w:p>
    <w:p w14:paraId="51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16) Все электрические соединения должны иметь надежный контакт, на приходящих и отходящих кабелях должны быть бирки с указанием марки и сечения кабеля, места, куда этот кабель приходит. Провода вторичной коммутации должны быть закреплены на конструкциях. Катушки контакторов должны иметь отключающее устройство для отключения контактора на время ремонта, профилактики и замены предохранителей на отходящем направлении во время работы установок НО.</w:t>
      </w:r>
    </w:p>
    <w:p w14:paraId="52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17) Контакторы должны быть отрегулированы, снабжены дугогасящими камерами, катушки контакторов должны соответствовать типу контакторов и не иметь следов подгорания, поверхность контактов не должна иметь следов эрозии и рако­вин ножи рубильников и предохранителей должны легко входить в пинцеты и не иметь перекосов.</w:t>
      </w:r>
    </w:p>
    <w:p w14:paraId="53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18) Все приборы защиты должны быть исправны и снабжены маркировкой, тепло­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вые расцепители и плавкие вставки должны соответствовать расчетной нагрузке, указан­ной в карте замеров нагрузки и напряжений, находящейся в ПП, и току короткого замы­кания в конце линии. Плавкие вставки должны быть калиброваны.</w:t>
      </w:r>
    </w:p>
    <w:p w14:paraId="54010000">
      <w:pPr>
        <w:spacing w:after="0" w:before="246"/>
        <w:ind w:firstLine="709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19) Трансформаторы тока, предназначенные для учета расхода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10"/>
          <w:sz w:val="24"/>
          <w:highlight w:val="white"/>
        </w:rPr>
        <w:t>электроэнергии, должны соответствовать нагрузке ПП, электрические счетчики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highlight w:val="white"/>
        </w:rPr>
        <w:t>должны быть исправными, то же относится и к системе обогрева счетчика в зимний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10"/>
          <w:sz w:val="24"/>
          <w:highlight w:val="white"/>
        </w:rPr>
        <w:t>период.</w:t>
      </w:r>
    </w:p>
    <w:p w14:paraId="55010000">
      <w:pPr>
        <w:spacing w:after="0" w:before="246"/>
        <w:ind w:firstLine="669" w:left="4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20)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ПП внутренней установки должны снабжаться изолирующей подставкой, а в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highlight w:val="white"/>
        </w:rPr>
        <w:t>шкафах ПП наружной установки должен быть диэлектрический коврик на откидной ступеньке.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</w:p>
    <w:p w14:paraId="56010000">
      <w:pPr>
        <w:spacing w:after="0" w:before="246"/>
        <w:ind w:firstLine="697" w:left="40" w:right="0"/>
        <w:jc w:val="center"/>
        <w:rPr>
          <w:rFonts w:ascii="Calibri" w:hAnsi="Calibri"/>
          <w:color w:val="000000"/>
          <w:spacing w:val="-2"/>
          <w:sz w:val="22"/>
          <w:highlight w:val="white"/>
        </w:rPr>
      </w:pPr>
    </w:p>
    <w:p w14:paraId="57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Устройства децентрализованного управления:</w:t>
      </w:r>
    </w:p>
    <w:p w14:paraId="58010000">
      <w:pPr>
        <w:spacing w:after="0" w:before="246"/>
        <w:ind w:firstLine="709" w:left="62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21)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Программируемые реле времени, контроллеры должны быть очищены от пы­ли, точность хода должна быть в регламентированных пределах, электрические контакты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не должны иметь эрозии.</w:t>
      </w:r>
    </w:p>
    <w:p w14:paraId="59010000">
      <w:pPr>
        <w:spacing w:after="0" w:before="246"/>
        <w:ind w:firstLine="635" w:left="96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22)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highlight w:val="white"/>
        </w:rPr>
        <w:t>Фото выключатели должны быть очищены от пыли, корпуса фотодатчиков (при необходимости) покрашены, электрические контакты не должны иметь эрозии, чувствительность приборов на включение и отключение освещения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должна соответствовать их паспортным данным, у двух программных фото-</w:t>
      </w:r>
      <w:r>
        <w:rPr>
          <w:rFonts w:ascii="Times New Roman" w:hAnsi="Times New Roman"/>
          <w:color w:val="000000"/>
          <w:spacing w:val="6"/>
          <w:sz w:val="24"/>
          <w:highlight w:val="white"/>
        </w:rPr>
        <w:t>выключателей оценка состояния узла промежуточного отключения производится по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аналогии с реле времени.</w:t>
      </w:r>
    </w:p>
    <w:p w14:paraId="5A010000">
      <w:pPr>
        <w:spacing w:after="0" w:before="246"/>
        <w:ind w:firstLine="0" w:left="4048" w:right="0"/>
        <w:jc w:val="both"/>
        <w:rPr>
          <w:rFonts w:ascii="Calibri" w:hAnsi="Calibri"/>
          <w:color w:val="000000"/>
          <w:spacing w:val="-6"/>
          <w:sz w:val="22"/>
          <w:highlight w:val="white"/>
        </w:rPr>
      </w:pPr>
      <w:r>
        <w:br/>
      </w:r>
    </w:p>
    <w:p w14:paraId="5B010000">
      <w:pPr>
        <w:spacing w:after="0" w:before="246"/>
        <w:ind w:hanging="79" w:left="40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  <w:u w:color="000000" w:val="single"/>
        </w:rPr>
        <w:t>Световые приборы:</w:t>
      </w:r>
    </w:p>
    <w:p w14:paraId="5C010000">
      <w:pPr>
        <w:spacing w:after="0" w:before="246"/>
        <w:ind w:firstLine="629" w:left="7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23) Световые приборы должны быть жестко закреплены в рабочем положении относительно освещаемого объекта.</w:t>
      </w:r>
    </w:p>
    <w:p w14:paraId="5D010000">
      <w:pPr>
        <w:spacing w:after="0" w:before="246"/>
        <w:ind w:firstLine="629" w:left="7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24) Корпуса светильников и прожекторов не должны иметь очагов коррозии и при</w:t>
      </w:r>
      <w:r>
        <w:br/>
      </w:r>
      <w:r>
        <w:rPr>
          <w:rFonts w:ascii="Times New Roman" w:hAnsi="Times New Roman"/>
          <w:color w:val="000000"/>
          <w:sz w:val="24"/>
          <w:highlight w:val="white"/>
        </w:rPr>
        <w:t>необходимости покрашены, отражатели и рассеиватели - очищены, патроны надежно за­креплены в рабочем положении, пускорегулирующие аппараты и зажигающие устройства - исправны.</w:t>
      </w:r>
    </w:p>
    <w:p w14:paraId="5E010000">
      <w:pPr>
        <w:spacing w:after="0" w:before="246"/>
        <w:ind w:firstLine="629" w:left="79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25)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12"/>
          <w:sz w:val="24"/>
          <w:highlight w:val="white"/>
        </w:rPr>
        <w:t>Все светильники и прожекторы должны быть исправны, не горящие и</w:t>
      </w:r>
      <w:r>
        <w:br/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highlight w:val="white"/>
        </w:rPr>
        <w:t>явно снизившие световой поток лампы должны быть заменены.</w:t>
      </w:r>
    </w:p>
    <w:p w14:paraId="5F010000">
      <w:pPr>
        <w:spacing w:after="0" w:before="246"/>
        <w:ind w:firstLine="629" w:left="79" w:right="0"/>
        <w:jc w:val="both"/>
        <w:rPr>
          <w:rFonts w:ascii="Calibri" w:hAnsi="Calibri"/>
          <w:color w:val="000000"/>
          <w:spacing w:val="-4"/>
          <w:sz w:val="22"/>
          <w:highlight w:val="white"/>
        </w:rPr>
      </w:pPr>
      <w:r>
        <w:br/>
      </w:r>
    </w:p>
    <w:p w14:paraId="60010000">
      <w:pPr>
        <w:spacing w:after="0" w:before="246"/>
        <w:ind w:firstLine="0" w:left="1009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4. Постоянный запас материалов и деталей, необходимый для технической</w:t>
      </w:r>
      <w:r>
        <w:rPr>
          <w:rFonts w:ascii="Calibri" w:hAnsi="Calibri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8"/>
          <w:sz w:val="24"/>
          <w:highlight w:val="white"/>
        </w:rPr>
        <w:t>эксплуатации.</w:t>
      </w:r>
    </w:p>
    <w:p w14:paraId="61010000">
      <w:pPr>
        <w:spacing w:after="0" w:before="246"/>
        <w:ind w:firstLine="692" w:left="23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2"/>
          <w:sz w:val="24"/>
          <w:highlight w:val="white"/>
        </w:rPr>
        <w:t>Подрядчик, осуществляющий эксплуатацию установок НО, должен иметь пос</w:t>
      </w:r>
      <w:r>
        <w:rPr>
          <w:rFonts w:ascii="Times New Roman" w:hAnsi="Times New Roman"/>
          <w:color w:val="000000"/>
          <w:sz w:val="24"/>
          <w:highlight w:val="white"/>
        </w:rPr>
        <w:t>тоянный запас материалов и деталей.</w:t>
      </w:r>
    </w:p>
    <w:p w14:paraId="62010000">
      <w:pPr>
        <w:spacing w:after="0" w:before="246"/>
        <w:ind w:firstLine="692" w:left="23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br/>
      </w:r>
    </w:p>
    <w:p w14:paraId="63010000">
      <w:pPr>
        <w:spacing w:after="0" w:before="246"/>
        <w:ind w:hanging="45" w:left="23" w:right="0"/>
        <w:jc w:val="center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5. Техника безопасности</w:t>
      </w:r>
    </w:p>
    <w:p w14:paraId="64010000">
      <w:pPr>
        <w:spacing w:after="0" w:before="246"/>
        <w:ind w:firstLine="720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z w:val="24"/>
        </w:rPr>
        <w:t>Подрядчик на месте производства работ должен выполнить необходимые мероприятия по обеспечению безопасности движения, техники безопасности, охране окружающей среды и безопасности строительно-монтажных работ в соответствии с действующим законодательством и нормативными актами.</w:t>
      </w:r>
    </w:p>
    <w:p w14:paraId="65010000">
      <w:pPr>
        <w:spacing w:after="0" w:before="246"/>
        <w:ind w:firstLine="720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pacing w:val="-2"/>
          <w:sz w:val="24"/>
        </w:rPr>
        <w:t>Безопасность при производстве работ в электроустановках НО должна обеспе</w:t>
      </w:r>
      <w:r>
        <w:rPr>
          <w:rFonts w:ascii="Times New Roman" w:hAnsi="Times New Roman"/>
          <w:color w:val="000000"/>
          <w:sz w:val="24"/>
        </w:rPr>
        <w:t>чиваться в строгом соответствии с ПТБ и другими действующими Правилами.</w:t>
      </w:r>
    </w:p>
    <w:p w14:paraId="66010000">
      <w:pPr>
        <w:spacing w:after="0" w:before="246"/>
        <w:ind w:firstLine="720" w:left="0" w:right="0"/>
        <w:jc w:val="both"/>
        <w:rPr>
          <w:rFonts w:ascii="Calibri" w:hAnsi="Calibri"/>
          <w:color w:val="000000"/>
          <w:sz w:val="22"/>
        </w:rPr>
      </w:pPr>
      <w:r>
        <w:rPr>
          <w:rFonts w:ascii="Times New Roman" w:hAnsi="Times New Roman"/>
          <w:color w:val="000000"/>
          <w:spacing w:val="-2"/>
          <w:sz w:val="24"/>
        </w:rPr>
        <w:t>При проведении обслуживания и ремонта установок наружного освещения до-­</w:t>
      </w:r>
      <w:r>
        <w:br/>
      </w:r>
      <w:r>
        <w:rPr>
          <w:rFonts w:ascii="Times New Roman" w:hAnsi="Times New Roman"/>
          <w:color w:val="000000"/>
          <w:spacing w:val="-2"/>
          <w:sz w:val="24"/>
        </w:rPr>
        <w:t>рог необходимо с целью обеспечения безопасности дорожного движения и эксплуатаци­онного персонала руководствоваться требованиями ОДМ 218.6.019-2016 «Рекомендации по организации движения и ограждению мест производства дорожных работ».</w:t>
      </w:r>
    </w:p>
    <w:p w14:paraId="67010000">
      <w:pPr>
        <w:spacing w:after="0" w:before="246"/>
        <w:ind w:firstLine="646" w:left="51" w:right="0"/>
        <w:jc w:val="both"/>
        <w:rPr>
          <w:rFonts w:ascii="Calibri" w:hAnsi="Calibri"/>
          <w:color w:val="000000"/>
          <w:spacing w:val="-2"/>
          <w:sz w:val="22"/>
          <w:highlight w:val="white"/>
        </w:rPr>
      </w:pPr>
      <w:r>
        <w:br/>
      </w:r>
    </w:p>
    <w:p w14:paraId="68010000">
      <w:pPr>
        <w:spacing w:after="0" w:before="246"/>
        <w:ind w:firstLine="0" w:left="3742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6. Работа с персоналом.</w:t>
      </w:r>
    </w:p>
    <w:p w14:paraId="69010000">
      <w:pPr>
        <w:spacing w:after="0" w:before="246"/>
        <w:ind w:firstLine="0" w:left="0" w:right="0"/>
        <w:jc w:val="both"/>
        <w:rPr>
          <w:rFonts w:ascii="Calibri" w:hAnsi="Calibri"/>
          <w:color w:val="000000"/>
          <w:sz w:val="22"/>
          <w:highlight w:val="white"/>
        </w:rPr>
      </w:pPr>
      <w:r>
        <w:rPr>
          <w:rFonts w:ascii="Times New Roman" w:hAnsi="Times New Roman"/>
          <w:color w:val="000000"/>
          <w:spacing w:val="-2"/>
          <w:sz w:val="24"/>
          <w:highlight w:val="white"/>
        </w:rPr>
        <w:t>Работа с персоналом Подрядчика, т.е. производственная и организационная</w:t>
      </w:r>
      <w:r>
        <w:br/>
      </w:r>
      <w:r>
        <w:rPr>
          <w:rFonts w:ascii="Times New Roman" w:hAnsi="Times New Roman"/>
          <w:color w:val="000000"/>
          <w:spacing w:val="-2"/>
          <w:sz w:val="24"/>
          <w:highlight w:val="white"/>
        </w:rPr>
        <w:t>деятельность, направленная на обеспечение готовности персонала к выполнению своих профессиональных обязанностей, должна планироваться и проводиться под руководством его директора.</w:t>
      </w:r>
    </w:p>
    <w:p w14:paraId="6A010000">
      <w:pPr>
        <w:spacing w:after="0" w:before="246"/>
        <w:ind w:firstLine="0" w:left="0" w:right="0"/>
        <w:jc w:val="both"/>
        <w:rPr>
          <w:rFonts w:ascii="Calibri" w:hAnsi="Calibri"/>
          <w:color w:val="000000"/>
          <w:spacing w:val="-2"/>
          <w:sz w:val="22"/>
          <w:highlight w:val="white"/>
        </w:rPr>
      </w:pPr>
      <w:r>
        <w:br/>
      </w:r>
    </w:p>
    <w:p w14:paraId="6B010000">
      <w:pPr>
        <w:pStyle w:val="Style_1"/>
        <w:rPr>
          <w:rFonts w:ascii="Times New Roman" w:hAnsi="Times New Roman"/>
          <w:color w:val="000000"/>
          <w:sz w:val="24"/>
        </w:rPr>
      </w:pPr>
    </w:p>
    <w:sectPr>
      <w:pgSz w:h="16838" w:orient="portrait" w:w="11906"/>
      <w:pgMar w:bottom="1134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3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2026-08-10T07:53:39Z</dcterms:created>
  <dcterms:modified xsi:type="dcterms:W3CDTF">2026-08-10T07:53:39Z</dcterms:modified>
</cp:coreProperties>
</file>