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"/>
        <w:tblW w:w="992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646"/>
        <w:gridCol w:w="741"/>
        <w:gridCol w:w="4534"/>
      </w:tblGrid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«ПОДГОТОВИЛ»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«УТВЕРЖДАЮ»</w:t>
            </w:r>
          </w:p>
        </w:tc>
      </w:tr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Технический куратор договора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Инициатор договора</w:t>
            </w:r>
          </w:p>
        </w:tc>
      </w:tr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Ведущий специалист отдела комплексного обслуживания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Начальник управления обслуживания объектов</w:t>
            </w:r>
          </w:p>
        </w:tc>
      </w:tr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______________/Стрелец В.А.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 Решетникова А.А.</w:t>
            </w:r>
          </w:p>
        </w:tc>
      </w:tr>
      <w:tr>
        <w:trPr/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«      »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августа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2026 года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«      »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августа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2026 года</w:t>
            </w:r>
          </w:p>
        </w:tc>
      </w:tr>
    </w:tbl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Calibri"/>
          <w:b/>
          <w:bCs/>
          <w:sz w:val="26"/>
          <w:szCs w:val="26"/>
        </w:rPr>
        <w:t>Технические требования на оказание услуг</w:t>
      </w:r>
    </w:p>
    <w:p>
      <w:pPr>
        <w:pStyle w:val="Normal"/>
        <w:rPr>
          <w:rFonts w:ascii="Times New Roman" w:hAnsi="Times New Roman"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Calibri"/>
          <w:b/>
          <w:bCs/>
          <w:sz w:val="26"/>
          <w:szCs w:val="26"/>
        </w:rPr>
        <w:t>«ОКПД 2 81.29.11.000 Оказание услуг по дератизации, дезинсекции по адресу: г. Москва, ул. Волоколамское шоссе, д. 2»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bCs/>
          <w:sz w:val="26"/>
          <w:szCs w:val="26"/>
        </w:rPr>
        <w:t xml:space="preserve">Лот № 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3"/>
        </w:numPr>
        <w:jc w:val="center"/>
        <w:rPr>
          <w:rFonts w:ascii="Times New Roman" w:hAnsi="Times New Roman"/>
        </w:rPr>
      </w:pPr>
      <w:r>
        <w:rPr>
          <w:rFonts w:eastAsia="Calibri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Общие сведения</w:t>
      </w:r>
    </w:p>
    <w:p>
      <w:pPr>
        <w:pStyle w:val="ListParagraph"/>
        <w:widowControl/>
        <w:numPr>
          <w:ilvl w:val="1"/>
          <w:numId w:val="3"/>
        </w:numPr>
        <w:suppressAutoHyphens w:val="true"/>
        <w:bidi w:val="0"/>
        <w:spacing w:before="0" w:after="85"/>
        <w:ind w:left="0" w:right="0" w:firstLine="567"/>
        <w:contextualSpacing/>
        <w:jc w:val="left"/>
        <w:rPr>
          <w:rFonts w:ascii="Times New Roman" w:hAnsi="Times New Roman"/>
        </w:rPr>
      </w:pPr>
      <w:bookmarkStart w:id="0" w:name="_Toc54643695"/>
      <w:bookmarkStart w:id="1" w:name="_Toc46743505"/>
      <w:r>
        <w:rPr>
          <w:b/>
          <w:bCs/>
        </w:rPr>
        <w:t>Обозначения и сокращения</w:t>
      </w:r>
      <w:bookmarkStart w:id="2" w:name="_Toc46743506"/>
      <w:bookmarkEnd w:id="0"/>
      <w:bookmarkEnd w:id="1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538"/>
        <w:gridCol w:w="6244"/>
      </w:tblGrid>
      <w:tr>
        <w:trPr>
          <w:trHeight w:val="20" w:hRule="atLeast"/>
          <w:cantSplit w:val="true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Технические требования (ТТ)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Настоящие Технические требования</w:t>
            </w:r>
          </w:p>
        </w:tc>
      </w:tr>
      <w:tr>
        <w:trPr>
          <w:trHeight w:val="20" w:hRule="atLeast"/>
          <w:cantSplit w:val="true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Заказчик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АО «СК «РусГидро»</w:t>
            </w:r>
          </w:p>
        </w:tc>
      </w:tr>
      <w:tr>
        <w:trPr>
          <w:trHeight w:val="20" w:hRule="atLeast"/>
          <w:cantSplit w:val="true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Объекты (Объект воздействия)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  <w:sz w:val="24"/>
                <w:szCs w:val="24"/>
              </w:rPr>
              <w:t>Здания и сооружения, территория объектов, перечисленные в Таблице №1 Технических требований, находящиеся в постоянной эксплуатации, требуют периодических воздействий для сохранения и восстановления своих эксплуатационных свойств, поддержания внешнего вида, санитарного благополучия и благоустроительных мероприятий</w:t>
            </w:r>
          </w:p>
        </w:tc>
      </w:tr>
    </w:tbl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>
          <w:rFonts w:ascii="Times New Roman" w:hAnsi="Times New Roman"/>
        </w:rPr>
      </w:pPr>
      <w:r>
        <w:rPr>
          <w:b/>
          <w:bCs/>
        </w:rPr>
        <w:t>Наименование</w:t>
      </w:r>
      <w:r>
        <w:rPr/>
        <w:t xml:space="preserve"> </w:t>
      </w:r>
      <w:r>
        <w:rPr>
          <w:b/>
          <w:bCs/>
        </w:rPr>
        <w:t>закупаемой продукции</w:t>
      </w:r>
      <w:bookmarkEnd w:id="2"/>
    </w:p>
    <w:p>
      <w:pPr>
        <w:pStyle w:val="Normal"/>
        <w:widowControl/>
        <w:suppressAutoHyphens w:val="true"/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«ОКПД 2 81.29.11.000 Оказание услуг по дератизации, дезинсекции по адресу: г. Москва, ул. Волоколамское шоссе, д. 2».</w:t>
      </w:r>
      <w:bookmarkStart w:id="3" w:name="_Toc4674350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>
          <w:rFonts w:ascii="Times New Roman" w:hAnsi="Times New Roman"/>
        </w:rPr>
      </w:pPr>
      <w:bookmarkStart w:id="4" w:name="_Toc54643697"/>
      <w:r>
        <w:rPr>
          <w:b/>
          <w:bCs/>
        </w:rPr>
        <w:t xml:space="preserve">Цель </w:t>
      </w:r>
      <w:bookmarkEnd w:id="3"/>
      <w:r>
        <w:rPr>
          <w:b/>
          <w:bCs/>
        </w:rPr>
        <w:t xml:space="preserve">оказания услуг </w:t>
      </w:r>
      <w:bookmarkEnd w:id="4"/>
    </w:p>
    <w:p>
      <w:pPr>
        <w:pStyle w:val="ListParagraph"/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b w:val="false"/>
          <w:bCs w:val="false"/>
          <w:sz w:val="24"/>
          <w:szCs w:val="24"/>
          <w:lang w:eastAsia="x-none"/>
        </w:rPr>
        <w:t>Дератизационные мероприятия включают в себя комплекс организационных, профилактических, истребительных мер с целью ликвидации или снижения численности грызунов и уменьшения их вредного воздействия на человека и окружающую его среду.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 xml:space="preserve">Целью оказания услуг по дезинсекции является уничтожение артроподов, способных переносить трансмиссивные инфекции, вредить запасам продовольствия и растениям, с помощью специальных химических средств, физических средств (путём воздействия горячей воды или пара, электроразрядные, механические) или с помощью биологических средств.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>
          <w:rFonts w:ascii="Times New Roman" w:hAnsi="Times New Roman"/>
        </w:rPr>
      </w:pPr>
      <w:bookmarkStart w:id="5" w:name="_Toc54643698"/>
      <w:bookmarkStart w:id="6" w:name="_Toc46743508"/>
      <w:r>
        <w:rPr>
          <w:b/>
          <w:bCs/>
        </w:rPr>
        <w:t>Существующее положение</w:t>
      </w:r>
      <w:bookmarkEnd w:id="6"/>
      <w:r>
        <w:rPr>
          <w:b/>
          <w:bCs/>
        </w:rPr>
        <w:t xml:space="preserve"> </w:t>
      </w:r>
      <w:bookmarkEnd w:id="5"/>
    </w:p>
    <w:p>
      <w:pPr>
        <w:pStyle w:val="ListParagraph"/>
        <w:spacing w:before="0" w:after="0"/>
        <w:ind w:left="0" w:right="0" w:firstLine="709"/>
        <w:contextualSpacing w:val="false"/>
        <w:jc w:val="both"/>
        <w:rPr/>
      </w:pPr>
      <w:r>
        <w:rPr>
          <w:rStyle w:val="Style8"/>
          <w:rFonts w:eastAsia="Tempora LGC Uni" w:cs="Times New Roman"/>
          <w:b w:val="false"/>
          <w:bCs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Дезинсекции подлежат все помещения Объектов, дератизации подлежат подвальные и складские помещения, а также прочие помещения при наличии грызунов.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Перечень объектов воздействия представлен в Таблице 1 «Перечень объектов Заказчика».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/>
        </w:rPr>
      </w:pPr>
      <w:bookmarkStart w:id="7" w:name="_Toc546436991"/>
      <w:r>
        <w:rPr>
          <w:b/>
          <w:bCs/>
          <w:sz w:val="24"/>
          <w:szCs w:val="24"/>
        </w:rPr>
        <w:t>Таблица 1. Перечень объектов заказчика</w:t>
      </w:r>
      <w:bookmarkEnd w:id="7"/>
    </w:p>
    <w:tbl>
      <w:tblPr>
        <w:tblW w:w="991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1773"/>
        <w:gridCol w:w="2390"/>
        <w:gridCol w:w="2155"/>
        <w:gridCol w:w="2784"/>
      </w:tblGrid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85"/>
              <w:ind w:left="0" w:righ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Офисное здание и прилегающая территория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Офисное здание и прилегающая территория по адресу: г. Москва, ул. Волоколамское шоссе, д. 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Офисное здание и прилегающая территория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Заказчика является зданием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</w:tbl>
    <w:p>
      <w:pPr>
        <w:pStyle w:val="Normal"/>
        <w:tabs>
          <w:tab w:val="clear" w:pos="708"/>
          <w:tab w:val="center" w:pos="4818" w:leader="none"/>
        </w:tabs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b/>
          <w:bCs/>
        </w:rPr>
        <w:t xml:space="preserve">Информация в отношении исполнения договора, </w:t>
      </w:r>
      <w:bookmarkStart w:id="8" w:name="_Hlk46492347"/>
      <w:r>
        <w:rPr>
          <w:b/>
          <w:bCs/>
        </w:rPr>
        <w:t xml:space="preserve">которая должна быть учтена при подготовке заявки </w:t>
      </w:r>
      <w:bookmarkEnd w:id="8"/>
      <w:r>
        <w:rPr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Наличие</w:t>
      </w:r>
      <w:r>
        <w:rPr>
          <w:b w:val="false"/>
          <w:bCs w:val="false"/>
          <w:i w:val="false"/>
          <w:iCs w:val="false"/>
        </w:rPr>
        <w:t xml:space="preserve"> лицензии на осуществление деятельности дезинфекции, дезинсекции и дератизации.</w:t>
      </w:r>
      <w:r>
        <w:rPr>
          <w:b/>
          <w:bCs/>
          <w:i w:val="false"/>
          <w:iCs w:val="false"/>
        </w:rPr>
        <w:t xml:space="preserve"> В составе заявки на участие подтверждается копией лицензии о дезинфекции, дезинсекции и дератизации </w:t>
      </w:r>
      <w:r>
        <w:rPr>
          <w:b w:val="false"/>
          <w:bCs w:val="false"/>
          <w:i w:val="false"/>
          <w:iCs w:val="false"/>
        </w:rPr>
        <w:t>(в соответствии с требованиями Федерального закона от 29.05.2023 N 194-ФЗ "О внесении изменений в Федеральный закон "О лицензировании отдельных видов деятельности" и ст. 44 Федерального закона "О санитарно-эпидемиологическом благополучии населения");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/>
        <w:t>Исполнитель оформляет и ведет отчетную и исполнительную документацию (Журнал учета выполненных работ по дезинсекции, дератизации);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/>
        <w:t>Исполнительная документация передается Заказчику вместе с отчетными документами факту выполнения Исполнителем работ.</w:t>
      </w:r>
    </w:p>
    <w:p>
      <w:pPr>
        <w:pStyle w:val="ListParagraph"/>
        <w:spacing w:before="0" w:after="0"/>
        <w:ind w:left="0" w:right="0" w:firstLine="709"/>
        <w:contextualSpacing w:val="false"/>
        <w:rPr>
          <w:rFonts w:ascii="Times New Roman" w:hAnsi="Times New Roman"/>
        </w:rPr>
      </w:pPr>
      <w:r>
        <w:rPr/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bookmarkStart w:id="9" w:name="_Toc146719875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Требования</w:t>
      </w:r>
      <w:r>
        <w:rPr>
          <w:b/>
          <w:bCs/>
          <w:i w:val="false"/>
          <w:iCs w:val="false"/>
          <w:color w:val="000000"/>
        </w:rPr>
        <w:t xml:space="preserve"> к количественному составу и квалификации персонала</w:t>
      </w:r>
      <w:bookmarkEnd w:id="9"/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b w:val="false"/>
          <w:bCs w:val="false"/>
          <w:color w:val="auto"/>
        </w:rPr>
        <w:t xml:space="preserve">Исполнитель для проведения работ обязуется направить на объект для проведения работ персонал в количественном составе, необходимом для выполнения работ в объеме, указанном в настоящих технических требованиях. До проведения работ Исполнитель назначает лиц, ответственных за выполнение работ, с правом  подписи в акте-допуске и правами выдачи нарядов- допусков на выполняемые  работы по предварительному согласованию с представителем Заказчика на объекте (руководитель работ, производитель работ). 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b w:val="false"/>
          <w:bCs w:val="false"/>
          <w:color w:val="auto"/>
        </w:rPr>
        <w:t>Исполнитель до начала работ согласовывает с представителем Заказчика на объекте, необходимые для выполнения работ, организационно-технологические документы</w:t>
      </w:r>
      <w:bookmarkStart w:id="10" w:name="_Hlk168494737_Копия_1"/>
      <w:r>
        <w:rPr>
          <w:b w:val="false"/>
          <w:bCs w:val="false"/>
          <w:color w:val="auto"/>
        </w:rPr>
        <w:t>;</w:t>
      </w:r>
      <w:bookmarkEnd w:id="10"/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b w:val="false"/>
          <w:bCs w:val="false"/>
          <w:color w:val="auto"/>
        </w:rPr>
        <w:t>Документы, подтверждающие квалификацию персонала, прохождение обучения, необходимого для выполнения работ, Исполнитель предоставляет после заключения договора до начала предоставления/выполнения услуг на объекте.</w:t>
      </w:r>
    </w:p>
    <w:p>
      <w:pPr>
        <w:pStyle w:val="ListParagraph"/>
        <w:numPr>
          <w:ilvl w:val="0"/>
          <w:numId w:val="0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Обязательства</w:t>
      </w:r>
      <w:r>
        <w:rPr>
          <w:rFonts w:eastAsia="Calibri"/>
          <w:b/>
          <w:bCs/>
          <w:sz w:val="24"/>
          <w:szCs w:val="24"/>
          <w:lang w:eastAsia="x-none"/>
        </w:rPr>
        <w:t xml:space="preserve"> Исполнителя: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Оказывать</w:t>
      </w:r>
      <w:r>
        <w:rPr>
          <w:rFonts w:eastAsia="Calibri"/>
          <w:sz w:val="24"/>
          <w:szCs w:val="24"/>
          <w:lang w:eastAsia="x-none"/>
        </w:rPr>
        <w:t xml:space="preserve"> услуги в соответствии с инструкциями, правилами и нормами ветеринарного Законодательства РФ и обеспечить надлежащее качество и эффективность проводимых мероприятий;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Обеспечить оказание услуг с применением дезинсекционных и дератизационных средств, разрешённых к применению на территории Российской Федерации в соответствии с Приказом Минздрава РФ от 10.11.2002 г. № 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Проинструктировать Заказчика по мерам предосторожности в отношении применяемых для обработки средств;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После окончания мероприятий Исполнитель оставляет за собой чистоту, вывозит тары и упаковки используемых препаратов, оборудование и прочие материалы, утилизирует трупы насекомых и грызунов;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Иметь необходимое количество средств индивидуальной защиты работников, осуществляющих дезинсекционные и дератизационные работы;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Исполнитель несет полную ответственность за соблюдение мер личной и общественной безопасности во время оказания услуг;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Соблюдать правила охраны труда и техники безопасности, пожарной безопасности и окружающей среды;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Исполнитель гарантирует качество оказанных услуг в соответствии с санитарно-эпидемиологическими и экологическими нормами и правилами, утвержденными на данный вид услуг;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Исполнитель должен иметь в наличии спецодежду и средства индивидуальной защиты, предоставляемую для выполнения услуг сотрудникам;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К дезинсекционным работам допускаются только лица, прошедшие специальное обучение и инструктаж по технике безопасности, не имеющие медицинских противопоказаний к данной деятельности;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 xml:space="preserve">Персонал Исполнителя обеспечивает поддержание чистоты на рабочих местах, своевременную уборку отходов по окончании оказания услуг. 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>Отходы, образующиеся в результате деятельности Заказчика, переходят в собственность Исполнителя. Исполнитель при обращении с отходами обязан соблюдать экологические, санитарно-технические и иные требования, установленные законодательством в области охраны окружающей среды;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Исполнитель обеспечивает текущий контроль оказываемых услуг, включающий в себя надзор за правильностью и последовательностью выполнения отдельных технологических операций;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Исполнитель обязан уведомить Заказчика о готовности к сдаче результата выполненных  работ. По факту выполненных работ Исполнитель предоставляет Представителю Заказчика отчетные документы,</w:t>
      </w:r>
      <w:r>
        <w:rPr/>
        <w:t xml:space="preserve"> </w:t>
      </w:r>
      <w:r>
        <w:rPr>
          <w:rFonts w:eastAsia="Calibri"/>
          <w:sz w:val="24"/>
          <w:szCs w:val="24"/>
          <w:lang w:eastAsia="x-none"/>
        </w:rPr>
        <w:t>оформленный в одностороннем порядке, а также исполнительную документацию;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При оказании услуг Исполнитель пользуется источниками воды и электричества, имеющимися на Объектах;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</w:rPr>
      </w:pPr>
      <w:r>
        <w:rPr>
          <w:rFonts w:eastAsia="Calibri"/>
          <w:b w:val="false"/>
          <w:bCs w:val="false"/>
          <w:sz w:val="24"/>
          <w:szCs w:val="24"/>
          <w:lang w:eastAsia="x-none"/>
        </w:rPr>
        <w:t>Материалы, химические средства и оборудование для оказания услуг закупаются Исполнителем самостоятельно.</w:t>
      </w:r>
    </w:p>
    <w:p>
      <w:pPr>
        <w:pStyle w:val="ListParagraph"/>
        <w:numPr>
          <w:ilvl w:val="0"/>
          <w:numId w:val="0"/>
        </w:numPr>
        <w:spacing w:before="0" w:after="0"/>
        <w:ind w:left="0" w:right="0" w:firstLine="709"/>
        <w:contextualSpacing w:val="false"/>
        <w:jc w:val="both"/>
        <w:rPr>
          <w:rFonts w:ascii="Times New Roman" w:hAnsi="Times New Roman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numPr>
          <w:ilvl w:val="1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x-none" w:bidi="ar-SA"/>
        </w:rPr>
        <w:t>Обязательства</w:t>
      </w:r>
      <w:r>
        <w:rPr>
          <w:rFonts w:eastAsia="Calibri"/>
          <w:b/>
          <w:bCs/>
          <w:sz w:val="24"/>
          <w:szCs w:val="24"/>
          <w:lang w:eastAsia="x-none"/>
        </w:rPr>
        <w:t xml:space="preserve"> Заказчика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Заказчик назначает представителя для оперативного рассмотрения и решения технических и организационных вопросов, связанных с оказанием услуг.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На период оказания услуг, Заказчиком безвозмездно предоставляются Исполнителю следующие ресурсы: электроэнергия, вода.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Ознакомление Исполнителя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режима Заказчика.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Перед оказанием услуг, руководители организаций, в которых проводится дезинсекция, должны информировать сотрудников о дате, времени проведения и мерах предосторожности и провести подготовку помещений к истребительным мероприятиям.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Подготовку рабочих мест и допуск на рабочие места выполняет персонал Заказчика;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 w:eastAsia="Calibri"/>
          <w:sz w:val="24"/>
          <w:szCs w:val="24"/>
          <w:highlight w:val="none"/>
          <w:shd w:fill="FFFF00" w:val="clear"/>
          <w:lang w:eastAsia="x-none"/>
        </w:rPr>
      </w:pPr>
      <w:r>
        <w:rPr>
          <w:rFonts w:eastAsia="Calibri"/>
          <w:sz w:val="24"/>
          <w:szCs w:val="24"/>
          <w:shd w:fill="FFFF00" w:val="clear"/>
          <w:lang w:eastAsia="x-none"/>
        </w:rPr>
      </w:r>
    </w:p>
    <w:p>
      <w:pPr>
        <w:pStyle w:val="Normal"/>
        <w:widowControl w:val="false"/>
        <w:numPr>
          <w:ilvl w:val="1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Иные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x-none" w:bidi="ar-SA"/>
        </w:rPr>
        <w:t>требования и сведе</w:t>
      </w:r>
      <w:r>
        <w:rPr>
          <w:rFonts w:eastAsia="Calibri"/>
          <w:b/>
          <w:bCs/>
          <w:sz w:val="24"/>
          <w:szCs w:val="24"/>
          <w:lang w:eastAsia="x-none"/>
        </w:rPr>
        <w:t>ния общего характера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Дезинсекция</w:t>
      </w:r>
      <w:r>
        <w:rPr>
          <w:rFonts w:eastAsia="Calibri"/>
          <w:sz w:val="24"/>
          <w:szCs w:val="24"/>
          <w:lang w:eastAsia="x-none"/>
        </w:rPr>
        <w:t xml:space="preserve"> в помещениях проводится при закрытых форточках и окнах. После окончания работы помещения проветриваются в соответствии с инструкцией по применению дезинсекционного средства.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Все мероприятия, связанные с дезинсекцией, проводятся только в спецодежде и с применением средств индивидуальной защиты органов дыхания, глаз и кожи.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Нахождение в обрабатываемых помещениях любых лиц без средств индивидуальной защиты не допускается.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Длительность рабочей смены персонала, проводящего дезинсекцию, не должна превышать четырех часов, каждые 50 минут делается перерыв. Во время него работник выходит на свежий воздух и находится там в течение 10 минут со снятым респиратором.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/>
          <w:sz w:val="24"/>
          <w:szCs w:val="24"/>
          <w:lang w:eastAsia="x-none"/>
        </w:rPr>
        <w:t>Необходимо исключить попадание средств дезинсекции, дератизации  в водопроводные системы.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bidi w:val="0"/>
        <w:spacing w:before="0" w:after="0"/>
        <w:ind w:left="0" w:right="0" w:firstLine="709"/>
        <w:jc w:val="both"/>
        <w:rPr>
          <w:rFonts w:ascii="Times New Roman" w:hAnsi="Times New Roman" w:eastAsia="Calibri"/>
          <w:i/>
          <w:i/>
          <w:lang w:eastAsia="x-none"/>
        </w:rPr>
      </w:pPr>
      <w:r>
        <w:rPr>
          <w:rFonts w:eastAsia="Calibri"/>
          <w:i/>
          <w:lang w:eastAsia="x-none"/>
        </w:rPr>
      </w:r>
    </w:p>
    <w:p>
      <w:pPr>
        <w:pStyle w:val="Normal"/>
        <w:widowControl/>
        <w:bidi w:val="0"/>
        <w:spacing w:lineRule="auto" w:line="276" w:before="0" w:after="0"/>
        <w:ind w:left="0" w:right="0" w:firstLine="737"/>
        <w:jc w:val="center"/>
        <w:rPr>
          <w:rFonts w:ascii="Times New Roman" w:hAnsi="Times New Roman"/>
        </w:rPr>
      </w:pPr>
      <w:bookmarkStart w:id="11" w:name="_Toc51339693"/>
      <w:bookmarkStart w:id="12" w:name="_Toc54643702"/>
      <w:r>
        <w:rPr>
          <w:b/>
          <w:bCs/>
        </w:rPr>
        <w:t>2.Требования к продукции</w:t>
      </w:r>
      <w:bookmarkEnd w:id="11"/>
      <w:bookmarkEnd w:id="12"/>
    </w:p>
    <w:p>
      <w:pPr>
        <w:pStyle w:val="ListParagraph"/>
        <w:widowControl/>
        <w:numPr>
          <w:ilvl w:val="1"/>
          <w:numId w:val="8"/>
        </w:numPr>
        <w:bidi w:val="0"/>
        <w:spacing w:lineRule="auto" w:line="276" w:before="0" w:after="0"/>
        <w:ind w:left="397" w:right="0" w:firstLine="283"/>
        <w:contextualSpacing/>
        <w:jc w:val="left"/>
        <w:rPr>
          <w:rFonts w:ascii="Times New Roman" w:hAnsi="Times New Roman"/>
        </w:rPr>
      </w:pPr>
      <w:bookmarkStart w:id="13" w:name="_Toc54643703"/>
      <w:r>
        <w:rPr>
          <w:b/>
          <w:bCs/>
        </w:rPr>
        <w:t>Требования к объемам и срокам оказания услуг</w:t>
      </w:r>
      <w:bookmarkEnd w:id="13"/>
    </w:p>
    <w:p>
      <w:pPr>
        <w:pStyle w:val="ListParagraph"/>
        <w:widowControl/>
        <w:numPr>
          <w:ilvl w:val="2"/>
          <w:numId w:val="8"/>
        </w:numPr>
        <w:bidi w:val="0"/>
        <w:spacing w:lineRule="auto" w:line="276" w:before="0" w:after="0"/>
        <w:ind w:left="0" w:right="0" w:firstLine="680"/>
        <w:contextualSpacing/>
        <w:jc w:val="left"/>
        <w:rPr>
          <w:rFonts w:ascii="Times New Roman" w:hAnsi="Times New Roman"/>
        </w:rPr>
      </w:pPr>
      <w:bookmarkStart w:id="14" w:name="_Toc54643704"/>
      <w:r>
        <w:rPr>
          <w:b/>
          <w:bCs/>
        </w:rPr>
        <w:t>Требования к перечню и объему услуг</w:t>
      </w:r>
      <w:bookmarkEnd w:id="14"/>
    </w:p>
    <w:p>
      <w:pPr>
        <w:pStyle w:val="Normal"/>
        <w:spacing w:lineRule="auto" w:line="276"/>
        <w:rPr>
          <w:rFonts w:ascii="Times New Roman" w:hAnsi="Times New Roman"/>
        </w:rPr>
      </w:pPr>
      <w:bookmarkStart w:id="15" w:name="_Toc51339695"/>
      <w:bookmarkStart w:id="16" w:name="_Toc54643705"/>
      <w:r>
        <w:rPr>
          <w:b/>
          <w:bCs/>
          <w:sz w:val="24"/>
          <w:szCs w:val="24"/>
        </w:rPr>
        <w:t xml:space="preserve">Таблица 2. Перечень </w:t>
      </w:r>
      <w:bookmarkEnd w:id="15"/>
      <w:r>
        <w:rPr>
          <w:b/>
          <w:bCs/>
          <w:sz w:val="24"/>
          <w:szCs w:val="24"/>
        </w:rPr>
        <w:t>и объем оказываемых услуг</w:t>
      </w:r>
      <w:bookmarkEnd w:id="16"/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"/>
        <w:gridCol w:w="3059"/>
        <w:gridCol w:w="1756"/>
        <w:gridCol w:w="2236"/>
        <w:gridCol w:w="2240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оказываемых услуг, м2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Общий объем оказываемых услуг, м2*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>
        <w:trPr>
          <w:trHeight w:val="641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Дезинсекция (уничтожение насекомых)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ind w:left="0" w:right="0" w:hanging="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  <w:t>10 399,23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месяц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124 790,76</w:t>
            </w:r>
          </w:p>
        </w:tc>
      </w:tr>
      <w:tr>
        <w:trPr/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pacing w:lineRule="auto" w:line="24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Дератизация</w:t>
            </w:r>
          </w:p>
          <w:p>
            <w:pPr>
              <w:pStyle w:val="Style36"/>
              <w:widowControl w:val="false"/>
              <w:spacing w:lineRule="auto" w:line="24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(уничтожение грызунов)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ind w:left="0" w:right="0" w:hanging="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2"/>
                <w:szCs w:val="22"/>
              </w:rPr>
              <w:t>10 399,23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месяц</w:t>
            </w:r>
          </w:p>
          <w:p>
            <w:pPr>
              <w:pStyle w:val="Style36"/>
              <w:widowControl w:val="false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124 790,76</w:t>
            </w:r>
          </w:p>
        </w:tc>
      </w:tr>
    </w:tbl>
    <w:p>
      <w:pPr>
        <w:pStyle w:val="ListParagraph"/>
        <w:numPr>
          <w:ilvl w:val="0"/>
          <w:numId w:val="0"/>
        </w:numPr>
        <w:ind w:left="0" w:right="0" w:firstLine="709"/>
        <w:jc w:val="both"/>
        <w:rPr>
          <w:rFonts w:ascii="Times New Roman" w:hAnsi="Times New Roman"/>
        </w:rPr>
      </w:pPr>
      <w:r>
        <w:rPr>
          <w:bCs/>
          <w:i/>
          <w:iCs/>
          <w:sz w:val="24"/>
          <w:szCs w:val="24"/>
          <w:lang w:eastAsia="x-none"/>
        </w:rPr>
        <w:t>*Информация об объеме услуг имеет информационно-справочный характер и приведена исходя из планируемого к приобретению Заказчиком объема услуг. Указание объема услуг не налагает на Заказчика обязательств по приобретению услуг в полном объёме, указанном в настоящих Технических требованиях.</w:t>
      </w:r>
    </w:p>
    <w:p>
      <w:pPr>
        <w:pStyle w:val="ListParagraph"/>
        <w:numPr>
          <w:ilvl w:val="0"/>
          <w:numId w:val="0"/>
        </w:numPr>
        <w:ind w:left="284" w:right="0" w:hanging="0"/>
        <w:jc w:val="both"/>
        <w:rPr>
          <w:rFonts w:ascii="Times New Roman" w:hAnsi="Times New Roman"/>
          <w:bCs/>
          <w:i/>
          <w:i/>
          <w:iCs/>
          <w:sz w:val="20"/>
          <w:szCs w:val="20"/>
          <w:lang w:eastAsia="x-none"/>
        </w:rPr>
      </w:pPr>
      <w:r>
        <w:rPr>
          <w:bCs/>
          <w:i/>
          <w:iCs/>
          <w:sz w:val="20"/>
          <w:szCs w:val="20"/>
          <w:lang w:eastAsia="x-none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76" w:before="0" w:after="0"/>
        <w:ind w:left="680" w:right="0" w:hanging="0"/>
        <w:contextualSpacing/>
        <w:jc w:val="left"/>
        <w:rPr>
          <w:rFonts w:ascii="Times New Roman" w:hAnsi="Times New Roman"/>
        </w:rPr>
      </w:pPr>
      <w:r>
        <w:rPr>
          <w:b/>
        </w:rPr>
        <w:t xml:space="preserve">2.1.2 </w:t>
      </w:r>
      <w:bookmarkStart w:id="17" w:name="_Toc54643706"/>
      <w:bookmarkStart w:id="18" w:name="_Toc51339696"/>
      <w:r>
        <w:rPr>
          <w:b/>
        </w:rPr>
        <w:t xml:space="preserve">Требования </w:t>
      </w:r>
      <w:bookmarkEnd w:id="18"/>
      <w:r>
        <w:rPr>
          <w:b/>
        </w:rPr>
        <w:t>к срокам оказания услуг</w:t>
      </w:r>
      <w:bookmarkEnd w:id="17"/>
    </w:p>
    <w:p>
      <w:pPr>
        <w:pStyle w:val="Normal"/>
        <w:spacing w:lineRule="auto" w:line="276"/>
        <w:rPr>
          <w:rFonts w:ascii="Times New Roman" w:hAnsi="Times New Roman"/>
        </w:rPr>
      </w:pPr>
      <w:bookmarkStart w:id="19" w:name="_Toc54643707"/>
      <w:bookmarkStart w:id="20" w:name="_Toc51339697"/>
      <w:bookmarkStart w:id="21" w:name="_Toc50125127"/>
      <w:bookmarkStart w:id="22" w:name="_Toc50125126_Копия_1"/>
      <w:bookmarkEnd w:id="22"/>
      <w:r>
        <w:rPr>
          <w:b/>
          <w:bCs/>
          <w:sz w:val="24"/>
          <w:szCs w:val="24"/>
        </w:rPr>
        <w:t xml:space="preserve">Таблица 3. </w:t>
      </w:r>
      <w:bookmarkStart w:id="23" w:name="_Hlk50465284"/>
      <w:r>
        <w:rPr>
          <w:b/>
          <w:bCs/>
          <w:sz w:val="24"/>
          <w:szCs w:val="24"/>
        </w:rPr>
        <w:t xml:space="preserve">Требования к срокам </w:t>
      </w:r>
      <w:bookmarkEnd w:id="20"/>
      <w:bookmarkEnd w:id="21"/>
      <w:bookmarkEnd w:id="23"/>
      <w:r>
        <w:rPr>
          <w:b/>
          <w:bCs/>
          <w:sz w:val="24"/>
          <w:szCs w:val="24"/>
        </w:rPr>
        <w:t>оказания услуг</w:t>
      </w:r>
      <w:bookmarkEnd w:id="19"/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6"/>
        <w:gridCol w:w="3544"/>
        <w:gridCol w:w="2621"/>
        <w:gridCol w:w="3048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85"/>
              <w:ind w:left="0" w:righ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>«ОКПД 2 81.29.11.000 Оказание услуг по дератизации, дезинсекции по адресу: г. Москва, ул. Волоколамское шоссе, д. 2».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  даты  подписания договора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 течение 12 (двенадцати) месяцев с даты подписания договора либо до исчерпания предельной цены договора в зависимости от того, какое событие наступит ранее.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4"/>
        <w:keepNext w:val="true"/>
        <w:widowControl/>
        <w:suppressAutoHyphens w:val="true"/>
        <w:bidi w:val="0"/>
        <w:spacing w:before="120" w:after="60"/>
        <w:ind w:left="0" w:right="0" w:firstLine="850"/>
        <w:jc w:val="left"/>
        <w:rPr>
          <w:rFonts w:ascii="Times New Roman" w:hAnsi="Times New Roman"/>
        </w:rPr>
      </w:pPr>
      <w:r>
        <w:rPr>
          <w:rFonts w:eastAsia="Calibri" w:cs="Times New Roman"/>
          <w:b/>
          <w:color w:val="auto"/>
          <w:kern w:val="0"/>
          <w:lang w:val="ru-RU" w:eastAsia="ru-RU" w:bidi="ar-SA"/>
        </w:rPr>
        <w:t>2.2 Требования</w:t>
      </w:r>
      <w:r>
        <w:rPr>
          <w:b/>
          <w:bCs/>
        </w:rPr>
        <w:t xml:space="preserve"> к качеству выполнения услуг</w:t>
      </w:r>
    </w:p>
    <w:p>
      <w:pPr>
        <w:pStyle w:val="Heading4"/>
        <w:rPr>
          <w:rFonts w:ascii="Times New Roman" w:hAnsi="Times New Roman"/>
        </w:rPr>
      </w:pPr>
      <w:r>
        <w:rPr/>
        <w:t>Таблица 4. Требования к качеству оказания услуг</w:t>
      </w:r>
    </w:p>
    <w:p>
      <w:pPr>
        <w:pStyle w:val="Heading4"/>
        <w:rPr>
          <w:rFonts w:ascii="Times New Roman" w:hAnsi="Times New Roman"/>
        </w:rPr>
      </w:pPr>
      <w:r>
        <w:rPr>
          <w:b/>
          <w:bCs/>
        </w:rPr>
        <w:t xml:space="preserve">Наименование услуг/этапа услуг: 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«ОКПД 2 81.29.11.000 Оказание услуг по дератизации, дезинсекции по адресу: г. Москва, ул. Волоколамское шоссе, д. 2».</w:t>
      </w:r>
    </w:p>
    <w:tbl>
      <w:tblPr>
        <w:tblStyle w:val="af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8"/>
        <w:gridCol w:w="2136"/>
        <w:gridCol w:w="5266"/>
        <w:gridCol w:w="2715"/>
        <w:gridCol w:w="1935"/>
        <w:gridCol w:w="2014"/>
      </w:tblGrid>
      <w:tr>
        <w:trPr>
          <w:trHeight w:val="20" w:hRule="atLeast"/>
        </w:trPr>
        <w:tc>
          <w:tcPr>
            <w:tcW w:w="81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13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26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65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0" w:hRule="atLeast"/>
        </w:trPr>
        <w:tc>
          <w:tcPr>
            <w:tcW w:w="81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2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bookmarkStart w:id="24" w:name="_Toc53499667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24"/>
          </w:p>
        </w:tc>
        <w:tc>
          <w:tcPr>
            <w:tcW w:w="21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2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0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56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Общие технические условия для оказания услуг</w:t>
            </w:r>
          </w:p>
        </w:tc>
        <w:tc>
          <w:tcPr>
            <w:tcW w:w="5266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2"/>
              </w:numPr>
              <w:spacing w:before="0" w:after="0"/>
              <w:ind w:left="0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Услуги оказываются в соответствии с Приказом Минздрава РФ от 10.11.2002 г. № 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людей»;</w:t>
            </w:r>
          </w:p>
          <w:p>
            <w:pPr>
              <w:pStyle w:val="ListParagraph"/>
              <w:widowControl w:val="false"/>
              <w:spacing w:before="0" w:after="85"/>
              <w:ind w:left="0" w:right="0" w:hanging="0"/>
              <w:contextualSpacing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7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empora LGC Uni" w:cs="Times New Roman"/>
                <w:b w:val="false"/>
                <w:bCs w:val="false"/>
                <w:iCs/>
                <w:kern w:val="0"/>
                <w:sz w:val="20"/>
                <w:szCs w:val="20"/>
                <w:lang w:val="ru-RU" w:eastAsia="ru-RU" w:bidi="ar-SA"/>
              </w:rPr>
              <w:t>Требования к соблюдению при выполнении работ норм и правил нормативно-технических документов</w:t>
            </w:r>
          </w:p>
        </w:tc>
        <w:tc>
          <w:tcPr>
            <w:tcW w:w="526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обязуется оказывать услуги с соблюдением норм и правил нормативно-технических документов, применяемых для данного вида услуг,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в соответствии с п. 59 ст. 12 гл. 2 Федерального закона от 04.05.2011 № 99- ФЗ «О лицензировании отдельных видов деятельности» (ред. От 08.08.2024);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Постановление Правительства РФ от 20.03.2024 г. № 337 «Об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населения»;</w:t>
            </w:r>
          </w:p>
          <w:p>
            <w:pPr>
              <w:pStyle w:val="Style37"/>
              <w:widowControl w:val="false"/>
              <w:numPr>
                <w:ilvl w:val="0"/>
              </w:numPr>
              <w:spacing w:before="0" w:after="0"/>
              <w:ind w:left="0" w:hanging="18"/>
              <w:contextualSpacing w:val="false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Постановление Правительства Москвы от 30.12.2003 № 1065-ПП «О совершенствовании организации и проведения дезинфекционных, дезинсекционных и дератизационных мероприятий на объектах города Москвы»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ст. 44  Федерального закона от 30.03.1999 г. № 52 (в ред. От 01.07.2025) «О санитарном благополучии населения»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Санитарные правила и нормы СанПиН 3.3686-21 «Санитарно-эпидемиологические требования по профилактике инфекционных болезней», утвержденные постановлением Главного государственного санитарного врача Российской Федерации от 28.01.2021 N 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Руководство Р 3.5.2.2487-09 «3.5.2. Дезинсекция. Руководство по медицинской дезинсекции», утвержденное Главным государственным санитарным врачом Российской Федерации 26 февраля 2009 г.;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Приказ Министерства здравоохранения Российской Федерации от 10.11.2002 №344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142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7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>
              <w:top w:val="nil"/>
            </w:tcBorders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2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empora LGC Uni" w:cs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Допуск персонала исполнителя для оказания услуг должен осуществляться с обязательным оформлением необходимых пропусков по служебной записке. </w:t>
            </w:r>
            <w:r>
              <w:rPr>
                <w:rFonts w:eastAsia="Tempora LGC Uni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Перед началом оказания услуг Исполнитель (работник назначенный приказом) проходит инструктаж по Охране труда и Пожарной безопасности у представителей Заказчика с составлением АКТА-ДОПУСКА для производства работ на территории Заказчика.</w:t>
            </w:r>
          </w:p>
        </w:tc>
        <w:tc>
          <w:tcPr>
            <w:tcW w:w="27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0" w:after="0"/>
              <w:ind w:left="1077" w:right="0" w:hanging="107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 соблюдению техники безопасности при оказании услуг, требований к квалификации персонала.</w:t>
            </w:r>
          </w:p>
        </w:tc>
        <w:tc>
          <w:tcPr>
            <w:tcW w:w="52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обеспечивает соблюдение техники безопасности в соответствии со статьёй 214 Трудового Кодекса РФ, ЕТКС работ и рабочих профессий.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empora LGC Uni" w:cs="Times New Roman"/>
                <w:bCs/>
                <w:kern w:val="0"/>
                <w:sz w:val="20"/>
                <w:szCs w:val="20"/>
                <w:lang w:val="ru-RU" w:eastAsia="ru-RU" w:bidi="ar-SA"/>
              </w:rPr>
              <w:t>Работы выполняются высококвалифицированным персоналом с необходимыми профессиональными знаниями и опытом работы, а также допусками, аттестациями и регулярными повышением квалификации.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Ответственность за соблюдение правил в местах оказания услуг возлагается на Исполнителя. Всю ответственность за соблюдением норм и требований по охране труда, пожарной безопасности и технике безопасности несет Исполнитель.</w:t>
            </w:r>
          </w:p>
        </w:tc>
        <w:tc>
          <w:tcPr>
            <w:tcW w:w="271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71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6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5266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bidi w:val="0"/>
              <w:spacing w:before="0" w:after="0"/>
              <w:ind w:left="0" w:right="0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/>
                <w:iCs/>
                <w:sz w:val="20"/>
                <w:szCs w:val="20"/>
                <w:shd w:fill="auto" w:val="clear"/>
              </w:rPr>
              <w:t>Дератизация включает: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Обследование объекта: осмотр, сбор информации у персонала объекта о наличии грызунов или следов их пребывания (жилых нор, погрызов, помета);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Объективная оценка: наличие следов грызунов на следовых площадках, клеевых ловушках;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При необходимости отлов грызунов на лабораторное исследование;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Выбор тактики дератизации;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Выполнение мероприятий по дератизации (раскладка различных видов приманок, клеевых ловушек, капканов) в соответствии с выбранной тактикой;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  Контроль результатов проводимых мероприятий;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Формулировка предложений по защите объекта от проникновения грызунов в целях повышения эффективности дератизационных работ.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85"/>
              <w:ind w:left="720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right="0" w:hanging="0"/>
              <w:jc w:val="both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/>
                <w:iCs/>
                <w:sz w:val="20"/>
                <w:szCs w:val="20"/>
                <w:shd w:fill="auto" w:val="clear"/>
              </w:rPr>
              <w:t>Дезинсекция включает: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 Дезинсекция всех видов насекомых: тараканов, клопов, блох, мух, ос, мокриц и т.д.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Выбор метода и тактики борьбы с членистоногими: применение влажного или сухого или приманочного методов в зависимости от численности насекомых и вида объекта;</w:t>
            </w:r>
          </w:p>
          <w:p>
            <w:pPr>
              <w:pStyle w:val="Normal"/>
              <w:widowControl w:val="false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 Выполнение мероприятий по дезинсекции в соответствии с выбранным методом;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shd w:fill="auto" w:val="clear"/>
              </w:rPr>
              <w:t>-Формулировка предложений по защите объекта от проникновения и размножения насекомых.</w:t>
            </w:r>
          </w:p>
        </w:tc>
        <w:tc>
          <w:tcPr>
            <w:tcW w:w="271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должен иметь собственный или привлеченный (по трудовым договорам) квалифицированный персонал.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После заключения договора Исполнитель до момента оказания услуг представляет список персонала, копии квалификационных и аттестационных документов и иные документы.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должны подтвердить соответствие квалификации персонала, участвующего в выполнении работ на территории Заказчика.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Услуги оказываются в таком объёме, который позволяет продолжать эксплуатацию объекта без закупки Заказчиком дополнительных объёмов каких-либо материалов, оборудования и услуг. Услуги считаются оказанными после приёмки услуг комиссией Заказчика, с оформлением отчётной документации со стороны Исполнителя.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должен обеспечить безопасность результата услуг для жизни, здоровья работников Исполнителя, Заказчика и третьих лиц, а также сохранность имущества Заказчика и третьих лиц.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Все работники, руководители и специалисты должны быть обеспечены своим работодателем средствами индивидуальной защиты (СИЗ) в соответствии с типовыми нормами. При выполнении работ персонал должен применять СИЗ в обязательном порядке без исключений.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x-none" w:bidi="ar-SA"/>
              </w:rPr>
              <w:t>После проведения работ Исполнитель сдает выполненные работы Заказчику. Заказчик имеет право назначить своего представителя, который от имени Заказчика осуществляет контроль за ходом выполняемых работ, проверяет и принимает выполненные работы.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bidi w:val="0"/>
              <w:spacing w:before="0" w:after="0"/>
              <w:ind w:left="0" w:right="0" w:hanging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>В случае наличия замечаний Заказчик имеет право не подписывать акт выполненных работ до устранения выявленных замечаний.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окончании оказания Услуг Исполнитель в течение 3 (трех) рабочих дней предоставляет Заказчику подписанный со своей стороны в 2 (двух) экземплярах УПД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передает Заказчику с УПД исполнительную документацию (журналы ведения работ, сертификаты качества на применённые материалы и химические средства).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Федерального закона от 22.07.2008 №123-ФЗ «Технический регламент о требованиях пожарной безопасности» (с изменениями на 27 декабря 2018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Федерального закона РФ от 27.12.2002 №184-ФЗ «О техническом регулировании» (с изменениями на 28 ноября 2018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Федерального закона РФ от 30.12.2012 №384-ФЗ «Технический регламент о безопасности зданий и сооружений» (с изменениями на 2 июля 2013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Федерального закона РФ от 10.01.2002 №7-ФЗ «Об охране окружающей среды» (с изменениями на 31 июля 2020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Федерального закона РФ от 30.03.1999 №52-ФЗ «О санитарно-эпидемиологическом благополучии населения» (с изменениями на 13 июля 2020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25.04.2012 №390 «О противопожарном режиме» (с изменениями на 23 апреля 2020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Приказа Министерства здравоохранения и социального развития РФ от 01.06.2009 №290н (с изменениями на 12 января 2015 года) «Об утверждении Межотраслевых правил обеспечения работников специальной одеждой, специальной обувью и другими средствами индивидуальной защиты» (с изменениями на 12 января 2015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Приказом Министерства труда и социальной защиты РФ от 28.03.2014 №155н «Правила по охране труда при работе на высоте» (с изменениями на 20 декабря 2018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ГОСТ 12.1.004-91 «Система стандартов безопасности труда (ССБТ). Пожарная безопасность. Общие требования» (с Изменением № 1);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ГОСТ 12.1.007-76 Система стандартов безопасности труда (ССБТ). Вредные вещества. Классификация и общие требования безопасности (с Изменениями № 1, 2);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СНиП 21-01-97* «Пожарная безопасность зданий и сооружений» (с Изменениями № 1, 2) (зарегистрирован Росстандартом в качестве СП 112.13330.2011);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СП 60.13330.2012 Отопление, вентиляция и кондиционирование воздуха. Актуализированная редакция СНиП 41-01-2003;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СП 7.13130.2013 Отопление, вентиляция и кондиционирование. Требования пожарной безопасности (с Изменениями № 1, 2);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Правил работы с персоналом в организациях электроэнергетики Российской Федерации, утверждённых Приказом Министерства энергетики Российской Федерации от 22 сентября 2020 года N 796;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Федеральный закон от 26.02.2024 № 22-ФЗ,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Если перечень документов, указанный выше, заменен (изменен), то при использовании следует руководствоваться действующими версиями законодательства Российской Федерации и нормативно-технической документации, действующей на этапе исполнения договора.</w:t>
            </w:r>
          </w:p>
        </w:tc>
        <w:tc>
          <w:tcPr>
            <w:tcW w:w="2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14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7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3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01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818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предоставляет гарантии на результаты оказанных услуг: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части услуг - в течение 5 рабочих дней после оказания услуги.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производит в течении гарантийного периода устранение всех неисправностей и дефектов, возникших в результате оказания услуг своими силами и за свой счет;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 повреждения имущества Заказчика, не являющегося результатом оказания услуг по договору, в ходе оказания услуг, Исполнитель устраняет возникшие повреждения за свой счет в согласованные с Заказчиком сроки, но не позднее 15 календарных дней с даты подписания Сторонами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компенсирует потери от простоя оборудования в ремонте по этим причинам.</w:t>
            </w:r>
          </w:p>
        </w:tc>
        <w:tc>
          <w:tcPr>
            <w:tcW w:w="27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3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01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357" w:right="0" w:hanging="0"/>
        <w:jc w:val="both"/>
        <w:rPr/>
      </w:pPr>
      <w:r>
        <w:rPr>
          <w:sz w:val="24"/>
          <w:szCs w:val="24"/>
          <w:lang w:val="ru-RU"/>
        </w:rPr>
        <w:t xml:space="preserve">2.2.1 </w:t>
      </w:r>
      <w:r>
        <w:rPr>
          <w:sz w:val="24"/>
          <w:szCs w:val="24"/>
          <w:lang w:val="ru-RU"/>
        </w:rPr>
        <w:t xml:space="preserve">В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составе</w:t>
      </w:r>
      <w:r>
        <w:rPr>
          <w:sz w:val="24"/>
          <w:szCs w:val="24"/>
          <w:lang w:val="ru-RU"/>
        </w:rPr>
        <w:t xml:space="preserve"> заявки необходимо предоставить:</w:t>
      </w:r>
    </w:p>
    <w:p>
      <w:pPr>
        <w:pStyle w:val="Normal"/>
        <w:numPr>
          <w:ilvl w:val="0"/>
          <w:numId w:val="0"/>
        </w:numPr>
        <w:ind w:left="357" w:right="0" w:hanging="0"/>
        <w:jc w:val="both"/>
        <w:rPr/>
      </w:pPr>
      <w:r>
        <w:rPr>
          <w:sz w:val="24"/>
          <w:szCs w:val="24"/>
          <w:lang w:val="ru-RU"/>
        </w:rPr>
        <w:t>- Л</w:t>
      </w:r>
      <w:r>
        <w:rPr>
          <w:sz w:val="24"/>
          <w:szCs w:val="24"/>
          <w:lang w:val="ru-RU"/>
        </w:rPr>
        <w:t>ицензи</w:t>
      </w:r>
      <w:r>
        <w:rPr>
          <w:sz w:val="24"/>
          <w:szCs w:val="24"/>
          <w:lang w:val="ru-RU"/>
        </w:rPr>
        <w:t>я на проведение</w:t>
      </w:r>
      <w:r>
        <w:rPr>
          <w:sz w:val="24"/>
          <w:szCs w:val="24"/>
          <w:lang w:val="ru-RU"/>
        </w:rPr>
        <w:t xml:space="preserve"> дезинфекции, дезинсекции и дератизации (в соответствии с требованиями Федерального закона от 29.05.2023 N 194-ФЗ "О внесении изменений в Федеральный закон "О лицензировании отдельных видов деятельности" и ст. 44 Федерального закона "О санитарно-эпидемиологическом благополучии населения");</w:t>
      </w:r>
    </w:p>
    <w:p>
      <w:pPr>
        <w:pStyle w:val="Heading1"/>
        <w:numPr>
          <w:ilvl w:val="0"/>
          <w:numId w:val="0"/>
        </w:numPr>
        <w:ind w:left="357" w:right="0" w:hanging="0"/>
        <w:jc w:val="center"/>
        <w:rPr>
          <w:rFonts w:ascii="Times New Roman" w:hAnsi="Times New Roman"/>
        </w:rPr>
      </w:pPr>
      <w:r>
        <w:rPr/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Heading1"/>
        <w:numPr>
          <w:ilvl w:val="0"/>
          <w:numId w:val="0"/>
        </w:numPr>
        <w:ind w:left="357" w:right="0" w:hanging="0"/>
        <w:jc w:val="center"/>
        <w:rPr>
          <w:rFonts w:ascii="Times New Roman" w:hAnsi="Times New Roman"/>
        </w:rPr>
      </w:pPr>
      <w:r>
        <w:rPr/>
      </w:r>
    </w:p>
    <w:p>
      <w:pPr>
        <w:pStyle w:val="Heading1"/>
        <w:numPr>
          <w:ilvl w:val="0"/>
          <w:numId w:val="0"/>
        </w:numPr>
        <w:ind w:left="357" w:right="0" w:hanging="0"/>
        <w:jc w:val="center"/>
        <w:rPr>
          <w:rFonts w:ascii="Times New Roman" w:hAnsi="Times New Roman"/>
        </w:rPr>
      </w:pPr>
      <w:r>
        <w:rPr>
          <w:sz w:val="24"/>
          <w:szCs w:val="24"/>
          <w:lang w:val="ru-RU"/>
        </w:rPr>
        <w:t xml:space="preserve">3. </w:t>
      </w:r>
      <w:bookmarkStart w:id="25" w:name="_Toc146805893"/>
      <w:bookmarkStart w:id="26" w:name="_Toc53393312"/>
      <w:bookmarkStart w:id="27" w:name="_Toc53395937"/>
      <w:r>
        <w:rPr>
          <w:sz w:val="24"/>
          <w:szCs w:val="24"/>
          <w:lang w:val="ru-RU"/>
        </w:rPr>
        <w:t xml:space="preserve">Требования к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x-none" w:bidi="ar-SA"/>
        </w:rPr>
        <w:t>документации</w:t>
      </w:r>
      <w:r>
        <w:rPr>
          <w:sz w:val="24"/>
          <w:szCs w:val="24"/>
          <w:lang w:val="ru-RU"/>
        </w:rPr>
        <w:t xml:space="preserve"> по ценообразованию</w:t>
      </w:r>
      <w:bookmarkEnd w:id="26"/>
      <w:bookmarkEnd w:id="27"/>
      <w:r>
        <w:rPr>
          <w:sz w:val="24"/>
          <w:szCs w:val="24"/>
          <w:lang w:val="ru-RU"/>
        </w:rPr>
        <w:t xml:space="preserve"> на этапе закупки</w:t>
      </w:r>
      <w:bookmarkEnd w:id="25"/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3.1 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sz w:val="24"/>
          <w:szCs w:val="24"/>
        </w:rPr>
        <w:t>3.2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rFonts w:ascii="Times New Roman" w:hAnsi="Times New Roman"/>
        </w:rPr>
      </w:pPr>
      <w:r>
        <w:rPr>
          <w:sz w:val="24"/>
          <w:szCs w:val="24"/>
          <w:lang w:val="ru-RU"/>
        </w:rPr>
        <w:t>4. Т</w:t>
      </w:r>
      <w:bookmarkStart w:id="28" w:name="_Toc54281228"/>
      <w:bookmarkStart w:id="29" w:name="_Toc146805896"/>
      <w:bookmarkStart w:id="30" w:name="_Toc46743519_Копия_1"/>
      <w:bookmarkStart w:id="31" w:name="_Toc51339699_Копия_1"/>
      <w:r>
        <w:rPr>
          <w:sz w:val="24"/>
          <w:szCs w:val="24"/>
          <w:lang w:val="ru-RU"/>
        </w:rPr>
        <w:t>ребования к документации по ценообразованию на этапе заключения (исполнения) договора</w:t>
      </w:r>
      <w:bookmarkEnd w:id="28"/>
      <w:bookmarkEnd w:id="29"/>
      <w:bookmarkEnd w:id="30"/>
      <w:bookmarkEnd w:id="31"/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Times New Roman"/>
          <w:b w:val="false"/>
          <w:sz w:val="24"/>
          <w:szCs w:val="24"/>
          <w:lang w:val="ru-RU" w:eastAsia="ru-RU"/>
        </w:rPr>
        <w:t>4.1 По результатам настоящей закупки заключается договор с предельной ценой, предложенной Участником закупки, который был признан Победителем, заявка которого соответствовала требованиям ТТ и содержала наиболее низкую цену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/>
        <w:jc w:val="left"/>
        <w:rPr>
          <w:rFonts w:ascii="Times New Roman" w:hAnsi="Times New Roman"/>
        </w:rPr>
      </w:pPr>
      <w:r>
        <w:rPr>
          <w:b/>
          <w:bCs/>
          <w:sz w:val="24"/>
          <w:szCs w:val="24"/>
        </w:rPr>
        <w:t xml:space="preserve">                                   </w:t>
      </w:r>
    </w:p>
    <w:p>
      <w:pPr>
        <w:pStyle w:val="Normal"/>
        <w:widowControl/>
        <w:suppressAutoHyphens w:val="true"/>
        <w:bidi w:val="0"/>
        <w:spacing w:before="0" w:after="0"/>
        <w:ind w:left="397" w:right="0" w:firstLine="624"/>
        <w:contextualSpacing/>
        <w:jc w:val="left"/>
        <w:rPr>
          <w:rFonts w:ascii="Times New Roman" w:hAnsi="Times New Roman"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397" w:right="0" w:firstLine="624"/>
        <w:contextualSpacing/>
        <w:jc w:val="left"/>
        <w:rPr>
          <w:rFonts w:ascii="Times New Roman" w:hAnsi="Times New Roman"/>
        </w:rPr>
      </w:pPr>
      <w:r>
        <w:rPr/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eastAsia="Calibri"/>
        <w:b w:val="false"/>
        <w:bCs w:val="false"/>
        <w:sz w:val="24"/>
        <w:szCs w:val="24"/>
        <w:shd w:fill="auto" w:val="clear"/>
        <w:lang w:eastAsia="x-no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i w:val="false"/>
        <w:b/>
        <w:szCs w:val="24"/>
        <w:iCs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/>
    </w:lvl>
  </w:abstractNum>
  <w:abstractNum w:abstractNumId="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имвол нумерации"/>
    <w:qFormat/>
    <w:rPr>
      <w:sz w:val="20"/>
      <w:szCs w:val="2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>
    <w:name w:val="Другое"/>
    <w:basedOn w:val="Normal"/>
    <w:qFormat/>
    <w:pPr>
      <w:widowControl w:val="false"/>
      <w:spacing w:lineRule="auto" w:line="264"/>
      <w:ind w:left="0" w:right="0" w:firstLine="400"/>
    </w:pPr>
    <w:rPr>
      <w:sz w:val="22"/>
      <w:szCs w:val="22"/>
    </w:rPr>
  </w:style>
  <w:style w:type="paragraph" w:styleId="Style37">
    <w:name w:val="Абзац списка"/>
    <w:basedOn w:val="Normal"/>
    <w:qFormat/>
    <w:pPr>
      <w:spacing w:before="0" w:after="0"/>
      <w:contextualSpacing/>
    </w:pPr>
    <w:rPr>
      <w:rFonts w:eastAsia="Calibri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1733132511">
    <w:name w:val="21733132511"/>
    <w:qFormat/>
  </w:style>
  <w:style w:type="numbering" w:styleId="42401060491">
    <w:name w:val="42401060491"/>
    <w:qFormat/>
  </w:style>
  <w:style w:type="numbering" w:styleId="30388693911">
    <w:name w:val="30388693911"/>
    <w:qFormat/>
  </w:style>
  <w:style w:type="numbering" w:styleId="8114959591">
    <w:name w:val="8114959591"/>
    <w:qFormat/>
  </w:style>
  <w:style w:type="numbering" w:styleId="6618272621">
    <w:name w:val="66182726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Application>AlterOffice/3.4.0.9$Linux_X86_64 LibreOffice_project/b8daf9e823b1a5463a2f48435ddc2e8696e7d4fc</Application>
  <AppVersion>15.0000</AppVersion>
  <Pages>13</Pages>
  <Words>2876</Words>
  <Characters>20332</Characters>
  <CharactersWithSpaces>22930</CharactersWithSpaces>
  <Paragraphs>304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2023-12-05T04:24:00Z</dcterms:created>
  <dc:creator>Быстров Олег Геннадьевич</dc:creator>
  <dc:description/>
  <dc:language>ru-RU</dc:language>
  <cp:lastModifiedBy>streletsva@corp.gidroogk.com</cp:lastModifiedBy>
  <cp:lastPrinted>2025-07-25T15:12:24Z</cp:lastPrinted>
  <dcterms:modified xsi:type="dcterms:W3CDTF">2026-08-11T13:09:12Z</dcterms:modified>
  <cp:revision>88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