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bookmarkStart w:id="0" w:name="_GoBack"/>
      <w:bookmarkEnd w:id="0"/>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г._______________</w:t>
        <w:tab/>
        <w:tab/>
        <w:tab/>
        <w:tab/>
        <w:tab/>
        <w:tab/>
        <w:t xml:space="preserve"> </w:t>
        <w:tab/>
        <w:t>«___» __________ 2025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аукциона в электронном формате (лот №_______</w:t>
      </w:r>
      <w:r>
        <w:rPr>
          <w:b w:val="false"/>
          <w:i w:val="false"/>
          <w:caps w:val="false"/>
          <w:smallCaps w:val="false"/>
          <w:color w:val="000000"/>
          <w:spacing w:val="0"/>
          <w:sz w:val="24"/>
          <w:szCs w:val="24"/>
          <w:shd w:fill="auto" w:val="clear"/>
        </w:rPr>
        <w:t>)</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spacing w:before="0" w:after="120"/>
        <w:ind w:firstLine="567"/>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и техническими требованиями (</w:t>
      </w:r>
      <w:r>
        <w:rPr>
          <w:sz w:val="24"/>
          <w:shd w:fill="auto" w:val="clear"/>
        </w:rPr>
        <w:t>Приложение № 3</w:t>
      </w:r>
      <w:r>
        <w:rPr>
          <w:b w:val="false"/>
          <w:sz w:val="24"/>
          <w:shd w:fill="auto" w:val="clear"/>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shd w:fill="auto" w:val="clear"/>
        </w:rPr>
        <w:t>Приложения № 2</w:t>
      </w:r>
      <w:r>
        <w:rPr>
          <w:sz w:val="24"/>
          <w:szCs w:val="24"/>
          <w:shd w:fill="auto"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shd w:fill="auto" w:val="clear"/>
        </w:rPr>
        <w:t>Приложение № 1</w:t>
      </w:r>
      <w:r>
        <w:rPr>
          <w:sz w:val="24"/>
          <w:szCs w:val="24"/>
          <w:shd w:fill="auto" w:val="clear"/>
        </w:rPr>
        <w:t>).</w:t>
      </w:r>
    </w:p>
    <w:p>
      <w:pPr>
        <w:pStyle w:val="Normal"/>
        <w:shd w:val="clear" w:color="auto" w:fill="FFFFFF"/>
        <w:tabs>
          <w:tab w:val="clear" w:pos="720"/>
          <w:tab w:val="left" w:pos="540" w:leader="none"/>
        </w:tabs>
        <w:spacing w:before="0" w:after="120"/>
        <w:jc w:val="both"/>
        <w:rPr>
          <w:highlight w:val="none"/>
          <w:shd w:fill="auto" w:val="clear"/>
        </w:rPr>
      </w:pPr>
      <w:r>
        <w:rPr>
          <w:sz w:val="24"/>
          <w:szCs w:val="24"/>
          <w:shd w:fill="auto" w:val="clear"/>
        </w:rPr>
        <w:tab/>
        <w:t>Заявка на соответствующую партию Продукцию направляется по факсу/электронной почте/нарочно Поставщику в срок не</w:t>
      </w:r>
      <w:r>
        <w:rPr>
          <w:sz w:val="24"/>
          <w:szCs w:val="24"/>
          <w:shd w:fill="FFFFFF" w:val="clear"/>
        </w:rPr>
        <w:t xml:space="preserve"> менее 3 (три) календарных </w:t>
      </w:r>
      <w:r>
        <w:rPr>
          <w:sz w:val="24"/>
          <w:szCs w:val="24"/>
          <w:shd w:fill="auto" w:val="clear"/>
        </w:rPr>
        <w:t xml:space="preserve">дня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highlight w:val="none"/>
          <w:shd w:fill="auto" w:val="clear"/>
        </w:rPr>
      </w:pPr>
      <w:r>
        <w:rPr>
          <w:sz w:val="24"/>
          <w:szCs w:val="24"/>
          <w:shd w:fill="auto" w:val="clear"/>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Поставка по Договору выполняется для нужд </w:t>
      </w:r>
      <w:r>
        <w:rPr>
          <w:bCs/>
          <w:sz w:val="24"/>
          <w:szCs w:val="24"/>
          <w:shd w:fill="auto" w:val="clear"/>
        </w:rPr>
        <w:t>для нужд АО «Усть-Среднеканская ГЭС им. А.Ф. Дьякова»</w:t>
      </w:r>
      <w:r>
        <w:rPr>
          <w:sz w:val="24"/>
          <w:szCs w:val="24"/>
          <w:shd w:fill="auto" w:val="clear"/>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Место поставки: РФ, </w:t>
      </w:r>
      <w:r>
        <w:rPr>
          <w:bCs/>
          <w:sz w:val="24"/>
          <w:szCs w:val="24"/>
          <w:shd w:fill="auto" w:val="clear"/>
        </w:rPr>
        <w:t xml:space="preserve">Магаданская область, Среднеканский район, </w:t>
      </w:r>
      <w:r>
        <w:rPr>
          <w:bCs/>
          <w:sz w:val="24"/>
          <w:szCs w:val="24"/>
          <w:shd w:fill="auto" w:val="clear"/>
        </w:rPr>
        <w:t>п. Оротукан</w:t>
      </w:r>
      <w:r>
        <w:rPr>
          <w:sz w:val="24"/>
          <w:szCs w:val="24"/>
          <w:shd w:fill="auto" w:val="clear"/>
        </w:rPr>
        <w:t>.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Конечный срок поставки Продукции по договору: 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без учета НДС, при этом НДС исчисляется дополнительно по ставке, установленной ст. 164 Налогового кодекса Российской Федерации.</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Normal"/>
        <w:tabs>
          <w:tab w:val="clear" w:pos="720"/>
          <w:tab w:val="left" w:pos="851" w:leader="none"/>
        </w:tabs>
        <w:spacing w:before="0" w:after="120"/>
        <w:jc w:val="both"/>
        <w:rPr>
          <w:highlight w:val="none"/>
          <w:shd w:fill="auto" w:val="clear"/>
        </w:rPr>
      </w:pPr>
      <w:r>
        <w:rPr>
          <w:sz w:val="24"/>
          <w:szCs w:val="24"/>
          <w:shd w:fill="auto" w:val="clear"/>
        </w:rPr>
        <w:tab/>
        <w:t>(</w:t>
      </w:r>
      <w:r>
        <w:rPr>
          <w:i/>
          <w:sz w:val="24"/>
          <w:szCs w:val="24"/>
          <w:shd w:fill="auto" w:val="clear"/>
        </w:rPr>
        <w:t>указывается стоимость продукции, тары, упаковки, погрузки/разгрузки на складе поставщика, доставка (если предусмотрена),транспортные расходы, НДС по ставке предусмотренной законодательством).</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_________________________________________________________________</w:t>
      </w:r>
    </w:p>
    <w:p>
      <w:pPr>
        <w:pStyle w:val="Normal"/>
        <w:tabs>
          <w:tab w:val="clear" w:pos="720"/>
          <w:tab w:val="left" w:pos="0" w:leader="none"/>
          <w:tab w:val="left" w:pos="851" w:leader="none"/>
        </w:tabs>
        <w:spacing w:before="0" w:after="120"/>
        <w:ind w:firstLine="567"/>
        <w:jc w:val="both"/>
        <w:rPr>
          <w:highlight w:val="none"/>
          <w:shd w:fill="auto" w:val="clear"/>
        </w:rPr>
      </w:pPr>
      <w:r>
        <w:rPr>
          <w:bCs/>
          <w:sz w:val="24"/>
          <w:szCs w:val="24"/>
          <w:shd w:fill="auto" w:val="clear"/>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w:t>
      </w:r>
      <w:r>
        <w:rPr>
          <w:sz w:val="24"/>
          <w:szCs w:val="24"/>
          <w:shd w:fill="FFFFFF" w:val="clear"/>
        </w:rPr>
        <w:t xml:space="preserve">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FFFFFF" w:val="clear"/>
        </w:rPr>
      </w:pPr>
      <w:r>
        <w:rPr>
          <w:rFonts w:cs="Arial"/>
          <w:sz w:val="24"/>
          <w:szCs w:val="24"/>
          <w:shd w:fill="FFFFFF" w:val="clear"/>
        </w:rPr>
        <w:t>Цена единицы Продукции определена в Спецификации, является фиксированной и не подлежит изменению в одностороннем порядке</w:t>
      </w:r>
      <w:r>
        <w:rPr>
          <w:bCs/>
          <w:sz w:val="24"/>
          <w:szCs w:val="24"/>
          <w:shd w:fill="FFFFFF"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партии Продукции определяется Заявкой (по форме </w:t>
      </w:r>
      <w:r>
        <w:rPr>
          <w:b/>
          <w:sz w:val="24"/>
          <w:szCs w:val="24"/>
          <w:shd w:fill="auto" w:val="clear"/>
        </w:rPr>
        <w:t>Приложения № 2</w:t>
      </w:r>
      <w:r>
        <w:rPr>
          <w:sz w:val="24"/>
          <w:szCs w:val="24"/>
          <w:shd w:fill="auto" w:val="clear"/>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2.5.1. Авансовый платеж в размере 30 % от стоимости партии Продукции без учета НДС, кроме того НДС по ставке, установленной статьей 164 НК РФ на дату выплаты авансового платежа, согласно Заявке, подписанной с 2-х сторон,  выплачивается Покупателем при условии согласования Сторонами Спецификации в соответствии с пунктом 2.3 Договора в срок, не превышающий 30 (тридцать) календарных дней с даты подписания Заявки на</w:t>
      </w:r>
      <w:r>
        <w:rPr>
          <w:sz w:val="24"/>
          <w:szCs w:val="24"/>
          <w:shd w:fill="FFFFFF" w:val="clear"/>
        </w:rPr>
        <w:t xml:space="preserve"> соответствующую партию продукции и получения Покупателем уведомления от Поставщика о начале изготовления Продукции, но не ранее чем за 30 календарных дней до </w:t>
      </w:r>
      <w:r>
        <w:rPr>
          <w:rFonts w:cs="Arial"/>
          <w:sz w:val="24"/>
          <w:szCs w:val="24"/>
          <w:shd w:fill="FFFFFF" w:val="clear"/>
          <w:lang w:eastAsia="en-US"/>
        </w:rPr>
        <w:t>плановой даты начала изготовления Продукции</w:t>
      </w:r>
      <w:r>
        <w:rPr>
          <w:sz w:val="24"/>
          <w:szCs w:val="24"/>
          <w:shd w:fill="FFFFFF" w:val="clear"/>
        </w:rPr>
        <w:t>,  при условии получения Покупателем счета, выставленного Поставщиком. Авансовый платеж засчитывается в счет оплаты соответствующей партии Продукции.</w:t>
      </w:r>
    </w:p>
    <w:p>
      <w:pPr>
        <w:pStyle w:val="Normal"/>
        <w:shd w:val="clear" w:color="auto" w:fill="FFFFFF"/>
        <w:tabs>
          <w:tab w:val="clear" w:pos="720"/>
          <w:tab w:val="left" w:pos="567" w:leader="none"/>
          <w:tab w:val="left" w:pos="1440" w:leader="none"/>
        </w:tabs>
        <w:spacing w:before="0" w:after="120"/>
        <w:jc w:val="both"/>
        <w:rPr>
          <w:highlight w:val="none"/>
          <w:shd w:fill="FFFFFF" w:val="clear"/>
        </w:rPr>
      </w:pPr>
      <w:r>
        <w:rPr>
          <w:sz w:val="24"/>
          <w:szCs w:val="24"/>
          <w:shd w:fill="FFFFFF" w:val="clear"/>
        </w:rPr>
        <w:tab/>
        <w:t>2.5.2. Платеж в размере 60 % от стоимости поставленной партии Продукции, согласно Заявке, производится Покупателем в течение 30 (тридцати) календарных дней/</w:t>
      </w:r>
      <w:r>
        <w:rPr>
          <w:i/>
          <w:iCs/>
          <w:sz w:val="24"/>
          <w:szCs w:val="24"/>
          <w:shd w:fill="FFFFFF" w:val="clear"/>
        </w:rPr>
        <w:t xml:space="preserve">7 (семи) рабочих дней (для Договоров, заключенных с МСП по результатам закупочных процедур только среди МСП, </w:t>
      </w:r>
      <w:r>
        <w:rPr>
          <w:rFonts w:cs="Arial"/>
          <w:i/>
          <w:iCs/>
          <w:sz w:val="24"/>
          <w:szCs w:val="24"/>
          <w:shd w:fill="FFFFFF" w:val="clear"/>
        </w:rPr>
        <w:t>а также в случае, если по результатам закупки среди любых участников победителем закупки признан МСП</w:t>
      </w:r>
      <w:r>
        <w:rPr>
          <w:i/>
          <w:iCs/>
          <w:sz w:val="24"/>
          <w:szCs w:val="24"/>
          <w:shd w:fill="FFFFFF" w:val="clear"/>
        </w:rPr>
        <w:t>)</w:t>
      </w:r>
      <w:r>
        <w:rPr>
          <w:sz w:val="24"/>
          <w:szCs w:val="24"/>
          <w:shd w:fill="FFFFFF" w:val="clear"/>
        </w:rPr>
        <w:t xml:space="preserve"> с даты подписания Товарной накладной по форме ТОРГ-12/Универсального передаточного документа (УПД), при условии получении счета, выставленного Поставщиком.</w:t>
      </w:r>
      <w:r>
        <w:rPr>
          <w:shd w:fill="FFFFFF" w:val="clear"/>
        </w:rPr>
        <w:t xml:space="preserve"> П</w:t>
      </w:r>
      <w:r>
        <w:rPr>
          <w:sz w:val="24"/>
          <w:szCs w:val="24"/>
          <w:shd w:fill="FFFFFF" w:val="clear"/>
        </w:rPr>
        <w:t>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highlight w:val="none"/>
          <w:shd w:fill="FFFFFF" w:val="clear"/>
        </w:rPr>
      </w:pPr>
      <w:r>
        <w:rPr>
          <w:sz w:val="24"/>
          <w:szCs w:val="24"/>
          <w:shd w:fill="FFFFFF" w:val="clear"/>
        </w:rPr>
        <w:tab/>
        <w:t>2.5.3. Обеспечительный платеж в размере 10 (десять)</w:t>
      </w:r>
      <w:r>
        <w:rPr>
          <w:i/>
          <w:sz w:val="24"/>
          <w:szCs w:val="24"/>
          <w:shd w:fill="FFFFFF" w:val="clear"/>
        </w:rPr>
        <w:t xml:space="preserve"> </w:t>
      </w:r>
      <w:r>
        <w:rPr>
          <w:sz w:val="24"/>
          <w:szCs w:val="24"/>
          <w:shd w:fill="FFFFFF" w:val="clear"/>
        </w:rPr>
        <w:t xml:space="preserve">%  от </w:t>
      </w:r>
      <w:r>
        <w:rPr>
          <w:rFonts w:cs="Arial"/>
          <w:sz w:val="24"/>
          <w:szCs w:val="24"/>
          <w:shd w:fill="FFFFFF" w:val="clear"/>
          <w:lang w:eastAsia="en-US"/>
        </w:rPr>
        <w:t>стоимости поставленной партии Продукции по Договору, согласно Заявке, производится в течение 30 (тридцати) календарных дней/</w:t>
      </w:r>
      <w:r>
        <w:rPr>
          <w:rFonts w:cs="Arial"/>
          <w:i/>
          <w:iCs/>
          <w:sz w:val="24"/>
          <w:szCs w:val="24"/>
          <w:shd w:fill="FFFFFF" w:val="clear"/>
          <w:lang w:eastAsia="en-US"/>
        </w:rPr>
        <w:t>7 (семи) рабочих дней (для Договоров, заключенных с МСП по результатам закупочных процедур только среди МСП, а также в случае, если по результатам закупки среди любых участников победителем закупки признан МСП)</w:t>
      </w:r>
      <w:r>
        <w:rPr>
          <w:rFonts w:cs="Arial"/>
          <w:sz w:val="24"/>
          <w:szCs w:val="24"/>
          <w:shd w:fill="FFFFFF" w:val="clear"/>
          <w:lang w:eastAsia="en-US"/>
        </w:rPr>
        <w:t xml:space="preserve"> с даты получения Покупателем счета, выставленного Поставщиком, но не ранее 70 (семидесяти) календарных дней с даты исполнения Поставщиком всех обязательств по Договору, в т.ч. гарантийных обязательств при отсутствии претензий и требований со стороны Покупателя и с учетом п. 2.6. Договора. Любое требование Поставщика о выплате Обеспечительного платежа до наступления установленного Договором срока не подлежит удовлетворению</w:t>
      </w:r>
      <w:r>
        <w:rPr>
          <w:sz w:val="24"/>
          <w:szCs w:val="24"/>
          <w:shd w:fill="FFFFFF" w:val="clear"/>
        </w:rPr>
        <w:t>.</w:t>
      </w:r>
      <w:r>
        <w:rPr>
          <w:shd w:fill="FFFFFF" w:val="clear"/>
        </w:rPr>
        <w:t xml:space="preserve"> </w:t>
      </w:r>
    </w:p>
    <w:p>
      <w:pPr>
        <w:pStyle w:val="ListParagraph"/>
        <w:shd w:val="clear" w:color="auto" w:fill="FFFFFF"/>
        <w:tabs>
          <w:tab w:val="clear" w:pos="720"/>
          <w:tab w:val="left" w:pos="851" w:leader="none"/>
        </w:tabs>
        <w:spacing w:before="0" w:after="120"/>
        <w:ind w:left="720" w:hanging="0"/>
        <w:contextualSpacing w:val="false"/>
        <w:jc w:val="both"/>
        <w:rPr>
          <w:highlight w:val="none"/>
          <w:shd w:fill="FFFFFF" w:val="clear"/>
        </w:rPr>
      </w:pPr>
      <w:r>
        <w:rPr>
          <w:sz w:val="24"/>
          <w:szCs w:val="24"/>
          <w:shd w:fill="FFFFFF" w:val="clear"/>
        </w:rPr>
        <w:tab/>
        <w:t>2.5.4 Если сумма авансового платежа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w:t>
      </w:r>
      <w:r>
        <w:rPr>
          <w:sz w:val="24"/>
          <w:shd w:fill="FFFFFF" w:val="clear"/>
          <w:vertAlign w:val="superscript"/>
        </w:rPr>
        <w:t xml:space="preserve"> </w:t>
      </w:r>
      <w:r>
        <w:rPr>
          <w:sz w:val="24"/>
          <w:szCs w:val="24"/>
          <w:shd w:fill="FFFFFF" w:val="clear"/>
        </w:rPr>
        <w:t>в виде банковской гарантии, оформленной в соответствии с требованиями Приложения № 4 к Договору.</w:t>
      </w:r>
    </w:p>
    <w:p>
      <w:pPr>
        <w:pStyle w:val="Normal"/>
        <w:shd w:val="clear" w:color="auto" w:fill="FFFFFF"/>
        <w:tabs>
          <w:tab w:val="clear" w:pos="720"/>
          <w:tab w:val="left" w:pos="567" w:leader="none"/>
          <w:tab w:val="left" w:pos="1440" w:leader="none"/>
        </w:tabs>
        <w:spacing w:before="0" w:after="120"/>
        <w:jc w:val="both"/>
        <w:rPr>
          <w:highlight w:val="none"/>
          <w:shd w:fill="FFFFFF" w:val="clear"/>
        </w:rPr>
      </w:pPr>
      <w:r>
        <w:rPr>
          <w:sz w:val="24"/>
          <w:szCs w:val="24"/>
          <w:shd w:fill="FFFFFF" w:val="clear"/>
        </w:rPr>
        <w:tab/>
        <w:t xml:space="preserve">В случае отзыва лицензии Банка-Гаранта банковская гарантия в обеспечение возврата предварительной оплаты (аванса) должна быть заменена на новую банковскую гарантию другого Банка-Гаранта в течение 30 (тридцати) календарных дней с даты отзыва лицензии Банка-Гаранта. </w:t>
      </w:r>
    </w:p>
    <w:p>
      <w:pPr>
        <w:pStyle w:val="Normal"/>
        <w:shd w:val="clear" w:color="auto" w:fill="FFFFFF"/>
        <w:tabs>
          <w:tab w:val="clear" w:pos="720"/>
          <w:tab w:val="left" w:pos="567" w:leader="none"/>
          <w:tab w:val="left" w:pos="1440" w:leader="none"/>
        </w:tabs>
        <w:spacing w:before="0" w:after="120"/>
        <w:jc w:val="both"/>
        <w:rPr>
          <w:highlight w:val="none"/>
          <w:shd w:fill="FFFFFF" w:val="clear"/>
        </w:rPr>
      </w:pPr>
      <w:r>
        <w:rPr>
          <w:sz w:val="24"/>
          <w:szCs w:val="24"/>
          <w:shd w:fill="FFFFFF" w:val="clear"/>
        </w:rPr>
        <w:tab/>
      </w:r>
      <w:r>
        <w:rPr>
          <w:rFonts w:cs="Times New Roman"/>
          <w:sz w:val="24"/>
          <w:szCs w:val="24"/>
          <w:shd w:fill="FFFFFF" w:val="clear"/>
        </w:rPr>
        <w:t>Банковская гарантия также должна быть заменена на новую банковскую гарантию другого Банка-Гаранта не позднее 10 (десяти) календарных дней с момента, когда Покупателю стало известно либо должно было стать известным об отзыве лицензии у Банка-Гаранта, либо с момента обращения Поставщика с требованием о замене банковской гарантии.</w:t>
      </w:r>
    </w:p>
    <w:p>
      <w:pPr>
        <w:pStyle w:val="Normal"/>
        <w:shd w:val="clear" w:color="auto" w:fill="FFFFFF"/>
        <w:tabs>
          <w:tab w:val="clear" w:pos="720"/>
          <w:tab w:val="left" w:pos="567" w:leader="none"/>
          <w:tab w:val="left" w:pos="1440" w:leader="none"/>
        </w:tabs>
        <w:spacing w:before="0" w:after="120"/>
        <w:jc w:val="both"/>
        <w:rPr>
          <w:highlight w:val="none"/>
          <w:shd w:fill="FFFFFF" w:val="clear"/>
        </w:rPr>
      </w:pPr>
      <w:r>
        <w:rPr>
          <w:sz w:val="24"/>
          <w:szCs w:val="24"/>
          <w:shd w:fill="FFFFFF" w:val="clear"/>
        </w:rPr>
        <w:tab/>
        <w:t>В случае непредставления Поставщиком в установленный срок новой банковской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highlight w:val="none"/>
          <w:shd w:fill="FFFFFF" w:val="clear"/>
        </w:rPr>
      </w:pPr>
      <w:r>
        <w:rPr>
          <w:sz w:val="24"/>
          <w:szCs w:val="24"/>
          <w:shd w:fill="FFFFFF" w:val="clear"/>
        </w:rPr>
        <w:tab/>
        <w:t>За непредоставление либо несвоевременное предоставление/ переоформление Поставщиком банковской гарантии, предусмотренной Договором, Покупатель имеет право начислить пени в размере 0,03 (ноль целых и три сотых) процента от цены Договора за каждый день просрочки.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FFFFFF" w:val="clear"/>
        </w:rPr>
      </w:pPr>
      <w:r>
        <w:rPr>
          <w:sz w:val="24"/>
          <w:szCs w:val="24"/>
          <w:shd w:fill="FFFFFF" w:val="clear"/>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FFFFFF" w:val="clear"/>
        </w:rPr>
      </w:pPr>
      <w:r>
        <w:rPr>
          <w:sz w:val="24"/>
          <w:szCs w:val="24"/>
          <w:shd w:fill="FFFFFF" w:val="clear"/>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FFFFFF" w:val="clear"/>
        </w:rPr>
      </w:pPr>
      <w:r>
        <w:rPr>
          <w:sz w:val="24"/>
          <w:szCs w:val="24"/>
          <w:shd w:fill="FFFFFF"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FFFFFF" w:val="clear"/>
        </w:rPr>
      </w:pPr>
      <w:r>
        <w:rPr>
          <w:sz w:val="24"/>
          <w:szCs w:val="24"/>
          <w:shd w:fill="FFFFFF" w:val="clear"/>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FFFF" w:val="clear"/>
        </w:rPr>
      </w:pPr>
      <w:r>
        <w:rPr>
          <w:sz w:val="24"/>
          <w:szCs w:val="24"/>
          <w:shd w:fill="FFFFFF"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FFFF" w:val="clear"/>
        </w:rPr>
      </w:pPr>
      <w:r>
        <w:rPr>
          <w:sz w:val="24"/>
          <w:szCs w:val="24"/>
          <w:shd w:fill="FFFFFF"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FFFFFF" w:val="clear"/>
        </w:rPr>
      </w:pPr>
      <w:r>
        <w:rPr>
          <w:sz w:val="24"/>
          <w:szCs w:val="24"/>
          <w:shd w:fill="FFFFFF"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FFFFFF" w:val="clear"/>
        </w:rPr>
      </w:pPr>
      <w:r>
        <w:rPr>
          <w:sz w:val="24"/>
          <w:szCs w:val="24"/>
          <w:shd w:fill="FFFFFF"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FFFF" w:val="clear"/>
        </w:rPr>
      </w:pPr>
      <w:r>
        <w:rPr>
          <w:sz w:val="24"/>
          <w:szCs w:val="24"/>
          <w:shd w:fill="FFFFFF" w:val="clear"/>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Сертификат качества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Технический паспорт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Инструкция по эксплуатации (монтажу и т.п.) на русском языке в ____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Упаковочный лист на Продукцию (каждую партию отгруженной Продукции) ___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____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Товарную накладную по форме ТОРГ-12 или Универсальный передаточный документ (УПД) с обязательным указанием номера и даты Заявки-Спецификации в _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FFFFFF" w:val="clear"/>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FFFFFF" w:val="clear"/>
        </w:rPr>
        <w:t>товарно-транспортной накладной по форме №1-Т</w:t>
      </w:r>
      <w:r>
        <w:rPr>
          <w:sz w:val="24"/>
          <w:szCs w:val="24"/>
          <w:shd w:fill="FFFFFF" w:val="clear"/>
        </w:rPr>
        <w:t xml:space="preserve">. В случае отсутствия замечаний Покупатель подписывает </w:t>
      </w:r>
      <w:r>
        <w:rPr>
          <w:color w:val="000000"/>
          <w:sz w:val="24"/>
          <w:szCs w:val="24"/>
          <w:shd w:fill="FFFFFF"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5 (пяти)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На Продукцию устанавливается гарантийный срок, равный не менее 2/3 (двух третей), исчисляемый с даты подписания Сторонами соответствующей товарной накладной по форме ТОРГ-12/УПД.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shd w:fill="FFFFFF" w:val="clear"/>
        </w:rPr>
        <w:t>Покупателем в соответствии с п. 3.14. Договора</w:t>
      </w:r>
      <w:bookmarkEnd w:id="1"/>
      <w:bookmarkEnd w:id="2"/>
      <w:r>
        <w:rPr>
          <w:sz w:val="24"/>
          <w:szCs w:val="24"/>
          <w:shd w:fill="FFFFFF"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FFFFFF" w:val="clear"/>
        </w:rPr>
      </w:pPr>
      <w:r>
        <w:rPr>
          <w:sz w:val="24"/>
          <w:szCs w:val="24"/>
          <w:shd w:fill="FFFFFF"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FFFFFF" w:val="clear"/>
        </w:rPr>
      </w:pPr>
      <w:r>
        <w:rPr>
          <w:sz w:val="24"/>
          <w:szCs w:val="24"/>
          <w:shd w:fill="FFFFFF"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FFFFFF" w:val="clear"/>
        </w:rPr>
      </w:pPr>
      <w:r>
        <w:rPr>
          <w:sz w:val="24"/>
          <w:szCs w:val="24"/>
          <w:shd w:fill="FFFFFF" w:val="clear"/>
        </w:rPr>
        <w:t>Поставка Продукции по Договору осуществляется Поставщиком в соответствии с Заявками в Место поставки согласно п. 1.4.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FFFFFF" w:val="clear"/>
        </w:rPr>
      </w:pPr>
      <w:r>
        <w:rPr>
          <w:sz w:val="24"/>
          <w:szCs w:val="24"/>
          <w:shd w:fill="FFFFFF"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0,1 % от суммы, в отношении которой допущена просрочка оплаты, за каждый день просрочки, начиная с 31 (тридцать первого) календарного дня просрочки (неустойка с 1 по 30 день просрочки не начисляется),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 3.14 Договора, Покупатель вправе потребовать уплаты Поставщиком неустойки в размере 0,1 %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highlight w:val="none"/>
          <w:shd w:fill="FFFFFF" w:val="clear"/>
        </w:rPr>
      </w:pPr>
      <w:r>
        <w:rPr>
          <w:sz w:val="24"/>
          <w:szCs w:val="24"/>
          <w:shd w:fill="FFFFFF"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highlight w:val="none"/>
          <w:shd w:fill="FFFFFF" w:val="clear"/>
        </w:rPr>
      </w:pPr>
      <w:r>
        <w:rPr>
          <w:sz w:val="24"/>
          <w:szCs w:val="24"/>
          <w:shd w:fill="FFFFFF" w:val="clear"/>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highlight w:val="none"/>
          <w:shd w:fill="FFFFFF" w:val="clear"/>
        </w:rPr>
      </w:pPr>
      <w:r>
        <w:rPr>
          <w:sz w:val="24"/>
          <w:szCs w:val="24"/>
          <w:shd w:fill="FFFFFF" w:val="clear"/>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highlight w:val="none"/>
          <w:shd w:fill="FFFFFF" w:val="clear"/>
        </w:rPr>
      </w:pPr>
      <w:r>
        <w:rPr>
          <w:sz w:val="24"/>
          <w:szCs w:val="24"/>
          <w:shd w:fill="FFFFFF" w:val="clear"/>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highlight w:val="none"/>
          <w:shd w:fill="FFFFFF" w:val="clear"/>
        </w:rPr>
      </w:pPr>
      <w:r>
        <w:rPr>
          <w:sz w:val="24"/>
          <w:szCs w:val="24"/>
          <w:shd w:fill="FFFFFF" w:val="clear"/>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 xml:space="preserve">протокол общего собрания учредителей/решение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список участников Общества на последнюю отчетную дату;</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highlight w:val="none"/>
          <w:shd w:fill="FFFFFF" w:val="clear"/>
        </w:rPr>
      </w:pPr>
      <w:r>
        <w:rPr>
          <w:sz w:val="24"/>
          <w:szCs w:val="24"/>
          <w:shd w:fill="FFFFFF"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highlight w:val="none"/>
          <w:shd w:fill="FFFFFF" w:val="clear"/>
        </w:rPr>
      </w:pPr>
      <w:r>
        <w:rPr>
          <w:sz w:val="24"/>
          <w:szCs w:val="24"/>
          <w:shd w:fill="FFFFFF" w:val="clear"/>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highlight w:val="none"/>
          <w:shd w:fill="FFFFFF" w:val="clear"/>
        </w:rPr>
      </w:pPr>
      <w:r>
        <w:rPr>
          <w:sz w:val="24"/>
          <w:szCs w:val="24"/>
          <w:shd w:fill="FFFFFF" w:val="clear"/>
        </w:rPr>
        <w:t>выписка из торгового реестра страны инкорпорации;</w:t>
      </w:r>
    </w:p>
    <w:p>
      <w:pPr>
        <w:pStyle w:val="Normal"/>
        <w:numPr>
          <w:ilvl w:val="0"/>
          <w:numId w:val="8"/>
        </w:numPr>
        <w:spacing w:before="0" w:after="120"/>
        <w:ind w:left="709" w:hanging="283"/>
        <w:outlineLvl w:val="0"/>
        <w:rPr>
          <w:highlight w:val="none"/>
          <w:shd w:fill="FFFFFF" w:val="clear"/>
        </w:rPr>
      </w:pPr>
      <w:r>
        <w:rPr>
          <w:sz w:val="24"/>
          <w:szCs w:val="24"/>
          <w:shd w:fill="FFFFFF"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FFFFFF" w:val="clear"/>
        </w:rPr>
      </w:pPr>
      <w:r>
        <w:rPr>
          <w:sz w:val="24"/>
          <w:szCs w:val="24"/>
          <w:shd w:fill="FFFFFF"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highlight w:val="none"/>
          <w:shd w:fill="FFFFFF" w:val="clear"/>
        </w:rPr>
      </w:pPr>
      <w:r>
        <w:rPr>
          <w:sz w:val="24"/>
          <w:szCs w:val="24"/>
          <w:shd w:fill="FFFFFF" w:val="clear"/>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highlight w:val="none"/>
          <w:shd w:fill="FFFFFF" w:val="clear"/>
        </w:rPr>
      </w:pPr>
      <w:r>
        <w:rPr>
          <w:sz w:val="24"/>
          <w:szCs w:val="24"/>
          <w:shd w:fill="FFFFFF" w:val="clear"/>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highlight w:val="none"/>
          <w:shd w:fill="FFFFFF" w:val="clear"/>
        </w:rPr>
      </w:pPr>
      <w:r>
        <w:rPr>
          <w:sz w:val="24"/>
          <w:szCs w:val="24"/>
          <w:shd w:fill="FFFFFF" w:val="clear"/>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highlight w:val="none"/>
          <w:shd w:fill="FFFFFF" w:val="clear"/>
        </w:rPr>
      </w:pPr>
      <w:r>
        <w:rPr>
          <w:sz w:val="24"/>
          <w:szCs w:val="24"/>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highlight w:val="none"/>
          <w:shd w:fill="FFFFFF" w:val="clear"/>
        </w:rPr>
      </w:pPr>
      <w:r>
        <w:rPr>
          <w:sz w:val="24"/>
          <w:szCs w:val="24"/>
          <w:shd w:fill="FFFFFF" w:val="clear"/>
        </w:rPr>
        <w:t xml:space="preserve">Каналы связи «Линия доверия» ПАО «РусГидро»: </w:t>
      </w:r>
    </w:p>
    <w:p>
      <w:pPr>
        <w:pStyle w:val="Normal"/>
        <w:numPr>
          <w:ilvl w:val="0"/>
          <w:numId w:val="0"/>
        </w:numPr>
        <w:tabs>
          <w:tab w:val="clear" w:pos="720"/>
          <w:tab w:val="left" w:pos="567" w:leader="none"/>
        </w:tabs>
        <w:spacing w:before="0" w:after="120"/>
        <w:ind w:left="0" w:hanging="0"/>
        <w:jc w:val="both"/>
        <w:outlineLvl w:val="0"/>
        <w:rPr/>
      </w:pPr>
      <w:r>
        <w:rPr>
          <w:sz w:val="24"/>
          <w:szCs w:val="24"/>
          <w:shd w:fill="FFFFFF" w:val="clear"/>
        </w:rPr>
        <w:t xml:space="preserve">Телефон автоответчика:  +7 (495) 710 54 63 и форма обратной связи на сайте </w:t>
      </w:r>
      <w:hyperlink r:id="rId2">
        <w:r>
          <w:rPr>
            <w:sz w:val="24"/>
            <w:szCs w:val="24"/>
            <w:shd w:fill="FFFFFF" w:val="clear"/>
          </w:rPr>
          <w:t>http://www.rushydro.ru</w:t>
        </w:r>
      </w:hyperlink>
      <w:hyperlink r:id="rId3">
        <w:r>
          <w:rPr>
            <w:sz w:val="24"/>
            <w:szCs w:val="24"/>
            <w:shd w:fill="FFFFFF" w:val="clear"/>
          </w:rPr>
          <w:t>/</w:t>
        </w:r>
      </w:hyperlink>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FFFFFF" w:val="clear"/>
        </w:rPr>
      </w:pPr>
      <w:r>
        <w:rPr>
          <w:b/>
          <w:bCs/>
          <w:sz w:val="24"/>
          <w:szCs w:val="24"/>
          <w:shd w:fill="FFFFFF"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FFFFFF"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sz w:val="24"/>
            <w:szCs w:val="24"/>
            <w:shd w:fill="FFFFFF" w:val="clear"/>
          </w:rPr>
          <w:t>№ 18162/09</w:t>
        </w:r>
      </w:hyperlink>
      <w:r>
        <w:rPr>
          <w:sz w:val="24"/>
          <w:szCs w:val="24"/>
          <w:shd w:fill="FFFFFF" w:val="clear"/>
        </w:rPr>
        <w:t xml:space="preserve"> и от 25.05.2010 </w:t>
      </w:r>
      <w:hyperlink r:id="rId5">
        <w:r>
          <w:rPr>
            <w:sz w:val="24"/>
            <w:szCs w:val="24"/>
            <w:shd w:fill="FFFFFF" w:val="clear"/>
          </w:rPr>
          <w:t>№ 15658/09</w:t>
        </w:r>
      </w:hyperlink>
      <w:r>
        <w:rPr>
          <w:sz w:val="24"/>
          <w:szCs w:val="24"/>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6">
        <w:r>
          <w:rPr>
            <w:sz w:val="24"/>
            <w:szCs w:val="24"/>
            <w:shd w:fill="FFFFFF" w:val="clear"/>
          </w:rPr>
          <w:t>Критери</w:t>
        </w:r>
      </w:hyperlink>
      <w:r>
        <w:rPr>
          <w:sz w:val="24"/>
          <w:szCs w:val="24"/>
          <w:shd w:fill="FFFFFF"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FFFFFF" w:val="clear"/>
        </w:rPr>
      </w:pPr>
      <w:r>
        <w:rPr>
          <w:sz w:val="24"/>
          <w:szCs w:val="24"/>
          <w:shd w:fill="FFFFFF"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Форс</w:t>
      </w:r>
      <w:r>
        <w:rPr>
          <w:b/>
          <w:bCs/>
          <w:sz w:val="24"/>
          <w:szCs w:val="24"/>
          <w:shd w:fill="FFFFFF"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FFFFFF" w:val="clear"/>
        </w:rPr>
      </w:pPr>
      <w:r>
        <w:rPr>
          <w:bCs/>
          <w:sz w:val="24"/>
          <w:szCs w:val="24"/>
          <w:shd w:fill="FFFFFF"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FFFFFF" w:val="clear"/>
        </w:rPr>
      </w:pPr>
      <w:r>
        <w:rPr>
          <w:bCs/>
          <w:sz w:val="24"/>
          <w:szCs w:val="24"/>
          <w:shd w:fill="FFFFFF"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FFFFFF" w:val="clear"/>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FFFFFF" w:val="clear"/>
        </w:rPr>
      </w:pPr>
      <w:r>
        <w:rPr>
          <w:sz w:val="24"/>
          <w:szCs w:val="24"/>
          <w:shd w:fill="FFFFFF"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FFFFFF" w:val="clear"/>
        </w:rPr>
      </w:pPr>
      <w:r>
        <w:rPr>
          <w:sz w:val="24"/>
          <w:szCs w:val="24"/>
          <w:shd w:fill="FFFFFF"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FFFFFF" w:val="clear"/>
        </w:rPr>
      </w:pPr>
      <w:r>
        <w:rPr>
          <w:sz w:val="24"/>
          <w:szCs w:val="24"/>
          <w:shd w:fill="FFFFFF"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 </w:t>
      </w:r>
      <w:r>
        <w:rPr>
          <w:sz w:val="24"/>
          <w:szCs w:val="24"/>
          <w:shd w:fill="FFFFFF"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 </w:t>
      </w:r>
      <w:r>
        <w:rPr>
          <w:sz w:val="24"/>
          <w:szCs w:val="24"/>
          <w:shd w:fill="FFFFFF"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ListParagraph"/>
        <w:shd w:val="clear" w:color="auto" w:fill="FFFFFF"/>
        <w:spacing w:before="0" w:after="120"/>
        <w:ind w:left="567" w:hanging="0"/>
        <w:contextualSpacing w:val="false"/>
        <w:jc w:val="both"/>
        <w:rPr>
          <w:sz w:val="24"/>
          <w:szCs w:val="24"/>
          <w:highlight w:val="none"/>
          <w:shd w:fill="FFFFFF" w:val="clear"/>
        </w:rPr>
      </w:pPr>
      <w:r>
        <w:rPr>
          <w:sz w:val="24"/>
          <w:szCs w:val="24"/>
          <w:shd w:fill="FFFFFF" w:val="clear"/>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FFFFFF" w:val="clear"/>
        </w:rPr>
      </w:pPr>
      <w:r>
        <w:rPr>
          <w:b/>
          <w:bCs/>
          <w:sz w:val="24"/>
          <w:szCs w:val="24"/>
          <w:shd w:fill="FFFFFF"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FFFFFF"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FFFFFF" w:val="clear"/>
        </w:rPr>
      </w:pPr>
      <w:r>
        <w:rPr>
          <w:sz w:val="24"/>
          <w:szCs w:val="24"/>
          <w:shd w:fill="FFFFFF"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Стороны установили, что существенным нарушением Договора Поставщиком является</w:t>
      </w:r>
      <w:r>
        <w:rPr>
          <w:shd w:fill="FFFFFF" w:val="clear"/>
        </w:rPr>
        <w:t>:</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FFFFFF" w:val="clear"/>
        </w:rPr>
      </w:pPr>
      <w:r>
        <w:rPr>
          <w:sz w:val="24"/>
          <w:szCs w:val="24"/>
          <w:shd w:fill="FFFFFF"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FFFFFF" w:val="clear"/>
        </w:rPr>
      </w:pPr>
      <w:r>
        <w:rPr>
          <w:sz w:val="24"/>
          <w:szCs w:val="24"/>
          <w:shd w:fill="FFFFFF"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highlight w:val="none"/>
          <w:shd w:fill="FFFFFF" w:val="clear"/>
        </w:rPr>
      </w:pPr>
      <w:r>
        <w:rPr>
          <w:b/>
          <w:bCs/>
          <w:sz w:val="24"/>
          <w:szCs w:val="24"/>
          <w:shd w:fill="FFFFFF" w:val="clear"/>
        </w:rPr>
        <w:t>Заверения</w:t>
      </w:r>
      <w:r>
        <w:rPr>
          <w:b/>
          <w:sz w:val="24"/>
          <w:szCs w:val="24"/>
          <w:shd w:fill="FFFFFF"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bCs/>
          <w:sz w:val="24"/>
          <w:szCs w:val="24"/>
          <w:shd w:fill="FFFFFF" w:val="clear"/>
        </w:rPr>
        <w:t>Каждая</w:t>
      </w:r>
      <w:r>
        <w:rPr>
          <w:sz w:val="24"/>
          <w:szCs w:val="24"/>
          <w:shd w:fill="FFFFFF" w:val="clear"/>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highlight w:val="none"/>
          <w:shd w:fill="FFFFFF" w:val="clear"/>
        </w:rPr>
      </w:pPr>
      <w:r>
        <w:rPr>
          <w:sz w:val="24"/>
          <w:szCs w:val="24"/>
          <w:shd w:fill="FFFFFF"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highlight w:val="none"/>
          <w:shd w:fill="FFFFFF" w:val="clear"/>
        </w:rPr>
      </w:pPr>
      <w:r>
        <w:rPr>
          <w:sz w:val="24"/>
          <w:szCs w:val="24"/>
          <w:shd w:fill="FFFFFF"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FFFFFF" w:val="clear"/>
        </w:rPr>
      </w:pPr>
      <w:r>
        <w:rPr>
          <w:sz w:val="24"/>
          <w:szCs w:val="24"/>
          <w:shd w:fill="FFFFFF" w:val="clear"/>
        </w:rPr>
        <w:t xml:space="preserve">В случае, если при заключении Договора Поставщик предоставил </w:t>
      </w:r>
      <w:r>
        <w:rPr>
          <w:bCs/>
          <w:sz w:val="24"/>
          <w:szCs w:val="24"/>
          <w:shd w:fill="FFFFFF" w:val="clear"/>
        </w:rPr>
        <w:t>Покупателю</w:t>
      </w:r>
      <w:r>
        <w:rPr>
          <w:sz w:val="24"/>
          <w:szCs w:val="24"/>
          <w:shd w:fill="FFFFFF"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FFFFFF" w:val="clear"/>
        </w:rPr>
        <w:t xml:space="preserve">Поставщик </w:t>
      </w:r>
      <w:r>
        <w:rPr>
          <w:sz w:val="24"/>
          <w:szCs w:val="24"/>
          <w:shd w:fill="FFFFFF" w:val="clear"/>
        </w:rPr>
        <w:t xml:space="preserve">обязан по требованию </w:t>
      </w:r>
      <w:r>
        <w:rPr>
          <w:bCs/>
          <w:sz w:val="24"/>
          <w:szCs w:val="24"/>
          <w:shd w:fill="FFFFFF" w:val="clear"/>
        </w:rPr>
        <w:t>Покупателя</w:t>
      </w:r>
      <w:r>
        <w:rPr>
          <w:sz w:val="24"/>
          <w:szCs w:val="24"/>
          <w:shd w:fill="FFFFFF"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FFFFFF" w:val="clear"/>
        </w:rPr>
      </w:pPr>
      <w:r>
        <w:rPr>
          <w:sz w:val="24"/>
          <w:szCs w:val="24"/>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Документ</w:t>
      </w:r>
      <w:r>
        <w:rPr>
          <w:bCs/>
          <w:sz w:val="24"/>
          <w:szCs w:val="24"/>
          <w:shd w:fill="FFFFFF"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FFFFFF" w:val="clear"/>
        </w:rPr>
      </w:pPr>
      <w:r>
        <w:rPr>
          <w:bCs/>
          <w:sz w:val="24"/>
          <w:szCs w:val="24"/>
          <w:shd w:fill="FFFFFF"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FFFFFF" w:val="clear"/>
        </w:rPr>
      </w:pPr>
      <w:r>
        <w:rPr>
          <w:bCs/>
          <w:sz w:val="24"/>
          <w:szCs w:val="24"/>
          <w:shd w:fill="FFFFFF"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FFFFFF" w:val="clear"/>
        </w:rPr>
      </w:pPr>
      <w:r>
        <w:rPr>
          <w:sz w:val="24"/>
          <w:szCs w:val="24"/>
          <w:shd w:fill="FFFFFF" w:val="clear"/>
        </w:rPr>
        <w:t>Договор</w:t>
      </w:r>
      <w:r>
        <w:rPr>
          <w:bCs/>
          <w:sz w:val="24"/>
          <w:szCs w:val="24"/>
          <w:shd w:fill="FFFFFF" w:val="clear"/>
        </w:rPr>
        <w:t xml:space="preserve"> составлен в двух оригинальных экземплярах, по одному для каждой из Сторон.</w:t>
      </w:r>
    </w:p>
    <w:p>
      <w:pPr>
        <w:pStyle w:val="Normal"/>
        <w:widowControl w:val="false"/>
        <w:numPr>
          <w:ilvl w:val="0"/>
          <w:numId w:val="0"/>
        </w:numPr>
        <w:shd w:val="clear" w:color="auto" w:fill="FFFFFF"/>
        <w:ind w:left="360" w:hanging="0"/>
        <w:jc w:val="center"/>
        <w:rPr>
          <w:highlight w:val="none"/>
          <w:shd w:fill="FFFFFF" w:val="clear"/>
        </w:rPr>
      </w:pPr>
      <w:r>
        <w:rPr>
          <w:shd w:fill="FFFFFF"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Приложения к Договору</w:t>
      </w:r>
    </w:p>
    <w:p>
      <w:pPr>
        <w:pStyle w:val="Heading3"/>
        <w:keepNext w:val="false"/>
        <w:tabs>
          <w:tab w:val="clear" w:pos="0"/>
        </w:tabs>
        <w:overflowPunct w:val="false"/>
        <w:spacing w:before="0" w:after="120"/>
        <w:ind w:left="567" w:hanging="0"/>
        <w:jc w:val="both"/>
        <w:textAlignment w:val="baseline"/>
        <w:rPr>
          <w:highlight w:val="none"/>
          <w:shd w:fill="FFFFFF" w:val="clear"/>
        </w:rPr>
      </w:pPr>
      <w:bookmarkStart w:id="4" w:name="sub_1"/>
      <w:bookmarkEnd w:id="4"/>
      <w:r>
        <w:rPr>
          <w:b w:val="false"/>
          <w:sz w:val="24"/>
          <w:szCs w:val="24"/>
          <w:shd w:fill="FFFFFF" w:val="clear"/>
        </w:rPr>
        <w:t>- Приложение № 1 – Спецификация.</w:t>
      </w:r>
    </w:p>
    <w:p>
      <w:pPr>
        <w:pStyle w:val="Heading3"/>
        <w:keepNext w:val="false"/>
        <w:tabs>
          <w:tab w:val="clear" w:pos="0"/>
        </w:tabs>
        <w:overflowPunct w:val="false"/>
        <w:spacing w:before="0" w:after="120"/>
        <w:ind w:left="567" w:hanging="0"/>
        <w:jc w:val="both"/>
        <w:textAlignment w:val="baseline"/>
        <w:rPr>
          <w:highlight w:val="none"/>
          <w:shd w:fill="FFFFFF" w:val="clear"/>
        </w:rPr>
      </w:pPr>
      <w:r>
        <w:rPr>
          <w:b w:val="false"/>
          <w:sz w:val="24"/>
          <w:szCs w:val="24"/>
          <w:shd w:fill="FFFFFF" w:val="clear"/>
        </w:rPr>
        <w:t>- Приложение № 2 – Форма Заявки-Спецификации.</w:t>
      </w:r>
    </w:p>
    <w:p>
      <w:pPr>
        <w:pStyle w:val="Normal"/>
        <w:spacing w:before="0" w:after="120"/>
        <w:ind w:left="567" w:hanging="567"/>
        <w:rPr>
          <w:highlight w:val="none"/>
          <w:shd w:fill="FFFFFF" w:val="clear"/>
        </w:rPr>
      </w:pPr>
      <w:r>
        <w:rPr>
          <w:sz w:val="24"/>
          <w:szCs w:val="24"/>
          <w:shd w:fill="FFFFFF" w:val="clear"/>
        </w:rPr>
        <w:tab/>
        <w:t>- Приложение № 3 – Технические требования на поставку продукции.</w:t>
      </w:r>
    </w:p>
    <w:p>
      <w:pPr>
        <w:pStyle w:val="Normal"/>
        <w:spacing w:before="0" w:after="120"/>
        <w:ind w:left="567" w:hanging="567"/>
        <w:rPr>
          <w:highlight w:val="none"/>
          <w:shd w:fill="FFFFFF" w:val="clear"/>
        </w:rPr>
      </w:pPr>
      <w:r>
        <w:rPr>
          <w:sz w:val="24"/>
          <w:szCs w:val="24"/>
          <w:shd w:fill="FFFFFF" w:val="clear"/>
        </w:rPr>
        <w:tab/>
        <w:t xml:space="preserve">- Приложение № 4 – Финансовое обеспечение исполнения обязательств. </w:t>
      </w:r>
    </w:p>
    <w:p>
      <w:pPr>
        <w:pStyle w:val="Normal"/>
        <w:spacing w:before="0" w:after="120"/>
        <w:ind w:left="567" w:hanging="567"/>
        <w:rPr>
          <w:sz w:val="24"/>
          <w:szCs w:val="24"/>
          <w:highlight w:val="none"/>
          <w:shd w:fill="FFFFFF" w:val="clear"/>
        </w:rPr>
      </w:pPr>
      <w:r>
        <w:rPr>
          <w:sz w:val="24"/>
          <w:szCs w:val="24"/>
          <w:shd w:fill="FFFFFF" w:val="clear"/>
        </w:rPr>
      </w:r>
      <w:bookmarkStart w:id="5" w:name="sub_1_Копия_1"/>
      <w:bookmarkStart w:id="6" w:name="sub_1_Копия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FFFFFF" w:val="clear"/>
        </w:rPr>
      </w:pPr>
      <w:r>
        <w:rPr>
          <w:b/>
          <w:sz w:val="24"/>
          <w:szCs w:val="24"/>
          <w:shd w:fill="FFFFFF"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highlight w:val="none"/>
                <w:shd w:fill="FFFFFF" w:val="clear"/>
              </w:rPr>
            </w:pPr>
            <w:r>
              <w:rPr>
                <w:b/>
                <w:sz w:val="24"/>
                <w:szCs w:val="24"/>
                <w:u w:val="single"/>
                <w:shd w:fill="FFFFFF" w:val="clear"/>
              </w:rPr>
              <w:t>Покупатель:</w:t>
            </w:r>
          </w:p>
        </w:tc>
        <w:tc>
          <w:tcPr>
            <w:tcW w:w="4786" w:type="dxa"/>
            <w:tcBorders/>
          </w:tcPr>
          <w:p>
            <w:pPr>
              <w:pStyle w:val="Normal"/>
              <w:widowControl w:val="false"/>
              <w:rPr>
                <w:highlight w:val="none"/>
                <w:shd w:fill="FFFFFF" w:val="clear"/>
              </w:rPr>
            </w:pPr>
            <w:r>
              <w:rPr>
                <w:b/>
                <w:sz w:val="24"/>
                <w:szCs w:val="24"/>
                <w:u w:val="single"/>
                <w:shd w:fill="FFFFFF" w:val="clear"/>
              </w:rPr>
              <w:t>Поставщик:</w:t>
            </w:r>
          </w:p>
        </w:tc>
      </w:tr>
      <w:tr>
        <w:trPr/>
        <w:tc>
          <w:tcPr>
            <w:tcW w:w="4927"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highlight w:val="none"/>
                <w:shd w:fill="FFFFFF" w:val="clear"/>
              </w:rPr>
            </w:pPr>
            <w:r>
              <w:rPr>
                <w:b/>
                <w:sz w:val="22"/>
                <w:szCs w:val="22"/>
                <w:shd w:fill="FFFFFF" w:val="clear"/>
              </w:rPr>
              <w:t>Акционерное общество</w:t>
            </w:r>
          </w:p>
          <w:p>
            <w:pPr>
              <w:pStyle w:val="Normal"/>
              <w:widowControl w:val="false"/>
              <w:rPr>
                <w:highlight w:val="none"/>
                <w:shd w:fill="FFFFFF" w:val="clear"/>
              </w:rPr>
            </w:pPr>
            <w:r>
              <w:rPr>
                <w:b/>
                <w:sz w:val="22"/>
                <w:szCs w:val="22"/>
                <w:shd w:fill="FFFFFF" w:val="clear"/>
              </w:rPr>
              <w:t>«Гидроремонт-ВКК» (АО «Гидроремонт-ВКК»)</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(место нахождения)</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(почтовый адрес)</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(ОГРН)</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(ИНН/КПП)</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(номер расчетного счета)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(наименование банка, в котором</w:t>
            </w:r>
          </w:p>
          <w:p>
            <w:pPr>
              <w:pStyle w:val="Normal"/>
              <w:widowControl w:val="false"/>
              <w:rPr>
                <w:highlight w:val="none"/>
                <w:shd w:fill="FFFFFF" w:val="clear"/>
              </w:rPr>
            </w:pPr>
            <w:r>
              <w:rPr>
                <w:sz w:val="22"/>
                <w:szCs w:val="22"/>
                <w:shd w:fill="FFFFFF" w:val="clear"/>
              </w:rPr>
              <w:t>открыт расчетный счет)</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(номер корреспондентского счета банка)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(БИК банка)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(номер телефона/факса)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w:t>
            </w:r>
            <w:r>
              <w:rPr>
                <w:sz w:val="22"/>
                <w:szCs w:val="22"/>
                <w:shd w:fill="FFFFFF" w:val="clear"/>
                <w:lang w:val="en-US"/>
              </w:rPr>
              <w:t>email</w:t>
            </w:r>
            <w:r>
              <w:rPr>
                <w:sz w:val="22"/>
                <w:szCs w:val="22"/>
                <w:shd w:fill="FFFFFF" w:val="clear"/>
              </w:rPr>
              <w:t>)</w:t>
            </w:r>
          </w:p>
        </w:tc>
        <w:tc>
          <w:tcPr>
            <w:tcW w:w="4786"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(наименование юридического лица)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(место нахождения)</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(почтовый адрес)</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(ОГРН)</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(ИНН/КПП)</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(номер расчетного счета)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(наименование банка, в котором</w:t>
            </w:r>
          </w:p>
          <w:p>
            <w:pPr>
              <w:pStyle w:val="Normal"/>
              <w:widowControl w:val="false"/>
              <w:rPr>
                <w:highlight w:val="none"/>
                <w:shd w:fill="FFFFFF" w:val="clear"/>
              </w:rPr>
            </w:pPr>
            <w:r>
              <w:rPr>
                <w:sz w:val="22"/>
                <w:szCs w:val="22"/>
                <w:shd w:fill="FFFFFF" w:val="clear"/>
              </w:rPr>
              <w:t>открыт расчетный счет)</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(номер корреспондентского счета банка)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(БИК банка)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(номер телефона/факса)</w:t>
            </w:r>
          </w:p>
          <w:p>
            <w:pPr>
              <w:pStyle w:val="Normal"/>
              <w:widowControl w:val="false"/>
              <w:rPr>
                <w:highlight w:val="none"/>
                <w:shd w:fill="FFFFFF" w:val="clear"/>
              </w:rPr>
            </w:pPr>
            <w:r>
              <w:rPr>
                <w:sz w:val="22"/>
                <w:szCs w:val="22"/>
                <w:shd w:fill="FFFFFF" w:val="clear"/>
              </w:rPr>
              <w:t>_________________________________</w:t>
            </w:r>
          </w:p>
          <w:p>
            <w:pPr>
              <w:pStyle w:val="Normal"/>
              <w:widowControl w:val="false"/>
              <w:rPr>
                <w:highlight w:val="none"/>
                <w:shd w:fill="FFFFFF" w:val="clear"/>
              </w:rPr>
            </w:pPr>
            <w:r>
              <w:rPr>
                <w:sz w:val="22"/>
                <w:szCs w:val="22"/>
                <w:shd w:fill="FFFFFF" w:val="clear"/>
              </w:rPr>
              <w:t>(</w:t>
            </w:r>
            <w:r>
              <w:rPr>
                <w:sz w:val="22"/>
                <w:szCs w:val="22"/>
                <w:shd w:fill="FFFFFF" w:val="clear"/>
                <w:lang w:val="en-US"/>
              </w:rPr>
              <w:t>email</w:t>
            </w:r>
            <w:r>
              <w:rPr>
                <w:sz w:val="22"/>
                <w:szCs w:val="22"/>
                <w:shd w:fill="FFFFFF" w:val="clear"/>
              </w:rPr>
              <w:t>)</w:t>
            </w:r>
          </w:p>
          <w:p>
            <w:pPr>
              <w:pStyle w:val="Normal"/>
              <w:widowControl w:val="false"/>
              <w:rPr>
                <w:sz w:val="22"/>
                <w:szCs w:val="22"/>
                <w:highlight w:val="none"/>
                <w:shd w:fill="FFFFFF" w:val="clear"/>
              </w:rPr>
            </w:pPr>
            <w:r>
              <w:rPr>
                <w:sz w:val="22"/>
                <w:szCs w:val="22"/>
                <w:shd w:fill="FFFFFF" w:val="clear"/>
              </w:rPr>
            </w:r>
          </w:p>
        </w:tc>
      </w:tr>
      <w:tr>
        <w:trPr/>
        <w:tc>
          <w:tcPr>
            <w:tcW w:w="4927"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highlight w:val="none"/>
                <w:shd w:fill="FFFFFF" w:val="clear"/>
              </w:rPr>
            </w:pPr>
            <w:r>
              <w:rPr>
                <w:sz w:val="22"/>
                <w:szCs w:val="22"/>
                <w:shd w:fill="FFFFFF" w:val="clear"/>
              </w:rPr>
              <w:t>_______________ / _______________ /</w:t>
            </w:r>
          </w:p>
          <w:p>
            <w:pPr>
              <w:pStyle w:val="Normal"/>
              <w:widowControl w:val="false"/>
              <w:rPr>
                <w:highlight w:val="none"/>
                <w:shd w:fill="FFFFFF" w:val="clear"/>
              </w:rPr>
            </w:pPr>
            <w:r>
              <w:rPr>
                <w:sz w:val="22"/>
                <w:szCs w:val="22"/>
                <w:shd w:fill="FFFFFF" w:val="clear"/>
              </w:rPr>
              <w:t>м.п.</w:t>
            </w:r>
          </w:p>
        </w:tc>
        <w:tc>
          <w:tcPr>
            <w:tcW w:w="4786"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highlight w:val="none"/>
                <w:shd w:fill="FFFFFF" w:val="clear"/>
              </w:rPr>
            </w:pPr>
            <w:r>
              <w:rPr>
                <w:sz w:val="22"/>
                <w:szCs w:val="22"/>
                <w:shd w:fill="FFFFFF" w:val="clear"/>
              </w:rPr>
              <w:t>_______________ / _______________ /</w:t>
            </w:r>
          </w:p>
          <w:p>
            <w:pPr>
              <w:pStyle w:val="Normal"/>
              <w:widowControl w:val="false"/>
              <w:rPr>
                <w:highlight w:val="none"/>
                <w:shd w:fill="FFFFFF" w:val="clear"/>
              </w:rPr>
            </w:pPr>
            <w:r>
              <w:rPr>
                <w:sz w:val="22"/>
                <w:szCs w:val="22"/>
                <w:shd w:fill="FFFFFF" w:val="clear"/>
              </w:rPr>
              <w:t>м.п.</w:t>
            </w:r>
          </w:p>
        </w:tc>
      </w:tr>
    </w:tbl>
    <w:p>
      <w:pPr>
        <w:sectPr>
          <w:headerReference w:type="default" r:id="rId7"/>
          <w:footerReference w:type="even" r:id="rId8"/>
          <w:footerReference w:type="default" r:id="rId9"/>
          <w:footerReference w:type="first" r:id="rId10"/>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FFFFFF" w:val="clear"/>
        </w:rPr>
      </w:pPr>
      <w:r>
        <w:rPr>
          <w:b/>
          <w:bCs/>
          <w:sz w:val="24"/>
          <w:szCs w:val="24"/>
          <w:shd w:fill="FFFFFF" w:val="clear"/>
        </w:rPr>
        <w:t>Приложение № 1</w:t>
      </w:r>
    </w:p>
    <w:p>
      <w:pPr>
        <w:pStyle w:val="BodyText"/>
        <w:spacing w:before="0" w:after="120"/>
        <w:ind w:firstLine="567"/>
        <w:jc w:val="right"/>
        <w:rPr>
          <w:highlight w:val="none"/>
          <w:shd w:fill="FFFFFF" w:val="clear"/>
        </w:rPr>
      </w:pPr>
      <w:r>
        <w:rPr>
          <w:bCs/>
          <w:sz w:val="24"/>
          <w:szCs w:val="24"/>
          <w:shd w:fill="FFFFFF" w:val="clear"/>
        </w:rPr>
        <w:t xml:space="preserve">к договору поставки </w:t>
      </w:r>
    </w:p>
    <w:p>
      <w:pPr>
        <w:pStyle w:val="BodyText"/>
        <w:spacing w:before="0" w:after="120"/>
        <w:ind w:firstLine="567"/>
        <w:jc w:val="right"/>
        <w:rPr>
          <w:highlight w:val="none"/>
          <w:shd w:fill="FFFFFF" w:val="clear"/>
        </w:rPr>
      </w:pPr>
      <w:r>
        <w:rPr>
          <w:bCs/>
          <w:sz w:val="24"/>
          <w:szCs w:val="24"/>
          <w:shd w:fill="FFFFFF" w:val="clear"/>
        </w:rPr>
        <w:t xml:space="preserve">№ </w:t>
      </w:r>
      <w:r>
        <w:rPr>
          <w:bCs/>
          <w:sz w:val="24"/>
          <w:szCs w:val="24"/>
          <w:shd w:fill="FFFFFF" w:val="clear"/>
        </w:rPr>
        <w:t>_____от «___» _________ ______ г.</w:t>
      </w:r>
    </w:p>
    <w:p>
      <w:pPr>
        <w:pStyle w:val="Normal"/>
        <w:numPr>
          <w:ilvl w:val="0"/>
          <w:numId w:val="0"/>
        </w:numPr>
        <w:spacing w:before="0" w:after="120"/>
        <w:ind w:left="0" w:firstLine="567"/>
        <w:jc w:val="center"/>
        <w:outlineLvl w:val="0"/>
        <w:rPr>
          <w:b/>
          <w:sz w:val="24"/>
          <w:szCs w:val="24"/>
          <w:highlight w:val="none"/>
          <w:shd w:fill="FFFFFF" w:val="clear"/>
        </w:rPr>
      </w:pPr>
      <w:r>
        <w:rPr>
          <w:b/>
          <w:sz w:val="24"/>
          <w:szCs w:val="24"/>
          <w:shd w:fill="FFFFFF" w:val="clear"/>
        </w:rPr>
      </w:r>
    </w:p>
    <w:p>
      <w:pPr>
        <w:pStyle w:val="Normal"/>
        <w:numPr>
          <w:ilvl w:val="0"/>
          <w:numId w:val="0"/>
        </w:numPr>
        <w:spacing w:before="0" w:after="120"/>
        <w:ind w:left="0" w:firstLine="567"/>
        <w:jc w:val="center"/>
        <w:outlineLvl w:val="0"/>
        <w:rPr>
          <w:highlight w:val="none"/>
          <w:shd w:fill="FFFFFF" w:val="clear"/>
        </w:rPr>
      </w:pPr>
      <w:r>
        <w:rPr>
          <w:b/>
          <w:sz w:val="24"/>
          <w:szCs w:val="24"/>
          <w:shd w:fill="FFFFFF" w:val="clear"/>
        </w:rPr>
        <w:t>Спецификация №__</w:t>
      </w:r>
    </w:p>
    <w:p>
      <w:pPr>
        <w:pStyle w:val="Normal"/>
        <w:numPr>
          <w:ilvl w:val="0"/>
          <w:numId w:val="0"/>
        </w:numPr>
        <w:spacing w:before="0" w:after="120"/>
        <w:ind w:left="0" w:firstLine="567"/>
        <w:jc w:val="center"/>
        <w:outlineLvl w:val="0"/>
        <w:rPr>
          <w:b/>
          <w:sz w:val="24"/>
          <w:szCs w:val="24"/>
          <w:highlight w:val="none"/>
          <w:shd w:fill="FFFFFF" w:val="clear"/>
        </w:rPr>
      </w:pPr>
      <w:r>
        <w:rPr>
          <w:b/>
          <w:sz w:val="24"/>
          <w:szCs w:val="24"/>
          <w:shd w:fill="FFFFFF" w:val="clear"/>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51"/>
        <w:gridCol w:w="701"/>
        <w:gridCol w:w="708"/>
        <w:gridCol w:w="1001"/>
        <w:gridCol w:w="1842"/>
        <w:gridCol w:w="1551"/>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Наименование</w:t>
            </w:r>
          </w:p>
        </w:tc>
        <w:tc>
          <w:tcPr>
            <w:tcW w:w="1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Характеристики продукции, страна-изготовитель, наименование производителя</w:t>
            </w:r>
          </w:p>
        </w:tc>
        <w:tc>
          <w:tcPr>
            <w:tcW w:w="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Ед. изм.</w:t>
            </w:r>
          </w:p>
        </w:tc>
        <w:tc>
          <w:tcPr>
            <w:tcW w:w="10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Цена  за единицу (руб., с НДС __%/ без НДС)</w:t>
            </w:r>
          </w:p>
        </w:tc>
        <w:tc>
          <w:tcPr>
            <w:tcW w:w="1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___________</w:t>
            </w:r>
          </w:p>
        </w:tc>
        <w:tc>
          <w:tcPr>
            <w:tcW w:w="18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___________</w:t>
            </w:r>
          </w:p>
        </w:tc>
        <w:tc>
          <w:tcPr>
            <w:tcW w:w="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w:t>
            </w:r>
          </w:p>
        </w:tc>
        <w:tc>
          <w:tcPr>
            <w:tcW w:w="10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__________</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___________</w:t>
            </w:r>
          </w:p>
        </w:tc>
        <w:tc>
          <w:tcPr>
            <w:tcW w:w="18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___________</w:t>
            </w:r>
          </w:p>
        </w:tc>
        <w:tc>
          <w:tcPr>
            <w:tcW w:w="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w:t>
            </w:r>
          </w:p>
        </w:tc>
        <w:tc>
          <w:tcPr>
            <w:tcW w:w="10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__________</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w:t>
            </w:r>
          </w:p>
        </w:tc>
      </w:tr>
      <w:tr>
        <w:trPr>
          <w:trHeight w:val="255" w:hRule="atLeast"/>
        </w:trPr>
        <w:tc>
          <w:tcPr>
            <w:tcW w:w="879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FFFFFF" w:val="clear"/>
              </w:rPr>
            </w:pPr>
            <w:r>
              <w:rPr>
                <w:b/>
                <w:sz w:val="22"/>
                <w:szCs w:val="24"/>
                <w:shd w:fill="FFFFFF" w:val="clear"/>
              </w:rPr>
              <w:t>ИТОГО*</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FFFFFF" w:val="clear"/>
              </w:rPr>
            </w:pPr>
            <w:r>
              <w:rPr>
                <w:b/>
                <w:sz w:val="22"/>
                <w:szCs w:val="24"/>
                <w:shd w:fill="FFFFFF" w:val="clear"/>
              </w:rPr>
            </w:r>
          </w:p>
        </w:tc>
      </w:tr>
      <w:tr>
        <w:trPr>
          <w:trHeight w:val="255" w:hRule="atLeast"/>
        </w:trPr>
        <w:tc>
          <w:tcPr>
            <w:tcW w:w="879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FFFFFF" w:val="clear"/>
              </w:rPr>
            </w:pPr>
            <w:r>
              <w:rPr>
                <w:sz w:val="22"/>
                <w:szCs w:val="24"/>
                <w:shd w:fill="FFFFFF" w:val="clear"/>
              </w:rPr>
              <w:t>Итого с учетом НДС (</w:t>
            </w:r>
            <w:r>
              <w:rPr>
                <w:i/>
                <w:sz w:val="22"/>
                <w:szCs w:val="24"/>
                <w:shd w:fill="FFFFFF" w:val="clear"/>
              </w:rPr>
              <w:t>указывается при необходимости</w:t>
            </w:r>
            <w:r>
              <w:rPr>
                <w:sz w:val="22"/>
                <w:szCs w:val="24"/>
                <w:shd w:fill="FFFFFF" w:val="clear"/>
              </w:rPr>
              <w:t>)</w:t>
            </w:r>
          </w:p>
        </w:tc>
        <w:tc>
          <w:tcPr>
            <w:tcW w:w="155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FFFFFF" w:val="clear"/>
              </w:rPr>
            </w:pPr>
            <w:r>
              <w:rPr>
                <w:b/>
                <w:sz w:val="22"/>
                <w:szCs w:val="24"/>
                <w:shd w:fill="FFFFFF" w:val="clear"/>
              </w:rPr>
            </w:r>
          </w:p>
        </w:tc>
      </w:tr>
    </w:tbl>
    <w:p>
      <w:pPr>
        <w:pStyle w:val="BodyText"/>
        <w:spacing w:before="0" w:after="120"/>
        <w:ind w:firstLine="567"/>
        <w:rPr>
          <w:b/>
          <w:bCs/>
          <w:i/>
          <w:i/>
          <w:sz w:val="24"/>
          <w:szCs w:val="24"/>
          <w:highlight w:val="none"/>
          <w:shd w:fill="FFFFFF" w:val="clear"/>
        </w:rPr>
      </w:pPr>
      <w:r>
        <w:rPr>
          <w:b/>
          <w:bCs/>
          <w:i/>
          <w:sz w:val="24"/>
          <w:szCs w:val="24"/>
          <w:shd w:fill="FFFFFF" w:val="clear"/>
        </w:rPr>
      </w:r>
    </w:p>
    <w:p>
      <w:pPr>
        <w:pStyle w:val="BodyText"/>
        <w:spacing w:before="0" w:after="120"/>
        <w:ind w:firstLine="567"/>
        <w:rPr>
          <w:highlight w:val="none"/>
          <w:shd w:fill="FFFFFF" w:val="clear"/>
        </w:rPr>
      </w:pPr>
      <w:r>
        <w:rPr>
          <w:b/>
          <w:bCs/>
          <w:i/>
          <w:sz w:val="24"/>
          <w:szCs w:val="24"/>
          <w:shd w:fill="FFFFFF" w:val="clear"/>
        </w:rPr>
        <w:t>Условия поставки:</w:t>
      </w:r>
    </w:p>
    <w:p>
      <w:pPr>
        <w:pStyle w:val="Normal"/>
        <w:widowControl w:val="false"/>
        <w:numPr>
          <w:ilvl w:val="0"/>
          <w:numId w:val="18"/>
        </w:numPr>
        <w:tabs>
          <w:tab w:val="left" w:pos="720" w:leader="none"/>
        </w:tabs>
        <w:spacing w:before="0" w:after="120"/>
        <w:ind w:left="0" w:firstLine="284"/>
        <w:jc w:val="both"/>
        <w:rPr>
          <w:highlight w:val="none"/>
          <w:shd w:fill="FFFFFF" w:val="clear"/>
        </w:rPr>
      </w:pPr>
      <w:r>
        <w:rPr>
          <w:bCs/>
          <w:sz w:val="24"/>
          <w:szCs w:val="24"/>
          <w:shd w:fill="FFFFFF" w:val="clear"/>
        </w:rPr>
        <w:t>Общая сумма Спецификации составляет _______</w:t>
      </w:r>
      <w:r>
        <w:rPr>
          <w:b/>
          <w:sz w:val="24"/>
          <w:szCs w:val="24"/>
          <w:shd w:fill="FFFFFF" w:val="clear"/>
        </w:rPr>
        <w:t xml:space="preserve"> </w:t>
      </w:r>
      <w:r>
        <w:rPr>
          <w:sz w:val="24"/>
          <w:szCs w:val="24"/>
          <w:shd w:fill="FFFFFF" w:val="clear"/>
        </w:rPr>
        <w:t xml:space="preserve">(________), </w:t>
      </w:r>
      <w:r>
        <w:rPr>
          <w:i/>
          <w:sz w:val="24"/>
          <w:szCs w:val="24"/>
          <w:shd w:fill="FFFFFF" w:val="clear"/>
        </w:rPr>
        <w:t>в том числе НДС __%, в размере _____________ (________________)</w:t>
      </w:r>
      <w:r>
        <w:rPr>
          <w:b/>
          <w:sz w:val="24"/>
          <w:szCs w:val="24"/>
          <w:shd w:fill="FFFFFF" w:val="clear"/>
        </w:rPr>
        <w:t>.</w:t>
      </w:r>
    </w:p>
    <w:p>
      <w:pPr>
        <w:pStyle w:val="Normal"/>
        <w:widowControl w:val="false"/>
        <w:numPr>
          <w:ilvl w:val="0"/>
          <w:numId w:val="19"/>
        </w:numPr>
        <w:tabs>
          <w:tab w:val="left" w:pos="720" w:leader="none"/>
        </w:tabs>
        <w:spacing w:before="0" w:after="120"/>
        <w:ind w:left="0" w:firstLine="284"/>
        <w:jc w:val="both"/>
        <w:rPr>
          <w:highlight w:val="none"/>
          <w:shd w:fill="FFFFFF" w:val="clear"/>
        </w:rPr>
      </w:pPr>
      <w:r>
        <w:rPr>
          <w:sz w:val="24"/>
          <w:szCs w:val="24"/>
          <w:shd w:fill="FFFFFF" w:val="clear"/>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highlight w:val="none"/>
          <w:shd w:fill="FFFFFF" w:val="clear"/>
        </w:rPr>
      </w:pPr>
      <w:r>
        <w:rPr>
          <w:sz w:val="24"/>
          <w:szCs w:val="24"/>
          <w:shd w:fill="FFFFFF" w:val="clear"/>
        </w:rPr>
        <w:t>Иные условия, предусмотренные техническими требованиями:_________________.</w:t>
      </w:r>
    </w:p>
    <w:p>
      <w:pPr>
        <w:pStyle w:val="BodyText"/>
        <w:spacing w:before="0" w:after="120"/>
        <w:ind w:firstLine="567"/>
        <w:rPr>
          <w:highlight w:val="none"/>
          <w:shd w:fill="FFFFFF" w:val="clear"/>
        </w:rPr>
      </w:pPr>
      <w:r>
        <w:rPr>
          <w:b/>
          <w:sz w:val="24"/>
          <w:szCs w:val="24"/>
          <w:shd w:fill="FFFFFF" w:val="clear"/>
        </w:rPr>
        <w:t>*</w:t>
      </w:r>
      <w:r>
        <w:rPr>
          <w:sz w:val="24"/>
          <w:szCs w:val="24"/>
          <w:shd w:fill="FFFFFF" w:val="clear"/>
        </w:rPr>
        <w:t xml:space="preserve"> </w:t>
      </w:r>
      <w:r>
        <w:rPr>
          <w:sz w:val="20"/>
          <w:shd w:fill="FFFFFF" w:val="clear"/>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shd w:fill="FFFFFF" w:val="clear"/>
        </w:rPr>
        <w:t>.</w:t>
      </w:r>
    </w:p>
    <w:p>
      <w:pPr>
        <w:pStyle w:val="Normal"/>
        <w:spacing w:before="0" w:after="120"/>
        <w:jc w:val="both"/>
        <w:rPr>
          <w:color w:val="1F497D"/>
          <w:sz w:val="24"/>
          <w:szCs w:val="24"/>
          <w:highlight w:val="none"/>
          <w:shd w:fill="FFFFFF" w:val="clear"/>
        </w:rPr>
      </w:pPr>
      <w:r>
        <w:rPr>
          <w:color w:val="1F497D"/>
          <w:sz w:val="24"/>
          <w:szCs w:val="24"/>
          <w:shd w:fill="FFFFFF" w:val="clear"/>
        </w:rPr>
      </w:r>
    </w:p>
    <w:p>
      <w:pPr>
        <w:pStyle w:val="Normal"/>
        <w:spacing w:before="0" w:after="120"/>
        <w:jc w:val="both"/>
        <w:rPr>
          <w:highlight w:val="none"/>
          <w:shd w:fill="FFFFFF" w:val="clear"/>
        </w:rPr>
      </w:pPr>
      <w:r>
        <w:rPr>
          <w:i/>
          <w:sz w:val="24"/>
          <w:szCs w:val="24"/>
          <w:shd w:fill="FFFFFF"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FFFFFF" w:val="clear"/>
        </w:rPr>
      </w:pPr>
      <w:r>
        <w:rPr>
          <w:i/>
          <w:sz w:val="24"/>
          <w:szCs w:val="24"/>
          <w:shd w:fill="FFFFFF"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FFFFFF" w:val="clear"/>
        </w:rPr>
      </w:pPr>
      <w:r>
        <w:rPr>
          <w:sz w:val="24"/>
          <w:szCs w:val="24"/>
          <w:shd w:fill="FFFFFF"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Покупатель</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Поставщик</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r>
    </w:tbl>
    <w:p>
      <w:pPr>
        <w:sectPr>
          <w:headerReference w:type="default" r:id="rId11"/>
          <w:headerReference w:type="first" r:id="rId12"/>
          <w:footerReference w:type="even" r:id="rId13"/>
          <w:footerReference w:type="default" r:id="rId14"/>
          <w:footerReference w:type="first" r:id="rId15"/>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highlight w:val="none"/>
          <w:shd w:fill="FFFFFF" w:val="clear"/>
        </w:rPr>
      </w:pPr>
      <w:r>
        <w:rPr>
          <w:b/>
          <w:bCs/>
          <w:sz w:val="24"/>
          <w:szCs w:val="24"/>
          <w:shd w:fill="FFFFFF" w:val="clear"/>
        </w:rPr>
        <w:t>Приложение № 2</w:t>
      </w:r>
    </w:p>
    <w:p>
      <w:pPr>
        <w:pStyle w:val="BodyText"/>
        <w:spacing w:before="0" w:after="120"/>
        <w:ind w:firstLine="567"/>
        <w:jc w:val="right"/>
        <w:rPr>
          <w:highlight w:val="none"/>
          <w:shd w:fill="FFFFFF" w:val="clear"/>
        </w:rPr>
      </w:pPr>
      <w:r>
        <w:rPr>
          <w:bCs/>
          <w:sz w:val="24"/>
          <w:szCs w:val="24"/>
          <w:shd w:fill="FFFFFF" w:val="clear"/>
        </w:rPr>
        <w:t xml:space="preserve">к договору поставки </w:t>
      </w:r>
    </w:p>
    <w:p>
      <w:pPr>
        <w:pStyle w:val="BodyText"/>
        <w:spacing w:before="0" w:after="120"/>
        <w:ind w:firstLine="567"/>
        <w:jc w:val="right"/>
        <w:rPr>
          <w:highlight w:val="none"/>
          <w:shd w:fill="FFFFFF" w:val="clear"/>
        </w:rPr>
      </w:pPr>
      <w:r>
        <w:rPr>
          <w:bCs/>
          <w:sz w:val="24"/>
          <w:szCs w:val="24"/>
          <w:shd w:fill="FFFFFF" w:val="clear"/>
        </w:rPr>
        <w:t xml:space="preserve">№ </w:t>
      </w:r>
      <w:r>
        <w:rPr>
          <w:bCs/>
          <w:sz w:val="24"/>
          <w:szCs w:val="24"/>
          <w:shd w:fill="FFFFFF" w:val="clear"/>
        </w:rPr>
        <w:t>_____от «___» _________ ______ г.</w:t>
      </w:r>
    </w:p>
    <w:p>
      <w:pPr>
        <w:pStyle w:val="Normal"/>
        <w:numPr>
          <w:ilvl w:val="0"/>
          <w:numId w:val="0"/>
        </w:numPr>
        <w:spacing w:before="0" w:after="120"/>
        <w:ind w:left="0" w:firstLine="567"/>
        <w:jc w:val="center"/>
        <w:outlineLvl w:val="0"/>
        <w:rPr>
          <w:b/>
          <w:sz w:val="24"/>
          <w:szCs w:val="24"/>
          <w:highlight w:val="none"/>
          <w:u w:val="single"/>
          <w:shd w:fill="FFFFFF" w:val="clear"/>
        </w:rPr>
      </w:pPr>
      <w:r>
        <w:rPr>
          <w:b/>
          <w:sz w:val="24"/>
          <w:szCs w:val="24"/>
          <w:u w:val="single"/>
          <w:shd w:fill="FFFFFF" w:val="clear"/>
        </w:rPr>
      </w:r>
    </w:p>
    <w:p>
      <w:pPr>
        <w:pStyle w:val="Normal"/>
        <w:numPr>
          <w:ilvl w:val="0"/>
          <w:numId w:val="0"/>
        </w:numPr>
        <w:spacing w:before="0" w:after="120"/>
        <w:ind w:left="0" w:firstLine="567"/>
        <w:jc w:val="center"/>
        <w:outlineLvl w:val="0"/>
        <w:rPr>
          <w:highlight w:val="none"/>
          <w:shd w:fill="FFFFFF" w:val="clear"/>
        </w:rPr>
      </w:pPr>
      <w:r>
        <w:rPr>
          <w:b/>
          <w:sz w:val="24"/>
          <w:szCs w:val="24"/>
          <w:u w:val="single"/>
          <w:shd w:fill="FFFFFF" w:val="clear"/>
        </w:rPr>
        <w:t>ФОРМА</w:t>
      </w:r>
    </w:p>
    <w:p>
      <w:pPr>
        <w:pStyle w:val="Normal"/>
        <w:numPr>
          <w:ilvl w:val="0"/>
          <w:numId w:val="0"/>
        </w:numPr>
        <w:spacing w:before="0" w:after="120"/>
        <w:ind w:left="0" w:firstLine="567"/>
        <w:jc w:val="center"/>
        <w:outlineLvl w:val="0"/>
        <w:rPr>
          <w:highlight w:val="none"/>
          <w:shd w:fill="FFFFFF" w:val="clear"/>
        </w:rPr>
      </w:pPr>
      <w:r>
        <w:rPr>
          <w:b/>
          <w:sz w:val="24"/>
          <w:szCs w:val="24"/>
          <w:shd w:fill="FFFFFF" w:val="clear"/>
        </w:rPr>
        <w:t>Заявки-спецификации</w:t>
      </w:r>
    </w:p>
    <w:p>
      <w:pPr>
        <w:pStyle w:val="Normal"/>
        <w:numPr>
          <w:ilvl w:val="0"/>
          <w:numId w:val="0"/>
        </w:numPr>
        <w:spacing w:before="0" w:after="120"/>
        <w:ind w:left="0" w:firstLine="567"/>
        <w:outlineLvl w:val="0"/>
        <w:rPr>
          <w:b/>
          <w:sz w:val="24"/>
          <w:szCs w:val="24"/>
          <w:highlight w:val="none"/>
          <w:shd w:fill="FFFFFF" w:val="clear"/>
        </w:rPr>
      </w:pPr>
      <w:r>
        <w:rPr>
          <w:b/>
          <w:sz w:val="24"/>
          <w:szCs w:val="24"/>
          <w:shd w:fill="FFFFFF" w:val="clear"/>
        </w:rPr>
        <mc:AlternateContent>
          <mc:Choice Requires="wps">
            <w:drawing>
              <wp:anchor behindDoc="0" distT="6350" distB="6350" distL="6985" distR="6985" simplePos="0" locked="0" layoutInCell="0" allowOverlap="1" relativeHeight="68" wp14:anchorId="3070D32B">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070D32B">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FFFFFF" w:val="clear"/>
                <w:lang w:val="ru-RU" w:eastAsia="ru-RU" w:bidi="ar-SA"/>
              </w:rPr>
            </w:pPr>
            <w:r>
              <w:rPr>
                <w:rFonts w:eastAsia="Times New Roman" w:cs="Times New Roman"/>
                <w:b/>
                <w:kern w:val="0"/>
                <w:sz w:val="24"/>
                <w:szCs w:val="24"/>
                <w:shd w:fill="FFFFFF"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FFFFFF" w:val="clear"/>
                <w:lang w:val="ru-RU" w:eastAsia="ru-RU" w:bidi="ar-SA"/>
              </w:rPr>
            </w:pPr>
            <w:r>
              <w:rPr>
                <w:rFonts w:eastAsia="Times New Roman" w:cs="Times New Roman"/>
                <w:b/>
                <w:kern w:val="0"/>
                <w:sz w:val="24"/>
                <w:szCs w:val="24"/>
                <w:shd w:fill="FFFFFF" w:val="clear"/>
                <w:lang w:val="ru-RU" w:eastAsia="ru-RU" w:bidi="ar-SA"/>
              </w:rPr>
            </w:r>
          </w:p>
          <w:p>
            <w:pPr>
              <w:pStyle w:val="Normal"/>
              <w:widowControl w:val="false"/>
              <w:numPr>
                <w:ilvl w:val="0"/>
                <w:numId w:val="0"/>
              </w:numPr>
              <w:suppressAutoHyphens w:val="true"/>
              <w:spacing w:before="0" w:after="120"/>
              <w:ind w:left="0" w:hanging="0"/>
              <w:jc w:val="left"/>
              <w:outlineLvl w:val="0"/>
              <w:rPr>
                <w:rFonts w:ascii="Times New Roman" w:hAnsi="Times New Roman" w:eastAsia="Times New Roman" w:cs="Times New Roman"/>
                <w:b/>
                <w:kern w:val="0"/>
                <w:sz w:val="24"/>
                <w:szCs w:val="24"/>
                <w:highlight w:val="none"/>
                <w:shd w:fill="FFFFFF" w:val="clear"/>
                <w:lang w:val="ru-RU" w:eastAsia="ru-RU" w:bidi="ar-SA"/>
              </w:rPr>
            </w:pPr>
            <w:r>
              <w:rPr>
                <w:rFonts w:eastAsia="Times New Roman" w:cs="Times New Roman"/>
                <w:b/>
                <w:kern w:val="0"/>
                <w:sz w:val="24"/>
                <w:szCs w:val="24"/>
                <w:shd w:fill="FFFFFF" w:val="clear"/>
                <w:lang w:val="ru-RU" w:eastAsia="ru-RU" w:bidi="ar-SA"/>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highlight w:val="none"/>
                <w:shd w:fill="FFFFFF" w:val="clear"/>
              </w:rPr>
            </w:pPr>
            <w:r>
              <w:rPr>
                <w:rFonts w:eastAsia="Times New Roman" w:cs="Times New Roman"/>
                <w:b/>
                <w:kern w:val="0"/>
                <w:sz w:val="24"/>
                <w:szCs w:val="24"/>
                <w:shd w:fill="FFFFFF" w:val="clear"/>
                <w:lang w:val="ru-RU" w:eastAsia="ru-RU" w:bidi="ar-SA"/>
              </w:rPr>
              <w:t>Приложение № _____</w:t>
            </w:r>
          </w:p>
          <w:p>
            <w:pPr>
              <w:pStyle w:val="BodyText"/>
              <w:widowControl w:val="false"/>
              <w:suppressAutoHyphens w:val="true"/>
              <w:spacing w:before="0" w:after="0"/>
              <w:ind w:firstLine="567"/>
              <w:jc w:val="right"/>
              <w:rPr>
                <w:highlight w:val="none"/>
                <w:shd w:fill="FFFFFF" w:val="clear"/>
              </w:rPr>
            </w:pPr>
            <w:r>
              <w:rPr>
                <w:rFonts w:eastAsia="Times New Roman" w:cs="Times New Roman"/>
                <w:bCs/>
                <w:kern w:val="0"/>
                <w:sz w:val="24"/>
                <w:szCs w:val="24"/>
                <w:shd w:fill="FFFFFF" w:val="clear"/>
                <w:lang w:val="ru-RU" w:eastAsia="ru-RU" w:bidi="ar-SA"/>
              </w:rPr>
              <w:t>от «___» _________ ______ г.</w:t>
            </w:r>
          </w:p>
          <w:p>
            <w:pPr>
              <w:pStyle w:val="BodyText"/>
              <w:widowControl w:val="false"/>
              <w:suppressAutoHyphens w:val="true"/>
              <w:spacing w:before="0" w:after="0"/>
              <w:ind w:firstLine="567"/>
              <w:jc w:val="right"/>
              <w:rPr>
                <w:highlight w:val="none"/>
                <w:shd w:fill="FFFFFF" w:val="clear"/>
              </w:rPr>
            </w:pPr>
            <w:r>
              <w:rPr>
                <w:rFonts w:eastAsia="Times New Roman" w:cs="Times New Roman"/>
                <w:bCs/>
                <w:kern w:val="0"/>
                <w:sz w:val="24"/>
                <w:szCs w:val="24"/>
                <w:shd w:fill="FFFFFF" w:val="clear"/>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rFonts w:ascii="Times New Roman" w:hAnsi="Times New Roman" w:eastAsia="Times New Roman" w:cs="Times New Roman"/>
                <w:b/>
                <w:kern w:val="0"/>
                <w:sz w:val="24"/>
                <w:szCs w:val="24"/>
                <w:highlight w:val="none"/>
                <w:shd w:fill="FFFFFF" w:val="clear"/>
                <w:lang w:val="ru-RU" w:eastAsia="ru-RU" w:bidi="ar-SA"/>
              </w:rPr>
            </w:pPr>
            <w:r>
              <w:rPr>
                <w:rFonts w:eastAsia="Times New Roman" w:cs="Times New Roman"/>
                <w:b/>
                <w:kern w:val="0"/>
                <w:sz w:val="24"/>
                <w:szCs w:val="24"/>
                <w:shd w:fill="FFFFFF" w:val="clear"/>
                <w:lang w:val="ru-RU" w:eastAsia="ru-RU" w:bidi="ar-SA"/>
              </w:rPr>
            </w:r>
          </w:p>
        </w:tc>
      </w:tr>
    </w:tbl>
    <w:p>
      <w:pPr>
        <w:pStyle w:val="Normal"/>
        <w:numPr>
          <w:ilvl w:val="0"/>
          <w:numId w:val="0"/>
        </w:numPr>
        <w:spacing w:before="0" w:after="120"/>
        <w:ind w:left="0" w:firstLine="567"/>
        <w:jc w:val="center"/>
        <w:outlineLvl w:val="0"/>
        <w:rPr>
          <w:highlight w:val="none"/>
          <w:shd w:fill="FFFFFF" w:val="clear"/>
        </w:rPr>
      </w:pPr>
      <w:r>
        <w:rPr>
          <w:b/>
          <w:sz w:val="24"/>
          <w:szCs w:val="24"/>
          <w:shd w:fill="FFFFFF" w:val="clear"/>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2"/>
        <w:gridCol w:w="1621"/>
        <w:gridCol w:w="2434"/>
        <w:gridCol w:w="673"/>
        <w:gridCol w:w="776"/>
        <w:gridCol w:w="1918"/>
        <w:gridCol w:w="1676"/>
      </w:tblGrid>
      <w:tr>
        <w:trPr>
          <w:trHeight w:val="507" w:hRule="atLeast"/>
        </w:trPr>
        <w:tc>
          <w:tcPr>
            <w:tcW w:w="9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Наименование</w:t>
            </w:r>
          </w:p>
        </w:tc>
        <w:tc>
          <w:tcPr>
            <w:tcW w:w="24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FFFFFF" w:val="clear"/>
              </w:rPr>
            </w:pPr>
            <w:r>
              <w:rPr>
                <w:bCs/>
                <w:sz w:val="22"/>
                <w:szCs w:val="24"/>
                <w:shd w:fill="FFFFFF" w:val="clear"/>
              </w:rPr>
              <w:t>Характеристики продукции,</w:t>
            </w:r>
          </w:p>
          <w:p>
            <w:pPr>
              <w:pStyle w:val="Normal"/>
              <w:widowControl w:val="false"/>
              <w:jc w:val="center"/>
              <w:rPr>
                <w:highlight w:val="none"/>
                <w:shd w:fill="FFFFFF" w:val="clear"/>
              </w:rPr>
            </w:pPr>
            <w:r>
              <w:rPr>
                <w:bCs/>
                <w:sz w:val="22"/>
                <w:szCs w:val="24"/>
                <w:shd w:fill="FFFFFF" w:val="clear"/>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FFFFFF" w:val="clear"/>
              </w:rPr>
            </w:pPr>
            <w:r>
              <w:rPr>
                <w:bCs/>
                <w:sz w:val="22"/>
                <w:szCs w:val="24"/>
                <w:shd w:fill="FFFFFF" w:val="clear"/>
              </w:rPr>
              <w:t>Сумма (руб., с НДС __%/ без НДС)</w:t>
            </w:r>
          </w:p>
        </w:tc>
      </w:tr>
      <w:tr>
        <w:trPr>
          <w:trHeight w:val="520" w:hRule="atLeast"/>
        </w:trPr>
        <w:tc>
          <w:tcPr>
            <w:tcW w:w="93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___________</w:t>
            </w:r>
          </w:p>
        </w:tc>
        <w:tc>
          <w:tcPr>
            <w:tcW w:w="24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zCs w:val="24"/>
                <w:shd w:fill="FFFFFF" w:val="clear"/>
              </w:rPr>
              <w:t>________</w:t>
            </w:r>
          </w:p>
        </w:tc>
      </w:tr>
      <w:tr>
        <w:trPr>
          <w:trHeight w:val="520" w:hRule="atLeast"/>
        </w:trPr>
        <w:tc>
          <w:tcPr>
            <w:tcW w:w="93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___________</w:t>
            </w:r>
          </w:p>
        </w:tc>
        <w:tc>
          <w:tcPr>
            <w:tcW w:w="24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FFFFFF" w:val="clear"/>
              </w:rPr>
            </w:pPr>
            <w:r>
              <w:rPr>
                <w:sz w:val="22"/>
                <w:shd w:fill="FFFFFF" w:val="clear"/>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FFFFFF" w:val="clear"/>
              </w:rPr>
            </w:pPr>
            <w:r>
              <w:rPr>
                <w:b/>
                <w:sz w:val="22"/>
                <w:szCs w:val="24"/>
                <w:shd w:fill="FFFFFF" w:val="clear"/>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FFFFFF" w:val="clear"/>
              </w:rPr>
            </w:pPr>
            <w:r>
              <w:rPr>
                <w:b/>
                <w:sz w:val="22"/>
                <w:szCs w:val="24"/>
                <w:shd w:fill="FFFFFF" w:val="clear"/>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FFFFFF" w:val="clear"/>
              </w:rPr>
            </w:pPr>
            <w:r>
              <w:rPr>
                <w:sz w:val="22"/>
                <w:szCs w:val="24"/>
                <w:shd w:fill="FFFFFF" w:val="clear"/>
              </w:rPr>
              <w:t>Итого с учетом НДС (</w:t>
            </w:r>
            <w:r>
              <w:rPr>
                <w:i/>
                <w:sz w:val="22"/>
                <w:szCs w:val="24"/>
                <w:shd w:fill="FFFFFF" w:val="clear"/>
              </w:rPr>
              <w:t>указывается при необходимости</w:t>
            </w:r>
            <w:r>
              <w:rPr>
                <w:sz w:val="22"/>
                <w:szCs w:val="24"/>
                <w:shd w:fill="FFFFFF" w:val="clear"/>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FFFFFF" w:val="clear"/>
              </w:rPr>
            </w:pPr>
            <w:r>
              <w:rPr>
                <w:b/>
                <w:sz w:val="22"/>
                <w:szCs w:val="24"/>
                <w:shd w:fill="FFFFFF" w:val="clear"/>
              </w:rPr>
            </w:r>
          </w:p>
        </w:tc>
      </w:tr>
    </w:tbl>
    <w:p>
      <w:pPr>
        <w:pStyle w:val="BodyText"/>
        <w:spacing w:before="120" w:after="120"/>
        <w:ind w:firstLine="567"/>
        <w:rPr>
          <w:highlight w:val="none"/>
          <w:shd w:fill="FFFFFF" w:val="clear"/>
        </w:rPr>
      </w:pPr>
      <w:r>
        <w:rPr>
          <w:b/>
          <w:bCs/>
          <w:i/>
          <w:sz w:val="24"/>
          <w:szCs w:val="24"/>
          <w:shd w:fill="FFFFFF" w:val="clear"/>
        </w:rPr>
        <w:t>Условия поставки:</w:t>
      </w:r>
    </w:p>
    <w:p>
      <w:pPr>
        <w:pStyle w:val="Normal"/>
        <w:widowControl w:val="false"/>
        <w:numPr>
          <w:ilvl w:val="0"/>
          <w:numId w:val="9"/>
        </w:numPr>
        <w:tabs>
          <w:tab w:val="left" w:pos="720" w:leader="none"/>
        </w:tabs>
        <w:spacing w:before="0" w:after="120"/>
        <w:jc w:val="both"/>
        <w:rPr>
          <w:highlight w:val="none"/>
          <w:shd w:fill="FFFFFF" w:val="clear"/>
        </w:rPr>
      </w:pPr>
      <w:r>
        <w:rPr>
          <w:bCs/>
          <w:sz w:val="24"/>
          <w:szCs w:val="24"/>
          <w:shd w:fill="FFFFFF" w:val="clear"/>
        </w:rPr>
        <w:t>Общая сумма Заявки-спецификации составляет _______</w:t>
      </w:r>
      <w:r>
        <w:rPr>
          <w:b/>
          <w:sz w:val="24"/>
          <w:szCs w:val="24"/>
          <w:shd w:fill="FFFFFF" w:val="clear"/>
        </w:rPr>
        <w:t xml:space="preserve"> </w:t>
      </w:r>
      <w:r>
        <w:rPr>
          <w:sz w:val="24"/>
          <w:szCs w:val="24"/>
          <w:shd w:fill="FFFFFF" w:val="clear"/>
        </w:rPr>
        <w:t xml:space="preserve">(________), </w:t>
      </w:r>
      <w:r>
        <w:rPr>
          <w:i/>
          <w:sz w:val="24"/>
          <w:szCs w:val="24"/>
          <w:shd w:fill="FFFFFF" w:val="clear"/>
        </w:rPr>
        <w:t>в том числе НДС __%, в размере _____________ (________________)</w:t>
      </w:r>
      <w:r>
        <w:rPr>
          <w:b/>
          <w:i/>
          <w:sz w:val="24"/>
          <w:szCs w:val="24"/>
          <w:shd w:fill="FFFFFF" w:val="clear"/>
        </w:rPr>
        <w:t>.</w:t>
      </w:r>
    </w:p>
    <w:p>
      <w:pPr>
        <w:pStyle w:val="Normal"/>
        <w:widowControl w:val="false"/>
        <w:numPr>
          <w:ilvl w:val="0"/>
          <w:numId w:val="9"/>
        </w:numPr>
        <w:tabs>
          <w:tab w:val="left" w:pos="720" w:leader="none"/>
        </w:tabs>
        <w:spacing w:before="0" w:after="120"/>
        <w:ind w:left="0" w:firstLine="284"/>
        <w:jc w:val="both"/>
        <w:rPr>
          <w:highlight w:val="none"/>
          <w:shd w:fill="FFFFFF" w:val="clear"/>
        </w:rPr>
      </w:pPr>
      <w:r>
        <w:rPr>
          <w:sz w:val="24"/>
          <w:szCs w:val="24"/>
          <w:shd w:fill="FFFFFF" w:val="clear"/>
        </w:rPr>
        <w:t>Срок поставки Продукции: до «______» ____________ 202_г..</w:t>
      </w:r>
    </w:p>
    <w:p>
      <w:pPr>
        <w:pStyle w:val="Normal"/>
        <w:widowControl w:val="false"/>
        <w:numPr>
          <w:ilvl w:val="0"/>
          <w:numId w:val="9"/>
        </w:numPr>
        <w:tabs>
          <w:tab w:val="left" w:pos="720" w:leader="none"/>
        </w:tabs>
        <w:spacing w:before="0" w:after="120"/>
        <w:ind w:left="0" w:firstLine="284"/>
        <w:jc w:val="both"/>
        <w:rPr>
          <w:highlight w:val="none"/>
          <w:shd w:fill="FFFFFF" w:val="clear"/>
        </w:rPr>
      </w:pPr>
      <w:r>
        <w:rPr>
          <w:sz w:val="24"/>
          <w:szCs w:val="24"/>
          <w:shd w:fill="FFFFFF" w:val="clear"/>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Покупатель</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Поставщик</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r>
    </w:tbl>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mc:AlternateContent>
          <mc:Choice Requires="wps">
            <w:drawing>
              <wp:anchor behindDoc="0" distT="6985" distB="6350" distL="6350" distR="6985" simplePos="0" locked="0" layoutInCell="0" allowOverlap="1" relativeHeight="69" wp14:anchorId="0C3B5199">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0C3B5199">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Покупатель</w:t>
            </w:r>
            <w:r>
              <w:rPr>
                <w:rFonts w:ascii="Times New Roman" w:hAnsi="Times New Roman"/>
                <w:b/>
                <w:sz w:val="24"/>
                <w:szCs w:val="24"/>
                <w:u w:val="single"/>
                <w:shd w:fill="FFFFFF"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Поставщик</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r>
    </w:tbl>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firstLine="567"/>
        <w:jc w:val="right"/>
        <w:outlineLvl w:val="0"/>
        <w:rPr>
          <w:highlight w:val="none"/>
          <w:shd w:fill="FFFFFF" w:val="clear"/>
        </w:rPr>
      </w:pPr>
      <w:r>
        <w:rPr>
          <w:shd w:fill="FFFFFF" w:val="clear"/>
        </w:rPr>
      </w:r>
    </w:p>
    <w:p>
      <w:pPr>
        <w:pStyle w:val="BodyText"/>
        <w:numPr>
          <w:ilvl w:val="0"/>
          <w:numId w:val="0"/>
        </w:numPr>
        <w:spacing w:before="0" w:after="120"/>
        <w:ind w:left="0" w:firstLine="567"/>
        <w:jc w:val="right"/>
        <w:outlineLvl w:val="0"/>
        <w:rPr>
          <w:highlight w:val="none"/>
          <w:shd w:fill="FFFFFF" w:val="clear"/>
        </w:rPr>
      </w:pPr>
      <w:r>
        <w:rPr>
          <w:shd w:fill="FFFFFF" w:val="clear"/>
        </w:rPr>
      </w:r>
    </w:p>
    <w:p>
      <w:pPr>
        <w:pStyle w:val="BodyText"/>
        <w:numPr>
          <w:ilvl w:val="0"/>
          <w:numId w:val="0"/>
        </w:numPr>
        <w:spacing w:before="0" w:after="120"/>
        <w:ind w:left="0" w:firstLine="567"/>
        <w:jc w:val="right"/>
        <w:outlineLvl w:val="0"/>
        <w:rPr>
          <w:highlight w:val="none"/>
          <w:shd w:fill="FFFFFF" w:val="clear"/>
        </w:rPr>
      </w:pPr>
      <w:r>
        <w:rPr>
          <w:b/>
          <w:bCs/>
          <w:sz w:val="24"/>
          <w:szCs w:val="24"/>
          <w:shd w:fill="FFFFFF" w:val="clear"/>
        </w:rPr>
        <w:t>Приложение № 3</w:t>
      </w:r>
    </w:p>
    <w:p>
      <w:pPr>
        <w:pStyle w:val="BodyText"/>
        <w:spacing w:before="0" w:after="120"/>
        <w:ind w:firstLine="567"/>
        <w:jc w:val="right"/>
        <w:rPr>
          <w:highlight w:val="none"/>
          <w:shd w:fill="FFFFFF" w:val="clear"/>
        </w:rPr>
      </w:pPr>
      <w:r>
        <w:rPr>
          <w:bCs/>
          <w:sz w:val="24"/>
          <w:szCs w:val="24"/>
          <w:shd w:fill="FFFFFF" w:val="clear"/>
        </w:rPr>
        <w:t xml:space="preserve">к договору поставки </w:t>
      </w:r>
    </w:p>
    <w:p>
      <w:pPr>
        <w:pStyle w:val="BodyText"/>
        <w:spacing w:before="0" w:after="120"/>
        <w:ind w:firstLine="567"/>
        <w:jc w:val="right"/>
        <w:rPr>
          <w:highlight w:val="none"/>
          <w:shd w:fill="FFFFFF" w:val="clear"/>
        </w:rPr>
      </w:pPr>
      <w:r>
        <w:rPr>
          <w:bCs/>
          <w:sz w:val="24"/>
          <w:szCs w:val="24"/>
          <w:shd w:fill="FFFFFF" w:val="clear"/>
        </w:rPr>
        <w:t xml:space="preserve">№ </w:t>
      </w:r>
      <w:r>
        <w:rPr>
          <w:bCs/>
          <w:sz w:val="24"/>
          <w:szCs w:val="24"/>
          <w:shd w:fill="FFFFFF" w:val="clear"/>
        </w:rPr>
        <w:t>_____от «___» _________ ______ г.</w:t>
      </w:r>
    </w:p>
    <w:p>
      <w:pPr>
        <w:pStyle w:val="BodyText"/>
        <w:spacing w:before="0" w:after="120"/>
        <w:ind w:firstLine="567"/>
        <w:jc w:val="right"/>
        <w:rPr>
          <w:bCs/>
          <w:sz w:val="24"/>
          <w:szCs w:val="24"/>
          <w:highlight w:val="none"/>
          <w:shd w:fill="FFFFFF" w:val="clear"/>
        </w:rPr>
      </w:pPr>
      <w:r>
        <w:rPr>
          <w:bCs/>
          <w:sz w:val="24"/>
          <w:szCs w:val="24"/>
          <w:shd w:fill="FFFFFF" w:val="clear"/>
        </w:rPr>
      </w:r>
    </w:p>
    <w:p>
      <w:pPr>
        <w:pStyle w:val="BodyText"/>
        <w:spacing w:before="0" w:after="120"/>
        <w:ind w:firstLine="567"/>
        <w:jc w:val="right"/>
        <w:rPr>
          <w:bCs/>
          <w:sz w:val="24"/>
          <w:szCs w:val="24"/>
          <w:highlight w:val="none"/>
          <w:shd w:fill="FFFFFF" w:val="clear"/>
        </w:rPr>
      </w:pPr>
      <w:r>
        <w:rPr>
          <w:bCs/>
          <w:sz w:val="24"/>
          <w:szCs w:val="24"/>
          <w:shd w:fill="FFFFFF" w:val="clear"/>
        </w:rPr>
      </w:r>
    </w:p>
    <w:p>
      <w:pPr>
        <w:pStyle w:val="BodyText"/>
        <w:spacing w:before="0" w:after="120"/>
        <w:ind w:firstLine="567"/>
        <w:jc w:val="right"/>
        <w:rPr>
          <w:bCs/>
          <w:sz w:val="24"/>
          <w:szCs w:val="24"/>
          <w:highlight w:val="none"/>
          <w:shd w:fill="FFFFFF" w:val="clear"/>
        </w:rPr>
      </w:pPr>
      <w:r>
        <w:rPr>
          <w:bCs/>
          <w:sz w:val="24"/>
          <w:szCs w:val="24"/>
          <w:shd w:fill="FFFFFF" w:val="clear"/>
        </w:rPr>
      </w:r>
    </w:p>
    <w:p>
      <w:pPr>
        <w:pStyle w:val="BodyText"/>
        <w:spacing w:before="0" w:after="120"/>
        <w:ind w:firstLine="567"/>
        <w:jc w:val="center"/>
        <w:rPr>
          <w:highlight w:val="none"/>
          <w:shd w:fill="FFFFFF" w:val="clear"/>
        </w:rPr>
      </w:pPr>
      <w:r>
        <w:rPr>
          <w:b/>
          <w:bCs/>
          <w:sz w:val="24"/>
          <w:szCs w:val="24"/>
          <w:shd w:fill="FFFFFF" w:val="clear"/>
        </w:rPr>
        <w:t>ТЕХНИЧЕСКИЕ ТРЕБОВАНИЯ</w:t>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Покупатель</w:t>
            </w:r>
            <w:r>
              <w:rPr>
                <w:rFonts w:ascii="Times New Roman" w:hAnsi="Times New Roman"/>
                <w:b/>
                <w:sz w:val="24"/>
                <w:szCs w:val="24"/>
                <w:u w:val="single"/>
                <w:shd w:fill="FFFFFF"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Поставщик</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r>
    </w:tbl>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BodyText"/>
        <w:numPr>
          <w:ilvl w:val="0"/>
          <w:numId w:val="0"/>
        </w:numPr>
        <w:spacing w:before="0" w:after="120"/>
        <w:ind w:left="0" w:firstLine="567"/>
        <w:jc w:val="right"/>
        <w:outlineLvl w:val="0"/>
        <w:rPr>
          <w:highlight w:val="none"/>
          <w:shd w:fill="FFFFFF" w:val="clear"/>
        </w:rPr>
      </w:pPr>
      <w:r>
        <w:rPr>
          <w:shd w:fill="FFFFFF" w:val="clear"/>
        </w:rPr>
      </w:r>
    </w:p>
    <w:p>
      <w:pPr>
        <w:pStyle w:val="BodyText"/>
        <w:numPr>
          <w:ilvl w:val="0"/>
          <w:numId w:val="0"/>
        </w:numPr>
        <w:spacing w:before="0" w:after="120"/>
        <w:ind w:left="0" w:firstLine="567"/>
        <w:jc w:val="right"/>
        <w:outlineLvl w:val="0"/>
        <w:rPr>
          <w:highlight w:val="none"/>
          <w:shd w:fill="FFFFFF" w:val="clear"/>
        </w:rPr>
      </w:pPr>
      <w:r>
        <w:rPr>
          <w:shd w:fill="FFFFFF" w:val="clear"/>
        </w:rPr>
      </w:r>
    </w:p>
    <w:p>
      <w:pPr>
        <w:pStyle w:val="BodyText"/>
        <w:numPr>
          <w:ilvl w:val="0"/>
          <w:numId w:val="0"/>
        </w:numPr>
        <w:spacing w:before="0" w:after="120"/>
        <w:ind w:left="0" w:firstLine="567"/>
        <w:jc w:val="right"/>
        <w:outlineLvl w:val="0"/>
        <w:rPr>
          <w:highlight w:val="none"/>
          <w:shd w:fill="FFFFFF" w:val="clear"/>
        </w:rPr>
      </w:pPr>
      <w:r>
        <w:rPr>
          <w:b/>
          <w:bCs/>
          <w:sz w:val="24"/>
          <w:szCs w:val="24"/>
          <w:shd w:fill="FFFFFF" w:val="clear"/>
        </w:rPr>
        <w:t>Приложение № 4</w:t>
      </w:r>
    </w:p>
    <w:p>
      <w:pPr>
        <w:pStyle w:val="BodyText"/>
        <w:spacing w:before="0" w:after="120"/>
        <w:ind w:firstLine="567"/>
        <w:jc w:val="right"/>
        <w:rPr>
          <w:highlight w:val="none"/>
          <w:shd w:fill="FFFFFF" w:val="clear"/>
        </w:rPr>
      </w:pPr>
      <w:r>
        <w:rPr>
          <w:bCs/>
          <w:sz w:val="24"/>
          <w:szCs w:val="24"/>
          <w:shd w:fill="FFFFFF" w:val="clear"/>
        </w:rPr>
        <w:t xml:space="preserve">к договору поставки </w:t>
      </w:r>
    </w:p>
    <w:p>
      <w:pPr>
        <w:pStyle w:val="BodyText"/>
        <w:spacing w:before="0" w:after="120"/>
        <w:ind w:firstLine="567"/>
        <w:jc w:val="right"/>
        <w:rPr>
          <w:highlight w:val="none"/>
          <w:shd w:fill="FFFFFF" w:val="clear"/>
        </w:rPr>
      </w:pPr>
      <w:r>
        <w:rPr>
          <w:bCs/>
          <w:sz w:val="24"/>
          <w:szCs w:val="24"/>
          <w:shd w:fill="FFFFFF" w:val="clear"/>
        </w:rPr>
        <w:t xml:space="preserve">№ </w:t>
      </w:r>
      <w:r>
        <w:rPr>
          <w:bCs/>
          <w:sz w:val="24"/>
          <w:szCs w:val="24"/>
          <w:shd w:fill="FFFFFF" w:val="clear"/>
        </w:rPr>
        <w:t>_____от «___» _________ ______ г.</w:t>
      </w:r>
    </w:p>
    <w:p>
      <w:pPr>
        <w:pStyle w:val="BodyText"/>
        <w:numPr>
          <w:ilvl w:val="0"/>
          <w:numId w:val="0"/>
        </w:numPr>
        <w:spacing w:before="0" w:after="120"/>
        <w:ind w:left="0" w:hanging="0"/>
        <w:outlineLvl w:val="0"/>
        <w:rPr>
          <w:b/>
          <w:bCs/>
          <w:sz w:val="24"/>
          <w:szCs w:val="24"/>
          <w:highlight w:val="none"/>
          <w:shd w:fill="FFFFFF" w:val="clear"/>
        </w:rPr>
      </w:pPr>
      <w:r>
        <w:rPr>
          <w:b/>
          <w:bCs/>
          <w:sz w:val="24"/>
          <w:szCs w:val="24"/>
          <w:shd w:fill="FFFFFF" w:val="clear"/>
        </w:rPr>
      </w:r>
    </w:p>
    <w:p>
      <w:pPr>
        <w:pStyle w:val="Heading1"/>
        <w:numPr>
          <w:ilvl w:val="0"/>
          <w:numId w:val="0"/>
        </w:numPr>
        <w:spacing w:before="0" w:after="0"/>
        <w:ind w:left="0" w:hanging="0"/>
        <w:jc w:val="center"/>
        <w:rPr>
          <w:highlight w:val="none"/>
          <w:shd w:fill="FFFFFF" w:val="clear"/>
        </w:rPr>
      </w:pPr>
      <w:r>
        <w:rPr>
          <w:rFonts w:cs="Times New Roman"/>
          <w:color w:val="000000"/>
          <w:sz w:val="24"/>
          <w:szCs w:val="24"/>
          <w:shd w:fill="FFFFFF" w:val="clear"/>
        </w:rPr>
        <w:t>Финансовое обеспечение договора</w:t>
      </w:r>
    </w:p>
    <w:p>
      <w:pPr>
        <w:pStyle w:val="Heading1"/>
        <w:numPr>
          <w:ilvl w:val="0"/>
          <w:numId w:val="0"/>
        </w:numPr>
        <w:spacing w:before="0" w:after="0"/>
        <w:ind w:left="0" w:hanging="0"/>
        <w:rPr>
          <w:rFonts w:ascii="Times New Roman" w:hAnsi="Times New Roman" w:cs="Times New Roman"/>
          <w:b/>
          <w:sz w:val="24"/>
          <w:szCs w:val="24"/>
          <w:highlight w:val="none"/>
          <w:shd w:fill="FFFFFF" w:val="clear"/>
        </w:rPr>
      </w:pPr>
      <w:r>
        <w:rPr>
          <w:rFonts w:cs="Times New Roman"/>
          <w:b/>
          <w:sz w:val="24"/>
          <w:szCs w:val="24"/>
          <w:shd w:fill="FFFFFF" w:val="clear"/>
        </w:rPr>
      </w:r>
    </w:p>
    <w:p>
      <w:pPr>
        <w:pStyle w:val="Heading1"/>
        <w:numPr>
          <w:ilvl w:val="0"/>
          <w:numId w:val="0"/>
        </w:numPr>
        <w:spacing w:before="0" w:after="0"/>
        <w:ind w:left="0" w:hanging="0"/>
        <w:rPr>
          <w:highlight w:val="none"/>
          <w:shd w:fill="FFFFFF" w:val="clear"/>
        </w:rPr>
      </w:pPr>
      <w:r>
        <w:rPr>
          <w:rFonts w:cs="Times New Roman"/>
          <w:color w:val="000000"/>
          <w:sz w:val="24"/>
          <w:szCs w:val="24"/>
          <w:shd w:fill="FFFFFF" w:val="clear"/>
        </w:rPr>
        <w:t>1. Критерии отбора Банков-гарантов</w:t>
      </w:r>
      <w:r>
        <w:rPr>
          <w:rStyle w:val="FootnoteReference"/>
          <w:rFonts w:cs="Times New Roman"/>
          <w:color w:val="000000"/>
          <w:sz w:val="24"/>
          <w:szCs w:val="24"/>
          <w:shd w:fill="FFFFFF" w:val="clear"/>
          <w:vertAlign w:val="superscript"/>
        </w:rPr>
        <w:footnoteReference w:id="2"/>
      </w:r>
    </w:p>
    <w:p>
      <w:pPr>
        <w:pStyle w:val="Normal"/>
        <w:spacing w:lineRule="auto" w:line="240" w:before="0" w:after="0"/>
        <w:ind w:left="709" w:hanging="0"/>
        <w:rPr>
          <w:rFonts w:ascii="Times New Roman" w:hAnsi="Times New Roman" w:cs="Times New Roman"/>
          <w:b/>
          <w:sz w:val="24"/>
          <w:szCs w:val="24"/>
          <w:highlight w:val="none"/>
          <w:shd w:fill="FFFFFF" w:val="clear"/>
        </w:rPr>
      </w:pPr>
      <w:r>
        <w:rPr>
          <w:rFonts w:cs="Times New Roman"/>
          <w:b/>
          <w:sz w:val="24"/>
          <w:szCs w:val="24"/>
          <w:shd w:fill="FFFFFF" w:val="clear"/>
        </w:rPr>
      </w:r>
    </w:p>
    <w:p>
      <w:pPr>
        <w:pStyle w:val="Normal"/>
        <w:tabs>
          <w:tab w:val="clear" w:pos="720"/>
          <w:tab w:val="left" w:pos="1134" w:leader="none"/>
        </w:tabs>
        <w:spacing w:lineRule="auto" w:line="240" w:before="0" w:after="0"/>
        <w:ind w:firstLine="709"/>
        <w:jc w:val="both"/>
        <w:rPr>
          <w:highlight w:val="none"/>
          <w:shd w:fill="FFFFFF" w:val="clear"/>
        </w:rPr>
      </w:pPr>
      <w:r>
        <w:rPr>
          <w:rFonts w:cs="Times New Roman"/>
          <w:sz w:val="24"/>
          <w:szCs w:val="24"/>
          <w:shd w:fill="FFFFFF" w:val="clear"/>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shd w:fill="FFFFFF" w:val="clear"/>
        </w:rPr>
        <w:footnoteReference w:id="3"/>
      </w:r>
      <w:r>
        <w:rPr>
          <w:rFonts w:cs="Times New Roman"/>
          <w:sz w:val="24"/>
          <w:szCs w:val="24"/>
          <w:shd w:fill="FFFFFF" w:val="clear"/>
        </w:rPr>
        <w:t>, а также соответствовать следующим критериям:</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shd w:fill="FFFFFF" w:val="clear"/>
        </w:rPr>
        <w:footnoteReference w:id="4"/>
      </w:r>
      <w:r>
        <w:rPr>
          <w:rFonts w:cs="Times New Roman"/>
          <w:sz w:val="24"/>
          <w:szCs w:val="24"/>
          <w:shd w:fill="FFFFFF" w:val="clear"/>
        </w:rPr>
        <w:t xml:space="preserve">. </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shd w:fill="FFFFFF" w:val="clear"/>
        </w:rPr>
        <w:footnoteReference w:id="5"/>
      </w:r>
      <w:r>
        <w:rPr>
          <w:rFonts w:cs="Times New Roman"/>
          <w:sz w:val="24"/>
          <w:szCs w:val="24"/>
          <w:shd w:fill="FFFFFF" w:val="clear"/>
        </w:rPr>
        <w:t>.</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Не иметь просроченную задолженность перед АО «Гидроремонт-ВКК» и компаниями Группы РусГидро.</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Требования, установленные пунктами 2 – 4 настоящих Критериев, не распространяются на кредитные организации:</w:t>
      </w:r>
    </w:p>
    <w:p>
      <w:pPr>
        <w:pStyle w:val="Normal"/>
        <w:numPr>
          <w:ilvl w:val="1"/>
        </w:numPr>
        <w:spacing w:lineRule="auto" w:line="240" w:before="0" w:after="0"/>
        <w:jc w:val="both"/>
        <w:rPr>
          <w:highlight w:val="none"/>
          <w:shd w:fill="FFFFFF" w:val="clear"/>
        </w:rPr>
      </w:pPr>
      <w:r>
        <w:rPr>
          <w:rFonts w:cs="Times New Roman"/>
          <w:sz w:val="24"/>
          <w:szCs w:val="24"/>
          <w:shd w:fill="FFFFFF" w:val="clear"/>
        </w:rPr>
        <w:tab/>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jc w:val="both"/>
        <w:rPr>
          <w:highlight w:val="none"/>
          <w:shd w:fill="FFFFFF" w:val="clear"/>
        </w:rPr>
      </w:pPr>
      <w:r>
        <w:rPr>
          <w:rFonts w:cs="Times New Roman"/>
          <w:sz w:val="24"/>
          <w:szCs w:val="24"/>
          <w:shd w:fill="FFFFFF" w:val="clear"/>
        </w:rPr>
        <w:tab/>
        <w:t>8.2.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spacing w:lineRule="auto" w:line="240" w:before="0" w:after="0"/>
        <w:jc w:val="both"/>
        <w:rPr>
          <w:highlight w:val="none"/>
          <w:shd w:fill="FFFFFF" w:val="clear"/>
        </w:rPr>
      </w:pPr>
      <w:r>
        <w:rPr>
          <w:rFonts w:cs="Times New Roman"/>
          <w:sz w:val="24"/>
          <w:szCs w:val="24"/>
          <w:shd w:fill="FFFFFF" w:val="clear"/>
        </w:rPr>
        <w:tab/>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jc w:val="both"/>
        <w:rPr>
          <w:highlight w:val="none"/>
          <w:shd w:fill="FFFFFF" w:val="clear"/>
        </w:rPr>
      </w:pPr>
      <w:r>
        <w:rPr>
          <w:rFonts w:cs="Times New Roman"/>
          <w:sz w:val="24"/>
          <w:szCs w:val="24"/>
          <w:shd w:fill="FFFFFF" w:val="clear"/>
        </w:rPr>
        <w:tab/>
        <w:t>8.4. ВЭБ.РФ.</w:t>
      </w:r>
    </w:p>
    <w:p>
      <w:pPr>
        <w:pStyle w:val="Normal"/>
        <w:numPr>
          <w:ilvl w:val="1"/>
          <w:numId w:val="10"/>
        </w:numPr>
        <w:tabs>
          <w:tab w:val="clear" w:pos="720"/>
          <w:tab w:val="left" w:pos="1134" w:leader="none"/>
        </w:tabs>
        <w:spacing w:lineRule="auto" w:line="240" w:before="0" w:after="0"/>
        <w:ind w:left="0" w:firstLine="710"/>
        <w:jc w:val="both"/>
        <w:rPr>
          <w:highlight w:val="none"/>
          <w:shd w:fill="FFFFFF" w:val="clear"/>
        </w:rPr>
      </w:pPr>
      <w:r>
        <w:rPr>
          <w:rFonts w:cs="Times New Roman"/>
          <w:sz w:val="24"/>
          <w:szCs w:val="24"/>
          <w:shd w:fill="FFFFFF" w:val="clear"/>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numPr>
          <w:ilvl w:val="1"/>
        </w:numPr>
        <w:tabs>
          <w:tab w:val="clear" w:pos="720"/>
          <w:tab w:val="left" w:pos="1134" w:leader="none"/>
        </w:tabs>
        <w:spacing w:lineRule="auto" w:line="240" w:before="0" w:after="0"/>
        <w:ind w:firstLine="709"/>
        <w:jc w:val="center"/>
        <w:rPr>
          <w:highlight w:val="none"/>
          <w:shd w:fill="FFFFFF" w:val="clear"/>
        </w:rPr>
      </w:pPr>
      <w:r>
        <w:rPr>
          <w:rFonts w:cs="Times New Roman"/>
          <w:b/>
          <w:i/>
          <w:sz w:val="24"/>
          <w:szCs w:val="24"/>
          <w:shd w:fill="FFFFFF" w:val="clear"/>
        </w:rPr>
        <w:t>Lim</w:t>
      </w:r>
      <w:r>
        <w:rPr>
          <w:rFonts w:cs="Times New Roman"/>
          <w:b/>
          <w:i/>
          <w:sz w:val="24"/>
          <w:szCs w:val="24"/>
          <w:shd w:fill="FFFFFF" w:val="clear"/>
          <w:vertAlign w:val="subscript"/>
        </w:rPr>
        <w:t>Ai</w:t>
      </w:r>
      <w:r>
        <w:rPr>
          <w:rFonts w:cs="Times New Roman"/>
          <w:b/>
          <w:i/>
          <w:sz w:val="24"/>
          <w:szCs w:val="24"/>
          <w:shd w:fill="FFFFFF" w:val="clear"/>
        </w:rPr>
        <w:t xml:space="preserve"> = r</w:t>
      </w:r>
      <w:r>
        <w:rPr>
          <w:rFonts w:cs="Times New Roman"/>
          <w:b/>
          <w:i/>
          <w:sz w:val="24"/>
          <w:szCs w:val="24"/>
          <w:shd w:fill="FFFFFF" w:val="clear"/>
          <w:vertAlign w:val="subscript"/>
        </w:rPr>
        <w:t>i</w:t>
      </w:r>
      <w:r>
        <w:rPr>
          <w:rFonts w:cs="Times New Roman"/>
          <w:b/>
          <w:i/>
          <w:sz w:val="24"/>
          <w:szCs w:val="24"/>
          <w:shd w:fill="FFFFFF" w:val="clear"/>
        </w:rPr>
        <w:t xml:space="preserve"> × СK</w:t>
      </w:r>
      <w:r>
        <w:rPr>
          <w:rFonts w:cs="Times New Roman"/>
          <w:b/>
          <w:i/>
          <w:sz w:val="24"/>
          <w:szCs w:val="24"/>
          <w:shd w:fill="FFFFFF" w:val="clear"/>
          <w:vertAlign w:val="subscript"/>
        </w:rPr>
        <w:t>i</w:t>
      </w:r>
      <w:r>
        <w:rPr>
          <w:shd w:fill="FFFFFF" w:val="clear"/>
        </w:rPr>
        <w:t>, где</w:t>
      </w:r>
    </w:p>
    <w:tbl>
      <w:tblPr>
        <w:tblW w:w="9606" w:type="dxa"/>
        <w:jc w:val="left"/>
        <w:tblInd w:w="0" w:type="dxa"/>
        <w:tblLayout w:type="fixed"/>
        <w:tblCellMar>
          <w:top w:w="0" w:type="dxa"/>
          <w:left w:w="108" w:type="dxa"/>
          <w:bottom w:w="0" w:type="dxa"/>
          <w:right w:w="108" w:type="dxa"/>
        </w:tblCellMar>
      </w:tblPr>
      <w:tblGrid>
        <w:gridCol w:w="817"/>
        <w:gridCol w:w="280"/>
        <w:gridCol w:w="8509"/>
      </w:tblGrid>
      <w:tr>
        <w:trPr>
          <w:trHeight w:val="426" w:hRule="atLeast"/>
        </w:trPr>
        <w:tc>
          <w:tcPr>
            <w:tcW w:w="817" w:type="dxa"/>
            <w:tcBorders/>
          </w:tcPr>
          <w:p>
            <w:pPr>
              <w:pStyle w:val="Normal"/>
              <w:widowControl w:val="false"/>
              <w:spacing w:lineRule="auto" w:line="240" w:before="0" w:after="0"/>
              <w:ind w:right="-108" w:hanging="0"/>
              <w:jc w:val="both"/>
              <w:rPr>
                <w:highlight w:val="none"/>
                <w:shd w:fill="FFFFFF" w:val="clear"/>
              </w:rPr>
            </w:pPr>
            <w:r>
              <w:rPr>
                <w:rFonts w:cs="Times New Roman"/>
                <w:b/>
                <w:i/>
                <w:sz w:val="24"/>
                <w:szCs w:val="24"/>
                <w:shd w:fill="FFFFFF" w:val="clear"/>
              </w:rPr>
              <w:t>Lim</w:t>
            </w:r>
            <w:r>
              <w:rPr>
                <w:rFonts w:cs="Times New Roman"/>
                <w:b/>
                <w:i/>
                <w:sz w:val="24"/>
                <w:szCs w:val="24"/>
                <w:shd w:fill="FFFFFF" w:val="clear"/>
                <w:vertAlign w:val="subscript"/>
                <w:lang w:val="en-US"/>
              </w:rPr>
              <w:t>Ai</w:t>
            </w:r>
          </w:p>
        </w:tc>
        <w:tc>
          <w:tcPr>
            <w:tcW w:w="280" w:type="dxa"/>
            <w:tcBorders/>
          </w:tcPr>
          <w:p>
            <w:pPr>
              <w:pStyle w:val="Normal"/>
              <w:widowControl w:val="false"/>
              <w:spacing w:lineRule="auto" w:line="240" w:before="0" w:after="0"/>
              <w:ind w:left="317" w:right="-108" w:hanging="317"/>
              <w:jc w:val="both"/>
              <w:rPr>
                <w:highlight w:val="none"/>
                <w:shd w:fill="FFFFFF" w:val="clear"/>
              </w:rPr>
            </w:pPr>
            <w:r>
              <w:rPr>
                <w:rFonts w:cs="Times New Roman"/>
                <w:sz w:val="24"/>
                <w:szCs w:val="24"/>
                <w:shd w:fill="FFFFFF" w:val="clear"/>
              </w:rPr>
              <w:t>-</w:t>
            </w:r>
          </w:p>
        </w:tc>
        <w:tc>
          <w:tcPr>
            <w:tcW w:w="8509" w:type="dxa"/>
            <w:tcBorders/>
          </w:tcPr>
          <w:p>
            <w:pPr>
              <w:pStyle w:val="Normal"/>
              <w:widowControl w:val="false"/>
              <w:spacing w:lineRule="auto" w:line="240" w:before="0" w:after="0"/>
              <w:ind w:left="-75" w:right="-108" w:hanging="0"/>
              <w:jc w:val="both"/>
              <w:rPr>
                <w:highlight w:val="none"/>
                <w:shd w:fill="FFFFFF" w:val="clear"/>
              </w:rPr>
            </w:pPr>
            <w:r>
              <w:rPr>
                <w:rFonts w:cs="Times New Roman"/>
                <w:sz w:val="24"/>
                <w:szCs w:val="24"/>
                <w:shd w:fill="FFFFFF" w:val="clear"/>
              </w:rPr>
              <w:t>Лимит риска для i-ой кредитной организации</w:t>
            </w:r>
            <w:r>
              <w:rPr>
                <w:rStyle w:val="FootnoteReference"/>
                <w:rFonts w:cs="Times New Roman"/>
                <w:sz w:val="24"/>
                <w:szCs w:val="24"/>
                <w:shd w:fill="FFFFFF" w:val="clear"/>
                <w:vertAlign w:val="superscript"/>
              </w:rPr>
              <w:footnoteReference w:id="6"/>
            </w:r>
            <w:r>
              <w:rPr>
                <w:rFonts w:cs="Times New Roman"/>
                <w:sz w:val="24"/>
                <w:szCs w:val="24"/>
                <w:shd w:fill="FFFFFF" w:val="clear"/>
                <w:vertAlign w:val="superscript"/>
              </w:rPr>
              <w:t>.</w:t>
            </w:r>
          </w:p>
        </w:tc>
      </w:tr>
      <w:tr>
        <w:trPr>
          <w:trHeight w:val="280" w:hRule="atLeast"/>
        </w:trPr>
        <w:tc>
          <w:tcPr>
            <w:tcW w:w="817" w:type="dxa"/>
            <w:tcBorders/>
          </w:tcPr>
          <w:p>
            <w:pPr>
              <w:pStyle w:val="Normal"/>
              <w:widowControl w:val="false"/>
              <w:spacing w:lineRule="auto" w:line="240" w:before="0" w:after="0"/>
              <w:ind w:right="-108" w:hanging="0"/>
              <w:jc w:val="both"/>
              <w:rPr>
                <w:highlight w:val="none"/>
                <w:shd w:fill="FFFFFF" w:val="clear"/>
              </w:rPr>
            </w:pPr>
            <w:r>
              <w:rPr>
                <w:rFonts w:cs="Times New Roman"/>
                <w:b/>
                <w:i/>
                <w:sz w:val="24"/>
                <w:szCs w:val="24"/>
                <w:shd w:fill="FFFFFF" w:val="clear"/>
              </w:rPr>
              <w:t>С</w:t>
            </w:r>
            <w:r>
              <w:rPr>
                <w:rFonts w:cs="Times New Roman"/>
                <w:b/>
                <w:i/>
                <w:sz w:val="24"/>
                <w:szCs w:val="24"/>
                <w:shd w:fill="FFFFFF" w:val="clear"/>
                <w:lang w:val="en-US"/>
              </w:rPr>
              <w:t>K</w:t>
            </w:r>
            <w:r>
              <w:rPr>
                <w:rFonts w:cs="Times New Roman"/>
                <w:b/>
                <w:i/>
                <w:sz w:val="24"/>
                <w:szCs w:val="24"/>
                <w:shd w:fill="FFFFFF" w:val="clear"/>
                <w:vertAlign w:val="subscript"/>
                <w:lang w:val="en-US"/>
              </w:rPr>
              <w:t>i</w:t>
            </w:r>
          </w:p>
          <w:p>
            <w:pPr>
              <w:pStyle w:val="Normal"/>
              <w:widowControl w:val="false"/>
              <w:spacing w:lineRule="auto" w:line="240" w:before="0" w:after="0"/>
              <w:ind w:right="-108" w:hanging="0"/>
              <w:jc w:val="both"/>
              <w:rPr>
                <w:rFonts w:ascii="Times New Roman" w:hAnsi="Times New Roman" w:cs="Times New Roman"/>
                <w:b/>
                <w:i/>
                <w:i/>
                <w:sz w:val="24"/>
                <w:szCs w:val="24"/>
                <w:highlight w:val="none"/>
                <w:shd w:fill="FFFFFF" w:val="clear"/>
                <w:vertAlign w:val="subscript"/>
              </w:rPr>
            </w:pPr>
            <w:r>
              <w:rPr>
                <w:rFonts w:cs="Times New Roman"/>
                <w:b/>
                <w:i/>
                <w:sz w:val="24"/>
                <w:szCs w:val="24"/>
                <w:shd w:fill="FFFFFF" w:val="clear"/>
                <w:vertAlign w:val="subscript"/>
              </w:rPr>
            </w:r>
          </w:p>
        </w:tc>
        <w:tc>
          <w:tcPr>
            <w:tcW w:w="280" w:type="dxa"/>
            <w:tcBorders/>
          </w:tcPr>
          <w:p>
            <w:pPr>
              <w:pStyle w:val="Normal"/>
              <w:widowControl w:val="false"/>
              <w:spacing w:lineRule="auto" w:line="240" w:before="0" w:after="0"/>
              <w:ind w:right="-108" w:hanging="0"/>
              <w:jc w:val="both"/>
              <w:rPr>
                <w:highlight w:val="none"/>
                <w:shd w:fill="FFFFFF" w:val="clear"/>
              </w:rPr>
            </w:pPr>
            <w:r>
              <w:rPr>
                <w:rFonts w:cs="Times New Roman"/>
                <w:sz w:val="24"/>
                <w:szCs w:val="24"/>
                <w:shd w:fill="FFFFFF" w:val="clear"/>
              </w:rPr>
              <w:t>-</w:t>
            </w:r>
          </w:p>
        </w:tc>
        <w:tc>
          <w:tcPr>
            <w:tcW w:w="8509" w:type="dxa"/>
            <w:tcBorders/>
          </w:tcPr>
          <w:p>
            <w:pPr>
              <w:pStyle w:val="Normal"/>
              <w:widowControl w:val="false"/>
              <w:spacing w:lineRule="auto" w:line="240" w:before="0" w:after="0"/>
              <w:ind w:left="-75" w:right="-108" w:hanging="0"/>
              <w:jc w:val="both"/>
              <w:rPr/>
            </w:pPr>
            <w:r>
              <w:rPr>
                <w:rFonts w:cs="Times New Roman"/>
                <w:sz w:val="24"/>
                <w:szCs w:val="24"/>
                <w:shd w:fill="FFFFFF" w:val="clear"/>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6">
              <w:r>
                <w:rPr>
                  <w:rStyle w:val="Hyperlink"/>
                  <w:rFonts w:cs="Times New Roman"/>
                  <w:sz w:val="24"/>
                  <w:szCs w:val="24"/>
                  <w:u w:val="single"/>
                  <w:shd w:fill="FFFFFF" w:val="clear"/>
                </w:rPr>
                <w:t>www.cbr.ru</w:t>
              </w:r>
            </w:hyperlink>
            <w:r>
              <w:rPr>
                <w:rFonts w:cs="Times New Roman"/>
                <w:sz w:val="24"/>
                <w:szCs w:val="24"/>
                <w:shd w:fill="FFFFFF" w:val="clear"/>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before="0" w:after="0"/>
              <w:ind w:right="-108" w:hanging="0"/>
              <w:jc w:val="both"/>
              <w:rPr>
                <w:highlight w:val="none"/>
                <w:shd w:fill="FFFFFF" w:val="clear"/>
              </w:rPr>
            </w:pPr>
            <w:r>
              <w:rPr>
                <w:rFonts w:cs="Times New Roman"/>
                <w:b/>
                <w:i/>
                <w:sz w:val="24"/>
                <w:szCs w:val="24"/>
                <w:shd w:fill="FFFFFF" w:val="clear"/>
              </w:rPr>
              <w:t>r</w:t>
            </w:r>
            <w:r>
              <w:rPr>
                <w:rFonts w:cs="Times New Roman"/>
                <w:b/>
                <w:i/>
                <w:sz w:val="24"/>
                <w:szCs w:val="24"/>
                <w:shd w:fill="FFFFFF" w:val="clear"/>
                <w:vertAlign w:val="subscript"/>
              </w:rPr>
              <w:t>i</w:t>
            </w:r>
          </w:p>
        </w:tc>
        <w:tc>
          <w:tcPr>
            <w:tcW w:w="280" w:type="dxa"/>
            <w:tcBorders/>
          </w:tcPr>
          <w:p>
            <w:pPr>
              <w:pStyle w:val="Normal"/>
              <w:widowControl w:val="false"/>
              <w:spacing w:lineRule="auto" w:line="240" w:before="0" w:after="0"/>
              <w:ind w:right="-108" w:hanging="0"/>
              <w:jc w:val="both"/>
              <w:rPr>
                <w:highlight w:val="none"/>
                <w:shd w:fill="FFFFFF" w:val="clear"/>
              </w:rPr>
            </w:pPr>
            <w:r>
              <w:rPr>
                <w:rFonts w:cs="Times New Roman"/>
                <w:sz w:val="24"/>
                <w:szCs w:val="24"/>
                <w:shd w:fill="FFFFFF" w:val="clear"/>
              </w:rPr>
              <w:t>-</w:t>
            </w:r>
          </w:p>
        </w:tc>
        <w:tc>
          <w:tcPr>
            <w:tcW w:w="8509" w:type="dxa"/>
            <w:tcBorders/>
          </w:tcPr>
          <w:p>
            <w:pPr>
              <w:pStyle w:val="Normal"/>
              <w:widowControl w:val="false"/>
              <w:tabs>
                <w:tab w:val="clear" w:pos="720"/>
                <w:tab w:val="left" w:pos="7130" w:leader="none"/>
              </w:tabs>
              <w:spacing w:lineRule="auto" w:line="240" w:before="0" w:after="0"/>
              <w:ind w:right="-108" w:hanging="0"/>
              <w:jc w:val="both"/>
              <w:rPr>
                <w:highlight w:val="none"/>
                <w:shd w:fill="FFFFFF" w:val="clear"/>
              </w:rPr>
            </w:pPr>
            <w:r>
              <w:rPr>
                <w:rFonts w:cs="Times New Roman"/>
                <w:sz w:val="24"/>
                <w:szCs w:val="24"/>
                <w:shd w:fill="FFFFFF" w:val="clear"/>
              </w:rPr>
              <w:t>рейтинговый коэффициент</w:t>
            </w:r>
            <w:r>
              <w:rPr>
                <w:rStyle w:val="FootnoteReference"/>
                <w:sz w:val="24"/>
                <w:szCs w:val="24"/>
                <w:shd w:fill="FFFFFF" w:val="clear"/>
              </w:rPr>
              <w:footnoteReference w:id="7"/>
            </w:r>
            <w:r>
              <w:rPr>
                <w:rFonts w:cs="Times New Roman"/>
                <w:sz w:val="24"/>
                <w:szCs w:val="24"/>
                <w:shd w:fill="FFFFFF" w:val="clear"/>
              </w:rPr>
              <w:t xml:space="preserve"> для i-ой кредитной организации, равный:</w:t>
            </w:r>
          </w:p>
          <w:p>
            <w:pPr>
              <w:pStyle w:val="Normal"/>
              <w:widowControl w:val="false"/>
              <w:spacing w:lineRule="auto" w:line="240" w:before="0" w:after="0"/>
              <w:ind w:firstLine="492"/>
              <w:jc w:val="both"/>
              <w:rPr>
                <w:highlight w:val="none"/>
                <w:shd w:fill="FFFFFF" w:val="clear"/>
              </w:rPr>
            </w:pPr>
            <w:r>
              <w:rPr>
                <w:rFonts w:cs="Times New Roman"/>
                <w:b/>
                <w:sz w:val="24"/>
                <w:szCs w:val="24"/>
                <w:shd w:fill="FFFFFF" w:val="clear"/>
              </w:rPr>
              <w:t>0,05</w:t>
            </w:r>
            <w:r>
              <w:rPr>
                <w:rFonts w:cs="Times New Roman"/>
                <w:sz w:val="24"/>
                <w:szCs w:val="24"/>
                <w:shd w:fill="FFFFFF" w:val="clear"/>
              </w:rPr>
              <w:t xml:space="preserve"> - если i-ая кредитная организация имеет национальный рейтинг кредитоспособности не ниже уровня </w:t>
            </w:r>
            <w:r>
              <w:rPr>
                <w:rFonts w:cs="Times New Roman"/>
                <w:b/>
                <w:sz w:val="24"/>
                <w:szCs w:val="24"/>
                <w:shd w:fill="FFFFFF" w:val="clear"/>
              </w:rPr>
              <w:t>«АА-»</w:t>
            </w:r>
            <w:r>
              <w:rPr>
                <w:rFonts w:cs="Times New Roman"/>
                <w:sz w:val="24"/>
                <w:szCs w:val="24"/>
                <w:shd w:fill="FFFFFF" w:val="clear"/>
              </w:rPr>
              <w:t xml:space="preserve"> по классификации рейтингового агентства АКРА или не ниже уровня </w:t>
            </w:r>
            <w:r>
              <w:rPr>
                <w:rFonts w:cs="Times New Roman"/>
                <w:b/>
                <w:sz w:val="24"/>
                <w:szCs w:val="24"/>
                <w:shd w:fill="FFFFFF" w:val="clear"/>
              </w:rPr>
              <w:t>«</w:t>
            </w:r>
            <w:r>
              <w:rPr>
                <w:rFonts w:cs="Times New Roman"/>
                <w:b/>
                <w:sz w:val="24"/>
                <w:szCs w:val="24"/>
                <w:shd w:fill="FFFFFF" w:val="clear"/>
                <w:lang w:val="en-US"/>
              </w:rPr>
              <w:t>ru</w:t>
            </w:r>
            <w:r>
              <w:rPr>
                <w:rFonts w:cs="Times New Roman"/>
                <w:b/>
                <w:sz w:val="24"/>
                <w:szCs w:val="24"/>
                <w:shd w:fill="FFFFFF" w:val="clear"/>
              </w:rPr>
              <w:t>А</w:t>
            </w:r>
            <w:r>
              <w:rPr>
                <w:rFonts w:cs="Times New Roman"/>
                <w:b/>
                <w:sz w:val="24"/>
                <w:szCs w:val="24"/>
                <w:shd w:fill="FFFFFF" w:val="clear"/>
                <w:lang w:val="en-US"/>
              </w:rPr>
              <w:t>A</w:t>
            </w:r>
            <w:r>
              <w:rPr>
                <w:rFonts w:cs="Times New Roman"/>
                <w:b/>
                <w:sz w:val="24"/>
                <w:szCs w:val="24"/>
                <w:shd w:fill="FFFFFF" w:val="clear"/>
              </w:rPr>
              <w:t>-»</w:t>
            </w:r>
            <w:r>
              <w:rPr>
                <w:rFonts w:cs="Times New Roman"/>
                <w:sz w:val="24"/>
                <w:szCs w:val="24"/>
                <w:shd w:fill="FFFFFF" w:val="clear"/>
              </w:rPr>
              <w:t xml:space="preserve"> по классификации рейтингового агентства Эксперт РА;</w:t>
            </w:r>
          </w:p>
          <w:p>
            <w:pPr>
              <w:pStyle w:val="Normal"/>
              <w:widowControl w:val="false"/>
              <w:spacing w:lineRule="auto" w:line="240" w:before="0" w:after="0"/>
              <w:ind w:left="67" w:firstLine="425"/>
              <w:jc w:val="both"/>
              <w:rPr>
                <w:highlight w:val="none"/>
                <w:shd w:fill="FFFFFF" w:val="clear"/>
              </w:rPr>
            </w:pPr>
            <w:r>
              <w:rPr>
                <w:rFonts w:cs="Times New Roman"/>
                <w:b/>
                <w:sz w:val="24"/>
                <w:szCs w:val="24"/>
                <w:shd w:fill="FFFFFF" w:val="clear"/>
              </w:rPr>
              <w:t>0,025</w:t>
            </w:r>
            <w:r>
              <w:rPr>
                <w:rFonts w:cs="Times New Roman"/>
                <w:sz w:val="24"/>
                <w:szCs w:val="24"/>
                <w:shd w:fill="FFFFFF" w:val="clear"/>
              </w:rPr>
              <w:t xml:space="preserve"> - если i-ая кредитная организация имеет национальный рейтинг кредитоспособности не ниже уровня </w:t>
            </w:r>
            <w:r>
              <w:rPr>
                <w:rFonts w:cs="Times New Roman"/>
                <w:b/>
                <w:sz w:val="24"/>
                <w:szCs w:val="24"/>
                <w:shd w:fill="FFFFFF" w:val="clear"/>
              </w:rPr>
              <w:t>«А-»</w:t>
            </w:r>
            <w:r>
              <w:rPr>
                <w:rFonts w:cs="Times New Roman"/>
                <w:sz w:val="24"/>
                <w:szCs w:val="24"/>
                <w:shd w:fill="FFFFFF" w:val="clear"/>
              </w:rPr>
              <w:t xml:space="preserve"> по классификации рейтингового агентства АКРА или не ниже уровня </w:t>
            </w:r>
            <w:r>
              <w:rPr>
                <w:rFonts w:cs="Times New Roman"/>
                <w:b/>
                <w:sz w:val="24"/>
                <w:szCs w:val="24"/>
                <w:shd w:fill="FFFFFF" w:val="clear"/>
              </w:rPr>
              <w:t>«ruA-»</w:t>
            </w:r>
            <w:r>
              <w:rPr>
                <w:rFonts w:cs="Times New Roman"/>
                <w:sz w:val="24"/>
                <w:szCs w:val="24"/>
                <w:shd w:fill="FFFFFF" w:val="clear"/>
              </w:rPr>
              <w:t xml:space="preserve"> по классификации рейтингового агентства Эксперт РА;</w:t>
            </w:r>
          </w:p>
          <w:p>
            <w:pPr>
              <w:pStyle w:val="Normal"/>
              <w:widowControl w:val="false"/>
              <w:spacing w:lineRule="auto" w:line="240" w:before="0" w:after="0"/>
              <w:ind w:firstLine="492"/>
              <w:jc w:val="both"/>
              <w:rPr>
                <w:highlight w:val="none"/>
                <w:shd w:fill="FFFFFF" w:val="clear"/>
              </w:rPr>
            </w:pPr>
            <w:r>
              <w:rPr>
                <w:rFonts w:cs="Times New Roman"/>
                <w:b/>
                <w:sz w:val="24"/>
                <w:szCs w:val="24"/>
                <w:shd w:fill="FFFFFF" w:val="clear"/>
              </w:rPr>
              <w:t>0,015</w:t>
            </w:r>
            <w:r>
              <w:rPr>
                <w:rFonts w:cs="Times New Roman"/>
                <w:sz w:val="24"/>
                <w:szCs w:val="24"/>
                <w:shd w:fill="FFFFFF" w:val="clear"/>
              </w:rPr>
              <w:t xml:space="preserve"> - если i-ая кредитная организация имеет национальный рейтинг кредитоспособности не ниже уровня </w:t>
            </w:r>
            <w:r>
              <w:rPr>
                <w:rFonts w:cs="Times New Roman"/>
                <w:b/>
                <w:sz w:val="24"/>
                <w:szCs w:val="24"/>
                <w:shd w:fill="FFFFFF" w:val="clear"/>
              </w:rPr>
              <w:t>«</w:t>
            </w:r>
            <w:r>
              <w:rPr>
                <w:rFonts w:cs="Times New Roman"/>
                <w:b/>
                <w:sz w:val="24"/>
                <w:szCs w:val="24"/>
                <w:shd w:fill="FFFFFF" w:val="clear"/>
                <w:lang w:val="en-US"/>
              </w:rPr>
              <w:t>BB</w:t>
            </w:r>
            <w:r>
              <w:rPr>
                <w:rFonts w:cs="Times New Roman"/>
                <w:b/>
                <w:sz w:val="24"/>
                <w:szCs w:val="24"/>
                <w:shd w:fill="FFFFFF" w:val="clear"/>
              </w:rPr>
              <w:t>В»</w:t>
            </w:r>
            <w:r>
              <w:rPr>
                <w:rFonts w:cs="Times New Roman"/>
                <w:sz w:val="24"/>
                <w:szCs w:val="24"/>
                <w:shd w:fill="FFFFFF" w:val="clear"/>
              </w:rPr>
              <w:t xml:space="preserve"> по классификации рейтингового агентства АКРА или не ниже уровня «</w:t>
            </w:r>
            <w:r>
              <w:rPr>
                <w:rFonts w:cs="Times New Roman"/>
                <w:sz w:val="24"/>
                <w:szCs w:val="24"/>
                <w:shd w:fill="FFFFFF" w:val="clear"/>
                <w:lang w:val="en-US"/>
              </w:rPr>
              <w:t>ruBB</w:t>
            </w:r>
            <w:r>
              <w:rPr>
                <w:rFonts w:cs="Times New Roman"/>
                <w:sz w:val="24"/>
                <w:szCs w:val="24"/>
                <w:shd w:fill="FFFFFF" w:val="clear"/>
              </w:rPr>
              <w:t>В» по классификации рейтингового агентства Эксперт РА, а также находится в процессе финансового оздоровления (санации).</w:t>
            </w:r>
          </w:p>
        </w:tc>
      </w:tr>
    </w:tbl>
    <w:p>
      <w:pPr>
        <w:pStyle w:val="Style22"/>
        <w:spacing w:lineRule="auto" w:line="240" w:before="0" w:after="0"/>
        <w:ind w:left="0" w:hanging="0"/>
        <w:contextualSpacing/>
        <w:rPr>
          <w:highlight w:val="none"/>
          <w:shd w:fill="FFFFFF" w:val="clear"/>
        </w:rPr>
      </w:pPr>
      <w:r>
        <w:br w:type="page"/>
      </w:r>
      <w:r>
        <w:rPr>
          <w:rFonts w:cs="Times New Roman"/>
          <w:sz w:val="24"/>
          <w:szCs w:val="24"/>
          <w:shd w:fill="FFFFFF" w:val="clear"/>
        </w:rPr>
        <w:t xml:space="preserve">2. </w:t>
      </w:r>
      <w:r>
        <w:rPr>
          <w:rFonts w:cs="Times New Roman"/>
          <w:b/>
          <w:sz w:val="24"/>
          <w:szCs w:val="24"/>
          <w:shd w:fill="FFFFFF" w:val="clear"/>
        </w:rPr>
        <w:t>Условия банковской гарантии</w:t>
      </w:r>
      <w:r>
        <w:rPr>
          <w:rStyle w:val="FootnoteReference"/>
          <w:rFonts w:cs="Times New Roman"/>
          <w:sz w:val="24"/>
          <w:szCs w:val="24"/>
          <w:shd w:fill="FFFFFF" w:val="clear"/>
          <w:vertAlign w:val="superscript"/>
        </w:rPr>
        <w:footnoteReference w:id="8"/>
      </w:r>
    </w:p>
    <w:p>
      <w:pPr>
        <w:pStyle w:val="Normal"/>
        <w:tabs>
          <w:tab w:val="clear" w:pos="720"/>
          <w:tab w:val="left" w:pos="540" w:leader="none"/>
        </w:tabs>
        <w:spacing w:lineRule="auto" w:line="240" w:before="0" w:after="0"/>
        <w:ind w:firstLine="709"/>
        <w:jc w:val="both"/>
        <w:rPr>
          <w:highlight w:val="none"/>
          <w:shd w:fill="FFFFFF" w:val="clear"/>
        </w:rPr>
      </w:pPr>
      <w:r>
        <w:rPr>
          <w:rFonts w:cs="Times New Roman"/>
          <w:bCs/>
          <w:sz w:val="24"/>
          <w:szCs w:val="24"/>
          <w:shd w:fill="FFFFFF" w:val="clear"/>
        </w:rPr>
        <w:t>Под банковской гарантией понимается гарантия согласованного Генеральными подрядчиком Банка</w:t>
      </w:r>
      <w:r>
        <w:rPr>
          <w:rFonts w:cs="Times New Roman"/>
          <w:sz w:val="24"/>
          <w:szCs w:val="24"/>
          <w:shd w:fill="FFFFFF" w:val="clear"/>
        </w:rPr>
        <w:t xml:space="preserve">, </w:t>
      </w:r>
      <w:r>
        <w:rPr>
          <w:rFonts w:cs="Times New Roman"/>
          <w:bCs/>
          <w:sz w:val="24"/>
          <w:szCs w:val="24"/>
          <w:shd w:fill="FFFFFF" w:val="clear"/>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rFonts w:cs="Times New Roman"/>
          <w:sz w:val="24"/>
          <w:szCs w:val="24"/>
          <w:shd w:fill="FFFFFF" w:val="clear"/>
        </w:rPr>
        <w:t>:</w:t>
      </w:r>
    </w:p>
    <w:p>
      <w:pPr>
        <w:pStyle w:val="Normal"/>
        <w:numPr>
          <w:ilvl w:val="0"/>
          <w:numId w:val="11"/>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банковская гарантия должна быть безотзывной и безусловной (гарантия по первому требованию);</w:t>
      </w:r>
    </w:p>
    <w:p>
      <w:pPr>
        <w:pStyle w:val="Normal"/>
        <w:numPr>
          <w:ilvl w:val="0"/>
          <w:numId w:val="11"/>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бенефициар по банковской гарантии – Генеральный подрядчик (далее – Бенефициар), принципал – Субподрядчик (далее – Принципал);</w:t>
      </w:r>
    </w:p>
    <w:p>
      <w:pPr>
        <w:pStyle w:val="Normal"/>
        <w:numPr>
          <w:ilvl w:val="0"/>
          <w:numId w:val="11"/>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сумма банковской гарантии выражена в валюте расчетов по Договору;</w:t>
      </w:r>
    </w:p>
    <w:p>
      <w:pPr>
        <w:pStyle w:val="Normal"/>
        <w:numPr>
          <w:ilvl w:val="0"/>
          <w:numId w:val="11"/>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сумма банковской гарантии возврата авансового платежа – не менее 100 (ста) процентов от суммы уплачиваемого по Договору аванса (в совокупной сумме с учетом ранее выплаченных и неотработанных авансовых платежей);</w:t>
      </w:r>
    </w:p>
    <w:p>
      <w:pPr>
        <w:pStyle w:val="Normal"/>
        <w:numPr>
          <w:ilvl w:val="0"/>
          <w:numId w:val="11"/>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сумма банковской гарантии надлежащего исполнения обязательств по Договору должна составлять не менее 10 (десяти) процентов от цены Договора / объекта;</w:t>
      </w:r>
    </w:p>
    <w:p>
      <w:pPr>
        <w:pStyle w:val="Normal"/>
        <w:numPr>
          <w:ilvl w:val="0"/>
          <w:numId w:val="11"/>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w:t>
      </w:r>
    </w:p>
    <w:p>
      <w:pPr>
        <w:pStyle w:val="Normal"/>
        <w:numPr>
          <w:ilvl w:val="0"/>
        </w:numPr>
        <w:spacing w:lineRule="auto" w:line="240" w:before="0" w:after="0"/>
        <w:ind w:firstLine="709"/>
        <w:jc w:val="both"/>
        <w:rPr>
          <w:highlight w:val="none"/>
          <w:shd w:fill="FFFFFF" w:val="clear"/>
        </w:rPr>
      </w:pPr>
      <w:r>
        <w:rPr>
          <w:rFonts w:cs="Times New Roman"/>
          <w:bCs/>
          <w:sz w:val="24"/>
          <w:szCs w:val="24"/>
          <w:shd w:fill="FFFFFF" w:val="clear"/>
        </w:rPr>
        <w:t>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Принципалом нарушений, в том числе в случаях</w:t>
      </w:r>
      <w:r>
        <w:rPr>
          <w:rFonts w:cs="Times New Roman"/>
          <w:sz w:val="24"/>
          <w:szCs w:val="24"/>
          <w:shd w:fill="FFFFFF" w:val="clear"/>
        </w:rPr>
        <w:t>:</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отказа Принципала от исполнения обязательств по Договору, в том числе одностороннего отказа от Договора;</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 xml:space="preserve">отказа Принципала от возврата неотработанного аванса при досрочном прекращении Договора/признании Договора недействительным; </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eastAsia="Times New Roman" w:cs="Times New Roman"/>
          <w:sz w:val="24"/>
          <w:szCs w:val="24"/>
          <w:shd w:fill="FFFFFF" w:val="clear"/>
        </w:rPr>
        <w:t xml:space="preserve"> </w:t>
      </w:r>
      <w:r>
        <w:rPr>
          <w:rFonts w:cs="Times New Roman"/>
          <w:sz w:val="24"/>
          <w:szCs w:val="24"/>
          <w:shd w:fill="FFFFFF" w:val="clear"/>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введения арбитражным судом процедуры несостоятельности (банкротства) в отношении Принципала;</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признания Договора недействительным по причинам отсутствия необходимых корпоративных одобрений у Принципала;</w:t>
      </w:r>
    </w:p>
    <w:p>
      <w:pPr>
        <w:pStyle w:val="Normal"/>
        <w:numPr>
          <w:ilvl w:val="0"/>
          <w:numId w:val="12"/>
        </w:numPr>
        <w:tabs>
          <w:tab w:val="clear" w:pos="720"/>
          <w:tab w:val="left" w:pos="1134" w:leader="none"/>
        </w:tabs>
        <w:spacing w:lineRule="auto" w:line="240" w:before="0" w:after="0"/>
        <w:ind w:left="0" w:firstLine="709"/>
        <w:jc w:val="both"/>
        <w:rPr>
          <w:highlight w:val="none"/>
          <w:shd w:fill="FFFFFF" w:val="clear"/>
        </w:rPr>
      </w:pPr>
      <w:r>
        <w:rPr>
          <w:rFonts w:cs="Times New Roman"/>
          <w:sz w:val="24"/>
          <w:szCs w:val="24"/>
          <w:shd w:fill="FFFFFF" w:val="clear"/>
        </w:rPr>
        <w:t>не предоставления Принципалом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банковской гарантии либо срок исполнения обязательств продлен.</w:t>
      </w:r>
    </w:p>
    <w:p>
      <w:pPr>
        <w:pStyle w:val="Normal"/>
        <w:numPr>
          <w:ilvl w:val="0"/>
        </w:numPr>
        <w:spacing w:lineRule="auto" w:line="240" w:before="0" w:after="0"/>
        <w:ind w:firstLine="709"/>
        <w:jc w:val="both"/>
        <w:rPr>
          <w:highlight w:val="none"/>
          <w:shd w:fill="FFFFFF" w:val="clear"/>
        </w:rPr>
      </w:pPr>
      <w:r>
        <w:rPr>
          <w:rFonts w:cs="Times New Roman"/>
          <w:sz w:val="24"/>
          <w:szCs w:val="24"/>
          <w:shd w:fill="FFFFFF" w:val="clear"/>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lineRule="auto" w:line="240" w:before="0" w:after="0"/>
        <w:ind w:firstLine="709"/>
        <w:jc w:val="both"/>
        <w:rPr>
          <w:highlight w:val="none"/>
          <w:shd w:fill="FFFFFF" w:val="clear"/>
        </w:rPr>
      </w:pPr>
      <w:r>
        <w:rPr>
          <w:rFonts w:cs="Times New Roman"/>
          <w:bCs/>
          <w:sz w:val="24"/>
          <w:szCs w:val="24"/>
          <w:shd w:fill="FFFFFF" w:val="clear"/>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lineRule="auto" w:line="240" w:before="0" w:after="0"/>
        <w:ind w:firstLine="709"/>
        <w:jc w:val="both"/>
        <w:rPr>
          <w:highlight w:val="none"/>
          <w:shd w:fill="FFFFFF" w:val="clear"/>
        </w:rPr>
      </w:pPr>
      <w:r>
        <w:rPr>
          <w:rFonts w:cs="Times New Roman"/>
          <w:sz w:val="24"/>
          <w:szCs w:val="24"/>
          <w:shd w:fill="FFFFFF" w:val="clear"/>
        </w:rPr>
        <w:t>Платеж по банковской гарантии осуществляется Банком-гарантом в течение 10 (десяти) рабочих дней после обращения Бенефициара.</w:t>
      </w:r>
    </w:p>
    <w:p>
      <w:pPr>
        <w:pStyle w:val="Normal"/>
        <w:spacing w:lineRule="auto" w:line="240" w:before="0" w:after="0"/>
        <w:ind w:firstLine="709"/>
        <w:jc w:val="both"/>
        <w:rPr>
          <w:highlight w:val="none"/>
          <w:shd w:fill="FFFFFF" w:val="clear"/>
        </w:rPr>
      </w:pPr>
      <w:r>
        <w:rPr>
          <w:rFonts w:cs="Times New Roman"/>
          <w:sz w:val="24"/>
          <w:szCs w:val="24"/>
          <w:shd w:fill="FFFFFF" w:val="clear"/>
        </w:rPr>
        <w:t>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 соответствующему объекту при условии подтверждения их выполнения</w:t>
      </w:r>
      <w:r>
        <w:rPr>
          <w:rStyle w:val="FootnoteReference"/>
          <w:sz w:val="24"/>
          <w:szCs w:val="24"/>
          <w:shd w:fill="FFFFFF" w:val="clear"/>
        </w:rPr>
        <w:footnoteReference w:id="9"/>
      </w:r>
      <w:r>
        <w:rPr>
          <w:rFonts w:cs="Times New Roman"/>
          <w:sz w:val="24"/>
          <w:szCs w:val="24"/>
          <w:shd w:fill="FFFFFF" w:val="clear"/>
        </w:rPr>
        <w:t>.</w:t>
      </w:r>
    </w:p>
    <w:p>
      <w:pPr>
        <w:pStyle w:val="Normal"/>
        <w:spacing w:lineRule="auto" w:line="240" w:before="0" w:after="0"/>
        <w:ind w:firstLine="709"/>
        <w:jc w:val="both"/>
        <w:rPr>
          <w:highlight w:val="none"/>
          <w:shd w:fill="FFFFFF" w:val="clear"/>
        </w:rPr>
      </w:pPr>
      <w:r>
        <w:rPr>
          <w:rFonts w:cs="Times New Roman"/>
          <w:sz w:val="24"/>
          <w:szCs w:val="24"/>
          <w:shd w:fill="FFFFFF" w:val="clear"/>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spacing w:lineRule="auto" w:line="240" w:before="0" w:after="0"/>
        <w:ind w:firstLine="709"/>
        <w:jc w:val="both"/>
        <w:rPr>
          <w:highlight w:val="none"/>
          <w:shd w:fill="FFFFFF" w:val="clear"/>
        </w:rPr>
      </w:pPr>
      <w:r>
        <w:rPr>
          <w:rFonts w:cs="Times New Roman"/>
          <w:sz w:val="24"/>
          <w:szCs w:val="24"/>
          <w:shd w:fill="FFFFFF" w:val="clear"/>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lineRule="auto" w:line="240" w:before="0" w:after="0"/>
        <w:ind w:firstLine="709"/>
        <w:jc w:val="both"/>
        <w:rPr>
          <w:highlight w:val="none"/>
          <w:shd w:fill="FFFFFF" w:val="clear"/>
        </w:rPr>
      </w:pPr>
      <w:r>
        <w:rPr>
          <w:rFonts w:cs="Times New Roman"/>
          <w:bCs/>
          <w:sz w:val="24"/>
          <w:szCs w:val="24"/>
          <w:shd w:fill="FFFFFF" w:val="clear"/>
        </w:rPr>
        <w:t>Банковская гарантия должна быть подчинена материальному праву Российской Федерации и предусматривать Арбитражный суд г. Москвы в качестве органа, компетентного разрешать споры из банковской гарантии.</w:t>
      </w:r>
    </w:p>
    <w:p>
      <w:pPr>
        <w:pStyle w:val="Normal"/>
        <w:spacing w:lineRule="auto" w:line="240" w:before="0" w:after="0"/>
        <w:ind w:firstLine="709"/>
        <w:jc w:val="both"/>
        <w:rPr>
          <w:highlight w:val="none"/>
          <w:shd w:fill="FFFFFF" w:val="clear"/>
        </w:rPr>
      </w:pPr>
      <w:r>
        <w:rPr>
          <w:rFonts w:cs="Times New Roman"/>
          <w:sz w:val="24"/>
          <w:szCs w:val="24"/>
          <w:shd w:fill="FFFFFF" w:val="clear"/>
        </w:rPr>
        <w:t>Банковская гарантия не должна содержать условий или требований, противоречащих изложенному или делающих изложенное неисполнимым.</w:t>
      </w:r>
      <w:r>
        <w:br w:type="page"/>
      </w:r>
    </w:p>
    <w:p>
      <w:pPr>
        <w:pStyle w:val="Normal"/>
        <w:spacing w:lineRule="auto" w:line="240" w:before="0" w:after="0"/>
        <w:ind w:firstLine="709"/>
        <w:jc w:val="right"/>
        <w:rPr>
          <w:rFonts w:ascii="Times New Roman" w:hAnsi="Times New Roman" w:cs="Times New Roman"/>
          <w:sz w:val="24"/>
          <w:szCs w:val="24"/>
          <w:highlight w:val="none"/>
          <w:shd w:fill="FFFFFF" w:val="clear"/>
        </w:rPr>
      </w:pPr>
      <w:r>
        <w:rPr>
          <w:rFonts w:cs="Times New Roman"/>
          <w:sz w:val="24"/>
          <w:szCs w:val="24"/>
          <w:shd w:fill="FFFFFF" w:val="clear"/>
        </w:rPr>
      </w:r>
    </w:p>
    <w:p>
      <w:pPr>
        <w:pStyle w:val="Heading1"/>
        <w:numPr>
          <w:ilvl w:val="0"/>
          <w:numId w:val="0"/>
        </w:numPr>
        <w:spacing w:before="0" w:after="0"/>
        <w:ind w:left="0" w:hanging="0"/>
        <w:jc w:val="both"/>
        <w:rPr>
          <w:highlight w:val="none"/>
          <w:shd w:fill="FFFFFF" w:val="clear"/>
        </w:rPr>
      </w:pPr>
      <w:r>
        <w:rPr>
          <w:rFonts w:cs="Times New Roman"/>
          <w:color w:val="000000"/>
          <w:sz w:val="24"/>
          <w:szCs w:val="24"/>
          <w:shd w:fill="FFFFFF" w:val="clear"/>
        </w:rPr>
        <w:t xml:space="preserve">3. Условия Независимой(-ых) гарантии(-й), 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p>
    <w:p>
      <w:pPr>
        <w:pStyle w:val="Normal"/>
        <w:spacing w:lineRule="auto" w:line="240" w:before="0" w:after="0"/>
        <w:ind w:firstLine="709"/>
        <w:jc w:val="both"/>
        <w:rPr>
          <w:highlight w:val="none"/>
          <w:shd w:fill="FFFFFF" w:val="clear"/>
        </w:rPr>
      </w:pPr>
      <w:r>
        <w:rPr>
          <w:rFonts w:cs="Times New Roman"/>
          <w:bCs/>
          <w:sz w:val="24"/>
          <w:szCs w:val="24"/>
          <w:shd w:fill="FFFFFF" w:val="clear"/>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Независимая гарантия не может быть отозвана выдавшим ее гарантом (далее – Гарант);</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бенефициар по Независимой гарантии – Генеральный подрядчик (далее –Бенефициар), принципал – Субподрядчик (далее – Принципал);</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сумма Независимой гарантии выражена в валюте расчетов по Договору;</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numPr>
          <w:ilvl w:val="0"/>
        </w:numPr>
        <w:spacing w:lineRule="auto" w:line="240" w:before="0" w:after="0"/>
        <w:ind w:firstLine="709"/>
        <w:jc w:val="both"/>
        <w:rPr>
          <w:highlight w:val="none"/>
          <w:shd w:fill="FFFFFF" w:val="clear"/>
        </w:rPr>
      </w:pPr>
      <w:r>
        <w:rPr>
          <w:rFonts w:cs="Times New Roman"/>
          <w:bCs/>
          <w:sz w:val="24"/>
          <w:szCs w:val="24"/>
          <w:shd w:fill="FFFFFF" w:val="clear"/>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spacing w:lineRule="auto" w:line="240" w:before="0" w:after="0"/>
        <w:ind w:firstLine="709"/>
        <w:jc w:val="both"/>
        <w:rPr>
          <w:highlight w:val="none"/>
          <w:shd w:fill="FFFFFF" w:val="clear"/>
        </w:rPr>
      </w:pPr>
      <w:r>
        <w:rPr>
          <w:rFonts w:cs="Times New Roman"/>
          <w:bCs/>
          <w:sz w:val="24"/>
          <w:szCs w:val="24"/>
          <w:shd w:fill="FFFFFF" w:val="clear"/>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pacing w:lineRule="auto" w:line="240" w:before="0" w:after="0"/>
        <w:ind w:firstLine="709"/>
        <w:jc w:val="both"/>
        <w:rPr>
          <w:highlight w:val="none"/>
          <w:shd w:fill="FFFFFF" w:val="clear"/>
        </w:rPr>
      </w:pPr>
      <w:r>
        <w:rPr>
          <w:rFonts w:cs="Times New Roman"/>
          <w:bCs/>
          <w:sz w:val="24"/>
          <w:szCs w:val="24"/>
          <w:shd w:fill="FFFFFF" w:val="clear"/>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highlight w:val="none"/>
          <w:shd w:fill="FFFFFF" w:val="clear"/>
        </w:rPr>
      </w:pPr>
      <w:r>
        <w:rPr>
          <w:rFonts w:cs="Times New Roman"/>
          <w:bCs/>
          <w:sz w:val="24"/>
          <w:szCs w:val="24"/>
          <w:shd w:fill="FFFFFF" w:val="clear"/>
        </w:rPr>
        <w:t xml:space="preserve">Выбор формы направления такого требования осуществляется Бенефициаром самостоятельно. </w:t>
      </w:r>
    </w:p>
    <w:p>
      <w:pPr>
        <w:pStyle w:val="Normal"/>
        <w:spacing w:lineRule="auto" w:line="240" w:before="0" w:after="0"/>
        <w:ind w:firstLine="709"/>
        <w:jc w:val="both"/>
        <w:rPr>
          <w:highlight w:val="none"/>
          <w:shd w:fill="FFFFFF" w:val="clear"/>
        </w:rPr>
      </w:pPr>
      <w:r>
        <w:rPr>
          <w:rFonts w:cs="Times New Roman"/>
          <w:bCs/>
          <w:sz w:val="24"/>
          <w:szCs w:val="24"/>
          <w:shd w:fill="FFFFFF" w:val="clear"/>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расчет суммы, включаемой в требование об уплате денежной суммы по Независимой гарантии;</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документ, содержащий указание на нарушения Принципалом обязательств, предусмотренных Договором;</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numPr>
          <w:ilvl w:val="0"/>
        </w:numPr>
        <w:spacing w:lineRule="auto" w:line="240" w:before="0" w:after="0"/>
        <w:ind w:firstLine="709"/>
        <w:jc w:val="both"/>
        <w:rPr>
          <w:highlight w:val="none"/>
          <w:shd w:fill="FFFFFF" w:val="clear"/>
        </w:rPr>
      </w:pPr>
      <w:r>
        <w:rPr>
          <w:rFonts w:cs="Times New Roman"/>
          <w:bCs/>
          <w:sz w:val="24"/>
          <w:szCs w:val="24"/>
          <w:shd w:fill="FFFFFF" w:val="clear"/>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spacing w:lineRule="auto" w:line="240" w:before="0" w:after="0"/>
        <w:ind w:firstLine="709"/>
        <w:jc w:val="both"/>
        <w:rPr>
          <w:highlight w:val="none"/>
          <w:shd w:fill="FFFFFF" w:val="clear"/>
        </w:rPr>
      </w:pPr>
      <w:r>
        <w:rPr>
          <w:rFonts w:cs="Times New Roman"/>
          <w:bCs/>
          <w:sz w:val="24"/>
          <w:szCs w:val="24"/>
          <w:shd w:fill="FFFFFF" w:val="clea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spacing w:lineRule="auto" w:line="240" w:before="0" w:after="0"/>
        <w:ind w:firstLine="709"/>
        <w:jc w:val="both"/>
        <w:rPr>
          <w:highlight w:val="none"/>
          <w:shd w:fill="FFFFFF" w:val="clear"/>
        </w:rPr>
      </w:pPr>
      <w:r>
        <w:rPr>
          <w:rFonts w:cs="Times New Roman"/>
          <w:bCs/>
          <w:sz w:val="24"/>
          <w:szCs w:val="24"/>
          <w:shd w:fill="FFFFFF" w:val="clear"/>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отказа Принципала от исполнения обязательств по Договору, в том числе одностороннего отказа от Договора;</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введения арбитражным судом процедуры несостоятельности (банкротства) в отношении Принципала;</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признания Договора недействительным по причинам отсутствия необходимых корпоративных одобрений у Принципала;</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не 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numPr>
          <w:ilvl w:val="0"/>
        </w:numPr>
        <w:spacing w:lineRule="auto" w:line="240" w:before="0" w:after="0"/>
        <w:ind w:firstLine="709"/>
        <w:jc w:val="both"/>
        <w:rPr>
          <w:highlight w:val="none"/>
          <w:shd w:fill="FFFFFF" w:val="clear"/>
        </w:rPr>
      </w:pPr>
      <w:r>
        <w:rPr>
          <w:rFonts w:cs="Times New Roman"/>
          <w:bCs/>
          <w:sz w:val="24"/>
          <w:szCs w:val="24"/>
          <w:shd w:fill="FFFFFF" w:val="clear"/>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spacing w:lineRule="auto" w:line="240" w:before="0" w:after="0"/>
        <w:ind w:firstLine="709"/>
        <w:jc w:val="both"/>
        <w:rPr>
          <w:highlight w:val="none"/>
          <w:shd w:fill="FFFFFF" w:val="clear"/>
        </w:rPr>
      </w:pPr>
      <w:r>
        <w:rPr>
          <w:rFonts w:cs="Times New Roman"/>
          <w:bCs/>
          <w:sz w:val="24"/>
          <w:szCs w:val="24"/>
          <w:shd w:fill="FFFFFF" w:val="clear"/>
        </w:rPr>
        <w:t>в) текст Независимой гарантии должен содержать перечень Документов к требованию.</w:t>
      </w:r>
    </w:p>
    <w:p>
      <w:pPr>
        <w:pStyle w:val="Normal"/>
        <w:spacing w:lineRule="auto" w:line="240" w:before="0" w:after="0"/>
        <w:ind w:firstLine="709"/>
        <w:jc w:val="both"/>
        <w:rPr>
          <w:highlight w:val="none"/>
          <w:shd w:fill="FFFFFF" w:val="clear"/>
        </w:rPr>
      </w:pPr>
      <w:r>
        <w:rPr>
          <w:rFonts w:cs="Times New Roman"/>
          <w:bCs/>
          <w:sz w:val="24"/>
          <w:szCs w:val="24"/>
          <w:shd w:fill="FFFFFF" w:val="clear"/>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spacing w:lineRule="auto" w:line="240" w:before="0" w:after="0"/>
        <w:ind w:firstLine="709"/>
        <w:jc w:val="both"/>
        <w:rPr>
          <w:highlight w:val="none"/>
          <w:shd w:fill="FFFFFF" w:val="clear"/>
        </w:rPr>
      </w:pPr>
      <w:r>
        <w:rPr>
          <w:rFonts w:cs="Times New Roman"/>
          <w:bCs/>
          <w:sz w:val="24"/>
          <w:szCs w:val="24"/>
          <w:shd w:fill="FFFFFF" w:val="clear"/>
        </w:rPr>
        <w:t>д) условие о праве Бенефициара передавать право требования по Независимой гарантии в случае замены Генерального подрядчика по Договору при осуществлении закупки с предварительным извещением об этом Гаранта;</w:t>
      </w:r>
    </w:p>
    <w:p>
      <w:pPr>
        <w:pStyle w:val="Normal"/>
        <w:spacing w:lineRule="auto" w:line="240" w:before="0" w:after="0"/>
        <w:ind w:firstLine="709"/>
        <w:jc w:val="both"/>
        <w:rPr>
          <w:highlight w:val="none"/>
          <w:shd w:fill="FFFFFF" w:val="clear"/>
        </w:rPr>
      </w:pPr>
      <w:r>
        <w:rPr>
          <w:rFonts w:cs="Times New Roman"/>
          <w:bCs/>
          <w:sz w:val="24"/>
          <w:szCs w:val="24"/>
          <w:shd w:fill="FFFFFF" w:val="clear"/>
        </w:rPr>
        <w:t>е) условие о том, что расходы, возникающие в связи с перечислением Гарантом денежных средств по Независимой гарантии, несет Гарант;</w:t>
      </w:r>
    </w:p>
    <w:p>
      <w:pPr>
        <w:pStyle w:val="Normal"/>
        <w:spacing w:lineRule="auto" w:line="240" w:before="0" w:after="0"/>
        <w:ind w:firstLine="709"/>
        <w:jc w:val="both"/>
        <w:rPr>
          <w:highlight w:val="none"/>
          <w:shd w:fill="FFFFFF" w:val="clear"/>
        </w:rPr>
      </w:pPr>
      <w:r>
        <w:rPr>
          <w:rFonts w:cs="Times New Roman"/>
          <w:bCs/>
          <w:sz w:val="24"/>
          <w:szCs w:val="24"/>
          <w:shd w:fill="FFFFFF" w:val="clear"/>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rFonts w:cs="Times New Roman"/>
          <w:sz w:val="24"/>
          <w:szCs w:val="24"/>
          <w:shd w:fill="FFFFFF" w:val="clear"/>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bCs/>
          <w:sz w:val="24"/>
          <w:szCs w:val="24"/>
          <w:shd w:fill="FFFFFF" w:val="clear"/>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spacing w:lineRule="auto" w:line="240" w:before="0" w:after="0"/>
        <w:ind w:firstLine="709"/>
        <w:jc w:val="both"/>
        <w:rPr>
          <w:highlight w:val="none"/>
          <w:shd w:fill="FFFFFF" w:val="clear"/>
        </w:rPr>
      </w:pPr>
      <w:r>
        <w:rPr>
          <w:rFonts w:cs="Times New Roman"/>
          <w:bCs/>
          <w:sz w:val="24"/>
          <w:szCs w:val="24"/>
          <w:shd w:fill="FFFFFF" w:val="clear"/>
        </w:rPr>
        <w:t>з) условие о рассмотрении споров, возникающих в связи с исполнением обязательств по Независимой гарантии, в Арбитражном суде г. Москвы</w:t>
      </w:r>
      <w:r>
        <w:rPr>
          <w:rFonts w:cs="Times New Roman"/>
          <w:bCs/>
          <w:sz w:val="24"/>
          <w:szCs w:val="24"/>
          <w:shd w:fill="FFFFFF" w:val="clear"/>
          <w:vertAlign w:val="superscript"/>
        </w:rPr>
        <w:t>34</w:t>
      </w:r>
      <w:r>
        <w:rPr>
          <w:rFonts w:cs="Times New Roman"/>
          <w:bCs/>
          <w:sz w:val="24"/>
          <w:szCs w:val="24"/>
          <w:shd w:fill="FFFFFF" w:val="clear"/>
        </w:rPr>
        <w:t>;</w:t>
      </w:r>
    </w:p>
    <w:p>
      <w:pPr>
        <w:pStyle w:val="Normal"/>
        <w:spacing w:lineRule="auto" w:line="240" w:before="0" w:after="0"/>
        <w:ind w:firstLine="709"/>
        <w:jc w:val="both"/>
        <w:rPr>
          <w:highlight w:val="none"/>
          <w:shd w:fill="FFFFFF" w:val="clear"/>
        </w:rPr>
      </w:pPr>
      <w:r>
        <w:rPr>
          <w:rFonts w:cs="Times New Roman"/>
          <w:bCs/>
          <w:sz w:val="24"/>
          <w:szCs w:val="24"/>
          <w:shd w:fill="FFFFFF" w:val="clear"/>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spacing w:lineRule="auto" w:line="240" w:before="0" w:after="0"/>
        <w:ind w:firstLine="709"/>
        <w:jc w:val="both"/>
        <w:rPr>
          <w:highlight w:val="none"/>
          <w:shd w:fill="FFFFFF" w:val="clear"/>
        </w:rPr>
      </w:pPr>
      <w:r>
        <w:rPr>
          <w:rFonts w:cs="Times New Roman"/>
          <w:bCs/>
          <w:sz w:val="24"/>
          <w:szCs w:val="24"/>
          <w:shd w:fill="FFFFFF" w:val="clear"/>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spacing w:lineRule="auto" w:line="240" w:before="0" w:after="0"/>
        <w:ind w:firstLine="709"/>
        <w:jc w:val="both"/>
        <w:rPr>
          <w:rFonts w:ascii="Times New Roman" w:hAnsi="Times New Roman" w:cs="Times New Roman"/>
          <w:bCs/>
          <w:sz w:val="24"/>
          <w:szCs w:val="24"/>
          <w:highlight w:val="none"/>
          <w:shd w:fill="FFFFFF" w:val="clear"/>
        </w:rPr>
      </w:pPr>
      <w:r>
        <w:rPr>
          <w:rFonts w:cs="Times New Roman"/>
          <w:bCs/>
          <w:sz w:val="24"/>
          <w:szCs w:val="24"/>
          <w:shd w:fill="FFFFFF" w:val="clear"/>
        </w:rPr>
      </w:r>
    </w:p>
    <w:p>
      <w:pPr>
        <w:pStyle w:val="Normal"/>
        <w:spacing w:lineRule="auto" w:line="240" w:before="0" w:after="0"/>
        <w:ind w:firstLine="709"/>
        <w:jc w:val="both"/>
        <w:rPr>
          <w:highlight w:val="none"/>
          <w:shd w:fill="FFFFFF" w:val="clear"/>
        </w:rPr>
      </w:pPr>
      <w:r>
        <w:rPr>
          <w:rFonts w:cs="Times New Roman"/>
          <w:bCs/>
          <w:sz w:val="24"/>
          <w:szCs w:val="24"/>
          <w:shd w:fill="FFFFFF" w:val="clear"/>
        </w:rPr>
        <w:t>Независимая гарантия не должна содержать условия:</w:t>
      </w:r>
    </w:p>
    <w:p>
      <w:pPr>
        <w:pStyle w:val="Normal"/>
        <w:spacing w:lineRule="auto" w:line="240" w:before="0" w:after="0"/>
        <w:ind w:firstLine="709"/>
        <w:jc w:val="both"/>
        <w:rPr>
          <w:highlight w:val="none"/>
          <w:shd w:fill="FFFFFF" w:val="clear"/>
        </w:rPr>
      </w:pPr>
      <w:r>
        <w:rPr>
          <w:rFonts w:cs="Times New Roman"/>
          <w:bCs/>
          <w:sz w:val="24"/>
          <w:szCs w:val="24"/>
          <w:shd w:fill="FFFFFF" w:val="clear"/>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spacing w:lineRule="auto" w:line="240" w:before="0" w:after="0"/>
        <w:ind w:firstLine="709"/>
        <w:jc w:val="both"/>
        <w:rPr>
          <w:highlight w:val="none"/>
          <w:shd w:fill="FFFFFF" w:val="clear"/>
        </w:rPr>
      </w:pPr>
      <w:r>
        <w:rPr>
          <w:rFonts w:cs="Times New Roman"/>
          <w:bCs/>
          <w:sz w:val="24"/>
          <w:szCs w:val="24"/>
          <w:shd w:fill="FFFFFF" w:val="clear"/>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spacing w:lineRule="auto" w:line="240" w:before="0" w:after="0"/>
        <w:ind w:firstLine="709"/>
        <w:jc w:val="both"/>
        <w:rPr>
          <w:highlight w:val="none"/>
          <w:shd w:fill="FFFFFF" w:val="clear"/>
        </w:rPr>
      </w:pPr>
      <w:r>
        <w:rPr>
          <w:rFonts w:cs="Times New Roman"/>
          <w:bCs/>
          <w:sz w:val="24"/>
          <w:szCs w:val="24"/>
          <w:shd w:fill="FFFFFF" w:val="clear"/>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spacing w:lineRule="auto" w:line="240" w:before="0" w:after="0"/>
        <w:ind w:firstLine="709"/>
        <w:jc w:val="both"/>
        <w:rPr>
          <w:highlight w:val="none"/>
          <w:shd w:fill="FFFFFF" w:val="clear"/>
        </w:rPr>
      </w:pPr>
      <w:r>
        <w:rPr>
          <w:rFonts w:cs="Times New Roman"/>
          <w:bCs/>
          <w:sz w:val="24"/>
          <w:szCs w:val="24"/>
          <w:shd w:fill="FFFFFF" w:val="clear"/>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spacing w:lineRule="auto" w:line="240" w:before="0" w:after="0"/>
        <w:ind w:firstLine="709"/>
        <w:jc w:val="both"/>
        <w:rPr>
          <w:highlight w:val="none"/>
          <w:shd w:fill="FFFFFF" w:val="clear"/>
        </w:rPr>
      </w:pPr>
      <w:r>
        <w:rPr>
          <w:rFonts w:cs="Times New Roman"/>
          <w:bCs/>
          <w:sz w:val="24"/>
          <w:szCs w:val="24"/>
          <w:shd w:fill="FFFFFF" w:val="clea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jc w:val="both"/>
        <w:rPr>
          <w:highlight w:val="none"/>
          <w:shd w:fill="FFFFFF" w:val="clear"/>
        </w:rPr>
      </w:pPr>
      <w:r>
        <w:rPr>
          <w:rFonts w:cs="Times New Roman"/>
          <w:bCs/>
          <w:sz w:val="24"/>
          <w:szCs w:val="24"/>
          <w:shd w:fill="FFFFFF" w:val="clear"/>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rFonts w:cs="Times New Roman"/>
          <w:sz w:val="24"/>
          <w:szCs w:val="24"/>
          <w:shd w:fill="FFFFFF" w:val="clear"/>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rFonts w:cs="Times New Roman"/>
          <w:bCs/>
          <w:sz w:val="24"/>
          <w:szCs w:val="24"/>
          <w:shd w:fill="FFFFFF" w:val="clear"/>
        </w:rPr>
        <w:t>уплатить Бенефициару неустойку (пени) в размере 0,1 процента денежной суммы, подлежащей уплате по Независимой гарантии.</w:t>
      </w:r>
    </w:p>
    <w:p>
      <w:pPr>
        <w:pStyle w:val="Normal"/>
        <w:spacing w:lineRule="auto" w:line="240" w:before="0" w:after="0"/>
        <w:ind w:firstLine="709"/>
        <w:jc w:val="both"/>
        <w:rPr>
          <w:highlight w:val="none"/>
          <w:shd w:fill="FFFFFF" w:val="clear"/>
        </w:rPr>
      </w:pPr>
      <w:r>
        <w:rPr>
          <w:rFonts w:cs="Times New Roman"/>
          <w:bCs/>
          <w:sz w:val="24"/>
          <w:szCs w:val="24"/>
          <w:shd w:fill="FFFFFF" w:val="clear"/>
        </w:rPr>
        <w:t>Условия Независимых гарантий не должны противоречить:</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 xml:space="preserve">положениям извещения об осуществлении конкурентной закупки, </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 xml:space="preserve">документации о конкурентной закупке </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 xml:space="preserve">Единому Положению о закупке продукции для нужд Группы РусГидро, </w:t>
      </w:r>
    </w:p>
    <w:p>
      <w:pPr>
        <w:pStyle w:val="Normal"/>
        <w:numPr>
          <w:ilvl w:val="0"/>
          <w:numId w:val="13"/>
        </w:numPr>
        <w:spacing w:lineRule="auto" w:line="240" w:before="0" w:after="0"/>
        <w:ind w:left="0" w:firstLine="709"/>
        <w:jc w:val="both"/>
        <w:rPr>
          <w:highlight w:val="none"/>
          <w:shd w:fill="FFFFFF" w:val="clear"/>
        </w:rPr>
      </w:pPr>
      <w:r>
        <w:rPr>
          <w:rFonts w:cs="Times New Roman"/>
          <w:bCs/>
          <w:sz w:val="24"/>
          <w:szCs w:val="24"/>
          <w:shd w:fill="FFFFFF" w:val="clear"/>
        </w:rPr>
        <w:t>требованиям к условиям Независимой гарантий, установленным Положением.</w:t>
      </w:r>
    </w:p>
    <w:p>
      <w:pPr>
        <w:pStyle w:val="Normal"/>
        <w:numPr>
          <w:ilvl w:val="0"/>
        </w:numPr>
        <w:spacing w:lineRule="auto" w:line="240" w:before="0" w:after="0"/>
        <w:ind w:firstLine="709"/>
        <w:jc w:val="both"/>
        <w:rPr>
          <w:highlight w:val="none"/>
          <w:shd w:fill="FFFFFF" w:val="clear"/>
        </w:rPr>
      </w:pPr>
      <w:r>
        <w:rPr>
          <w:rFonts w:cs="Times New Roman"/>
          <w:bCs/>
          <w:sz w:val="24"/>
          <w:szCs w:val="24"/>
          <w:shd w:fill="FFFFFF" w:val="clear"/>
        </w:rPr>
        <w:t xml:space="preserve">Несоответствие Независимой гарантии, предоставленной Принципалом, вышеперечисленным требованиям, является основанием для отказа в принятии ее </w:t>
      </w:r>
      <w:r>
        <w:rPr>
          <w:rFonts w:cs="Times New Roman"/>
          <w:b w:val="false"/>
          <w:bCs w:val="false"/>
          <w:sz w:val="24"/>
          <w:szCs w:val="24"/>
          <w:shd w:fill="FFFFFF" w:val="clear"/>
        </w:rPr>
        <w:t>Бенефициаром.</w:t>
      </w:r>
    </w:p>
    <w:p>
      <w:pPr>
        <w:pStyle w:val="Normal"/>
        <w:spacing w:lineRule="auto" w:line="240" w:before="0" w:after="0"/>
        <w:ind w:firstLine="709"/>
        <w:jc w:val="both"/>
        <w:rPr>
          <w:highlight w:val="none"/>
          <w:shd w:fill="FFFFFF" w:val="clear"/>
        </w:rPr>
      </w:pPr>
      <w:r>
        <w:rPr>
          <w:rFonts w:cs="Times New Roman"/>
          <w:b w:val="false"/>
          <w:bCs w:val="false"/>
          <w:sz w:val="24"/>
          <w:szCs w:val="24"/>
          <w:shd w:fill="FFFFFF"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Normal"/>
        <w:spacing w:lineRule="auto" w:line="240" w:before="0" w:after="0"/>
        <w:ind w:firstLine="709"/>
        <w:jc w:val="both"/>
        <w:rPr>
          <w:sz w:val="24"/>
          <w:szCs w:val="24"/>
          <w:highlight w:val="none"/>
          <w:shd w:fill="FFFFFF" w:val="clear"/>
        </w:rPr>
      </w:pPr>
      <w:r>
        <w:rPr>
          <w:sz w:val="24"/>
          <w:szCs w:val="24"/>
          <w:shd w:fill="FFFFFF" w:val="clear"/>
        </w:rPr>
      </w:r>
    </w:p>
    <w:p>
      <w:pPr>
        <w:pStyle w:val="Normal"/>
        <w:spacing w:lineRule="auto" w:line="240" w:before="0" w:after="0"/>
        <w:ind w:firstLine="709"/>
        <w:jc w:val="both"/>
        <w:rPr>
          <w:sz w:val="24"/>
          <w:szCs w:val="24"/>
          <w:highlight w:val="none"/>
          <w:shd w:fill="FFFFFF" w:val="clear"/>
        </w:rPr>
      </w:pPr>
      <w:r>
        <w:rPr>
          <w:sz w:val="24"/>
          <w:szCs w:val="24"/>
          <w:shd w:fill="FFFFFF"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Покупатель</w:t>
            </w:r>
            <w:r>
              <w:rPr>
                <w:rFonts w:ascii="Times New Roman" w:hAnsi="Times New Roman"/>
                <w:b/>
                <w:sz w:val="24"/>
                <w:szCs w:val="24"/>
                <w:u w:val="single"/>
                <w:shd w:fill="FFFFFF" w:val="clear"/>
              </w:rPr>
              <w:t>:</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b/>
                <w:sz w:val="24"/>
                <w:szCs w:val="24"/>
                <w:u w:val="single"/>
                <w:shd w:fill="FFFFFF" w:val="clear"/>
                <w:lang w:val="ru-RU"/>
              </w:rPr>
              <w:t>Поставщик</w:t>
            </w:r>
            <w:r>
              <w:rPr>
                <w:rFonts w:ascii="Times New Roman" w:hAnsi="Times New Roman"/>
                <w:b/>
                <w:sz w:val="24"/>
                <w:szCs w:val="24"/>
                <w:u w:val="single"/>
                <w:shd w:fill="FFFFFF" w:val="clear"/>
              </w:rPr>
              <w:t>:</w:t>
            </w:r>
          </w:p>
          <w:p>
            <w:pPr>
              <w:pStyle w:val="Style18"/>
              <w:widowControl w:val="false"/>
              <w:spacing w:lineRule="auto" w:line="240" w:before="0" w:after="120"/>
              <w:ind w:firstLine="567"/>
              <w:jc w:val="left"/>
              <w:rPr>
                <w:rFonts w:ascii="Times New Roman" w:hAnsi="Times New Roman"/>
                <w:szCs w:val="24"/>
                <w:highlight w:val="none"/>
                <w:u w:val="single"/>
                <w:shd w:fill="FFFFFF" w:val="clear"/>
                <w:lang w:val="ru-RU"/>
              </w:rPr>
            </w:pPr>
            <w:r>
              <w:rPr>
                <w:rFonts w:ascii="Times New Roman" w:hAnsi="Times New Roman"/>
                <w:szCs w:val="24"/>
                <w:u w:val="single"/>
                <w:shd w:fill="FFFFFF"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_______________ / _____________ /</w:t>
            </w:r>
          </w:p>
          <w:p>
            <w:pPr>
              <w:pStyle w:val="Style18"/>
              <w:widowControl w:val="false"/>
              <w:spacing w:lineRule="auto" w:line="240" w:before="0" w:after="120"/>
              <w:ind w:firstLine="567"/>
              <w:jc w:val="left"/>
              <w:rPr>
                <w:highlight w:val="none"/>
                <w:shd w:fill="FFFFFF" w:val="clear"/>
              </w:rPr>
            </w:pPr>
            <w:r>
              <w:rPr>
                <w:rFonts w:ascii="Times New Roman" w:hAnsi="Times New Roman"/>
                <w:sz w:val="24"/>
                <w:szCs w:val="24"/>
                <w:shd w:fill="FFFFFF" w:val="clear"/>
                <w:lang w:val="ru-RU"/>
              </w:rPr>
              <w:t>М.п.</w:t>
            </w:r>
          </w:p>
        </w:tc>
      </w:tr>
    </w:tbl>
    <w:p>
      <w:pPr>
        <w:pStyle w:val="Normal"/>
        <w:widowControl w:val="false"/>
        <w:shd w:val="clear" w:color="auto" w:fill="FFFFFF"/>
        <w:tabs>
          <w:tab w:val="clear" w:pos="720"/>
          <w:tab w:val="left" w:pos="3054" w:leader="none"/>
        </w:tabs>
        <w:spacing w:before="0" w:after="120"/>
        <w:jc w:val="center"/>
        <w:rPr>
          <w:highlight w:val="none"/>
          <w:shd w:fill="FFFFFF" w:val="clear"/>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6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6">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31</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31</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rFonts w:cs="Times New Roman"/>
        </w:rPr>
        <w:t xml:space="preserve"> </w:t>
      </w:r>
      <w:r>
        <w:rPr>
          <w:rFonts w:cs="Times New Roman"/>
        </w:rPr>
        <w:t>Требования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9"/>
        </w:rPr>
        <w:footnoteRef/>
      </w:r>
      <w:r>
        <w:rPr>
          <w:rFonts w:cs="Times New Roman"/>
        </w:rPr>
        <w:t xml:space="preserve"> </w:t>
      </w:r>
      <w:r>
        <w:rPr>
          <w:rFonts w:cs="Times New Roman"/>
        </w:rPr>
        <w:t>Актуальный Перечень Банков-Гарантов Группы РусГидро размещен на официальном сайте ПАО «РусГидро» http://zakupki.rushydro.ru/PublicContent/Section/6</w:t>
      </w:r>
    </w:p>
  </w:footnote>
  <w:footnote w:id="4">
    <w:p>
      <w:pPr>
        <w:pStyle w:val="FootnoteText"/>
        <w:jc w:val="both"/>
        <w:rPr/>
      </w:pPr>
      <w:r>
        <w:rPr>
          <w:rStyle w:val="Style9"/>
        </w:rPr>
        <w:footnoteRef/>
      </w:r>
      <w:r>
        <w:rPr>
          <w:rFonts w:cs="Times New Roman"/>
        </w:rPr>
        <w:t xml:space="preserve"> </w:t>
      </w:r>
      <w:r>
        <w:rPr>
          <w:rFonts w:cs="Times New Roman"/>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5">
    <w:p>
      <w:pPr>
        <w:pStyle w:val="FootnoteText"/>
        <w:jc w:val="both"/>
        <w:rPr/>
      </w:pPr>
      <w:r>
        <w:rPr>
          <w:rStyle w:val="Style9"/>
        </w:rPr>
        <w:footnoteRef/>
      </w:r>
      <w:r>
        <w:rPr>
          <w:rFonts w:cs="Times New Roman"/>
        </w:rPr>
        <w:t xml:space="preserve"> </w:t>
      </w:r>
      <w:r>
        <w:rPr>
          <w:rFonts w:cs="Times New Roman"/>
        </w:rPr>
        <w:t>Данное требование не применяется в отношении небанковских кредитных организаций.</w:t>
      </w:r>
    </w:p>
  </w:footnote>
  <w:footnote w:id="6">
    <w:p>
      <w:pPr>
        <w:pStyle w:val="FootnoteText"/>
        <w:jc w:val="both"/>
        <w:rPr/>
      </w:pPr>
      <w:r>
        <w:rPr>
          <w:rStyle w:val="Style9"/>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7">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9"/>
        </w:rPr>
        <w:footnoteRef/>
      </w:r>
      <w:r>
        <w:rPr>
          <w:rFonts w:cs="Times New Roman"/>
        </w:rPr>
        <w:t xml:space="preserve"> </w:t>
      </w:r>
      <w:r>
        <w:rPr>
          <w:rFonts w:cs="Times New Roman"/>
        </w:rPr>
        <w:t>Условия подлежат обязательному включению в состав документации о закупке.</w:t>
      </w:r>
    </w:p>
  </w:footnote>
  <w:footnote w:id="9">
    <w:p>
      <w:pPr>
        <w:pStyle w:val="FootnoteText"/>
        <w:jc w:val="both"/>
        <w:rPr/>
      </w:pPr>
      <w:r>
        <w:rPr>
          <w:rStyle w:val="Style9"/>
        </w:rPr>
        <w:footnoteRef/>
      </w:r>
      <w:r>
        <w:rPr>
          <w:rFonts w:cs="Times New Roman"/>
        </w:rPr>
        <w:t xml:space="preserve"> </w:t>
      </w:r>
      <w:r>
        <w:rPr>
          <w:rFonts w:cs="Times New Roman"/>
        </w:rPr>
        <w:t>В соответствии со ст. 753 Гражданского кодекса Российской Федерации.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sz w:val="24"/>
        <w:szCs w:val="24"/>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sz w:val="24"/>
        <w:b/>
        <w:szCs w:val="24"/>
        <w:bCs/>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22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footnote reference" w:uiPriority="99"/>
    <w:lsdException w:name="List Bullet 3"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Абзац списка"/>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yperlink" Target="http://www.cbr.ru/" TargetMode="Externa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934F-CC39-40CA-9E41-600D657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Application>AlterOffice/3.4.0.9$Linux_X86_64 LibreOffice_project/b8daf9e823b1a5463a2f48435ddc2e8696e7d4fc</Application>
  <AppVersion>15.0000</AppVersion>
  <Pages>31</Pages>
  <Words>10096</Words>
  <Characters>72122</Characters>
  <CharactersWithSpaces>81616</CharactersWithSpaces>
  <Paragraphs>530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
  <cp:lastPrinted>2017-11-07T14:45:00Z</cp:lastPrinted>
  <dcterms:modified xsi:type="dcterms:W3CDTF">2026-08-11T11:28:59Z</dcterms:modified>
  <cp:revision>18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