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выполнение научно-исследовательских, опытно-конструкторских </w:t>
        <w:br/>
        <w:t>и технологических работ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>«ОКПД2 71.12 Модернизация системы сухого золоудаления (ССЗУ) АО «Сахалинская ГРЭС-2» с целью повышения уровня утилизации золы-уноса (ЗУ)»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4"/>
              <w:rFonts w:eastAsia="Calibri"/>
            </w:rPr>
            <w:instrText xml:space="preserve"> TOC \o "1-4" \h</w:instrText>
          </w:r>
          <w:r>
            <w:rPr>
              <w:rStyle w:val="Style14"/>
              <w:rFonts w:eastAsia="Calibri"/>
            </w:rPr>
            <w:fldChar w:fldCharType="separate"/>
          </w:r>
          <w:hyperlink w:anchor="_Toc237273476">
            <w:r>
              <w:rPr>
                <w:rStyle w:val="Style14"/>
                <w:rFonts w:eastAsia="Calibri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77">
            <w:r>
              <w:rPr>
                <w:rStyle w:val="Style14"/>
                <w:rFonts w:eastAsia="Calibri"/>
                <w:iCs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78">
            <w:r>
              <w:rPr>
                <w:rStyle w:val="Style14"/>
                <w:rFonts w:eastAsia="Calibri"/>
                <w:iCs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79">
            <w:r>
              <w:rPr>
                <w:rStyle w:val="Style14"/>
                <w:rFonts w:eastAsia="Calibri"/>
                <w:iCs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и место расположения функционального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80">
            <w:r>
              <w:rPr>
                <w:rStyle w:val="Style14"/>
                <w:rFonts w:eastAsia="Calibri"/>
                <w:iCs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81">
            <w:r>
              <w:rPr>
                <w:rStyle w:val="Style14"/>
                <w:rFonts w:eastAsia="Calibri"/>
                <w:iCs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7273482">
            <w:r>
              <w:rPr>
                <w:rStyle w:val="Style14"/>
                <w:rFonts w:eastAsia="Calibri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83">
            <w:r>
              <w:rPr>
                <w:rStyle w:val="Style14"/>
                <w:rFonts w:eastAsia="Calibri"/>
                <w:iCs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этапам и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7273484">
            <w:r>
              <w:rPr>
                <w:rStyle w:val="Style14"/>
                <w:rFonts w:eastAsia="Calibri"/>
              </w:rPr>
              <w:t>Таблица 1.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37273485">
            <w:r>
              <w:rPr>
                <w:rStyle w:val="Style14"/>
                <w:rFonts w:eastAsia="Calibri"/>
                <w:iCs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7273486">
            <w:r>
              <w:rPr>
                <w:rStyle w:val="Style14"/>
                <w:rFonts w:eastAsia="Calibri"/>
              </w:rPr>
              <w:t>Таблица 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_Toc237273486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</w:r>
    </w:p>
    <w:p>
      <w:pPr>
        <w:pStyle w:val="Heading2"/>
        <w:tabs>
          <w:tab w:val="clear" w:pos="0"/>
        </w:tabs>
        <w:ind w:left="0" w:hanging="0"/>
        <w:rPr>
          <w:i/>
          <w:i/>
        </w:rPr>
      </w:pPr>
      <w:r>
        <w:rPr>
          <w:i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237273476"/>
      <w:bookmarkStart w:id="1" w:name="_Toc51339692"/>
      <w:bookmarkStart w:id="2" w:name="_Toc54647807"/>
      <w:r>
        <w:rPr/>
        <w:t>Общие сведения</w:t>
      </w:r>
      <w:bookmarkEnd w:id="0"/>
      <w:bookmarkEnd w:id="1"/>
      <w:bookmarkEnd w:id="2"/>
    </w:p>
    <w:p>
      <w:pPr>
        <w:pStyle w:val="Heading4"/>
        <w:numPr>
          <w:ilvl w:val="1"/>
          <w:numId w:val="1"/>
        </w:numPr>
        <w:rPr/>
      </w:pPr>
      <w:bookmarkStart w:id="3" w:name="_Toc237273477"/>
      <w:bookmarkStart w:id="4" w:name="_Toc46743505"/>
      <w:bookmarkStart w:id="5" w:name="_Toc54647808"/>
      <w:r>
        <w:rPr/>
        <w:t>Обозначения и сокращения</w:t>
      </w:r>
      <w:bookmarkEnd w:id="3"/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ССЗУ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Система сухого золоудаления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>
                <w:rStyle w:val="Style8"/>
                <w:b w:val="false"/>
                <w:i w:val="false"/>
                <w:shd w:fill="auto" w:val="clear"/>
              </w:rPr>
              <w:t>ЗШП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Золошлаковые продукты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ОТР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Основные Технические Решения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Зола уноса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ПЗУ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Пневмозолоудаление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/>
      </w:pPr>
      <w:bookmarkStart w:id="6" w:name="_Toc237273478"/>
      <w:bookmarkStart w:id="7" w:name="_Toc54647809"/>
      <w:bookmarkStart w:id="8" w:name="_Toc46743506"/>
      <w:r>
        <w:rPr/>
        <w:t>Наименование закупаемой продукции</w:t>
      </w:r>
      <w:bookmarkEnd w:id="6"/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«ОКПД2 71.12 Модернизация системы сухого золоудаления (ССЗУ) АО «Сахалинская ГРЭС-2» с целью повышения уровня утилизации золы-уноса (ЗУ)»</w:t>
      </w:r>
    </w:p>
    <w:p>
      <w:pPr>
        <w:pStyle w:val="Heading4"/>
        <w:numPr>
          <w:ilvl w:val="1"/>
          <w:numId w:val="1"/>
        </w:numPr>
        <w:spacing w:before="240" w:after="60"/>
        <w:ind w:left="431" w:hanging="431"/>
        <w:rPr/>
      </w:pPr>
      <w:bookmarkStart w:id="9" w:name="_Toc237273479"/>
      <w:bookmarkStart w:id="10" w:name="_Toc54646218"/>
      <w:bookmarkStart w:id="11" w:name="_Toc54647810"/>
      <w:bookmarkStart w:id="12" w:name="_Toc46743507_Копия_1"/>
      <w:bookmarkEnd w:id="12"/>
      <w:r>
        <w:rPr/>
        <w:t>Наименование и место расположения функционального заказчика</w:t>
      </w:r>
      <w:bookmarkEnd w:id="9"/>
      <w:bookmarkEnd w:id="10"/>
      <w:bookmarkEnd w:id="11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АО «ВНИИГ им. Б.Е. Веденеева» Место нахождения: Россия, г. Санкт-Петербург, ул. Гжатская, д.21. </w:t>
      </w:r>
    </w:p>
    <w:p>
      <w:pPr>
        <w:pStyle w:val="Heading4"/>
        <w:numPr>
          <w:ilvl w:val="1"/>
          <w:numId w:val="1"/>
        </w:numPr>
        <w:rPr/>
      </w:pPr>
      <w:bookmarkStart w:id="13" w:name="_Toc54647811"/>
      <w:bookmarkStart w:id="14" w:name="_Toc237273480"/>
      <w:bookmarkStart w:id="15" w:name="_Toc46743509"/>
      <w:bookmarkStart w:id="16" w:name="_Hlk49857604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4"/>
      <w:bookmarkEnd w:id="15"/>
      <w:bookmarkEnd w:id="16"/>
      <w:r>
        <w:rPr>
          <w:lang w:val="ru-RU"/>
        </w:rPr>
        <w:t xml:space="preserve"> </w:t>
      </w:r>
      <w:bookmarkEnd w:id="13"/>
    </w:p>
    <w:p>
      <w:pPr>
        <w:pStyle w:val="ListParagraph"/>
        <w:widowControl w:val="false"/>
        <w:ind w:left="0" w:hanging="0"/>
        <w:jc w:val="both"/>
        <w:rPr/>
      </w:pPr>
      <w:r>
        <w:rPr/>
        <w:t>Исходные данные предоставляет Заказчик на основании «Опросного листа» предоставленного Подрядчиком. В него входят в том числе:</w:t>
      </w:r>
    </w:p>
    <w:p>
      <w:pPr>
        <w:pStyle w:val="ListParagraph"/>
        <w:widowControl w:val="false"/>
        <w:numPr>
          <w:ilvl w:val="0"/>
          <w:numId w:val="3"/>
        </w:numPr>
        <w:rPr/>
      </w:pPr>
      <w:r>
        <w:rPr/>
        <w:t>Характеристики системы очистки уходящих газов и системы удаления золы, в том числе зданий и сооружений;</w:t>
      </w:r>
    </w:p>
    <w:p>
      <w:pPr>
        <w:pStyle w:val="ListParagraph"/>
        <w:widowControl w:val="false"/>
        <w:numPr>
          <w:ilvl w:val="0"/>
          <w:numId w:val="3"/>
        </w:numPr>
        <w:rPr/>
      </w:pPr>
      <w:r>
        <w:rPr/>
        <w:t>Характеристики промплощадки ТЭЦ, в том числе геологические, с целью определения мест размещения конструкций и сооружений для транспортировки, хранения/складирования и отгрузки золы уноса сторонним потребителям и для собственных целей Заказчика.</w:t>
      </w:r>
    </w:p>
    <w:p>
      <w:pPr>
        <w:pStyle w:val="ListParagraph"/>
        <w:widowControl w:val="false"/>
        <w:numPr>
          <w:ilvl w:val="0"/>
          <w:numId w:val="3"/>
        </w:numPr>
        <w:rPr/>
      </w:pPr>
      <w:r>
        <w:rPr/>
        <w:t>информация о разновидностях сжигаемого угля, режимах сжигания угля, пылеподготовке.</w:t>
      </w:r>
    </w:p>
    <w:p>
      <w:pPr>
        <w:pStyle w:val="Heading4"/>
        <w:numPr>
          <w:ilvl w:val="1"/>
          <w:numId w:val="1"/>
        </w:numPr>
        <w:rPr/>
      </w:pPr>
      <w:bookmarkStart w:id="18" w:name="_Toc54647812"/>
      <w:bookmarkStart w:id="19" w:name="_Toc237273481"/>
      <w:bookmarkStart w:id="20" w:name="_Toc46743510"/>
      <w:bookmarkStart w:id="21" w:name="_Hlk48209761_Копия_1"/>
      <w:bookmarkEnd w:id="20"/>
      <w:bookmarkEnd w:id="21"/>
      <w:r>
        <w:rPr/>
        <w:t>Иные требования и сведения общего характера</w:t>
      </w:r>
      <w:bookmarkEnd w:id="19"/>
      <w:r>
        <w:rPr>
          <w:lang w:val="ru-RU"/>
        </w:rPr>
        <w:t xml:space="preserve"> </w:t>
      </w:r>
      <w:bookmarkEnd w:id="18"/>
    </w:p>
    <w:p>
      <w:pPr>
        <w:pStyle w:val="ListParagraph"/>
        <w:widowControl w:val="false"/>
        <w:ind w:left="0" w:hanging="0"/>
        <w:jc w:val="both"/>
        <w:rPr/>
      </w:pPr>
      <w:r>
        <w:rPr/>
        <w:t xml:space="preserve">Подрядчик обязан участвовать в согласовании ОТР, в требуемом объёме с АО «Сахалинэнерго». При выполнении работ учесть основные технические характеристики оборудования Сахалинской ГРЭС-2. </w:t>
      </w:r>
      <w:r>
        <w:rPr>
          <w:rStyle w:val="Style8"/>
          <w:b w:val="false"/>
          <w:bCs/>
          <w:i w:val="false"/>
          <w:shd w:fill="auto" w:val="clear"/>
        </w:rPr>
        <w:t>Не допускается указание Подрядчиком в документации, в том числе спецификациях, материалов и изделий конкретных производителей. Указываются только тип, марка, и характеристики материалов и изделий.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  <w:lang w:val="ru-RU"/>
        </w:rPr>
      </w:pPr>
      <w:bookmarkStart w:id="22" w:name="_Toc237273482"/>
      <w:bookmarkStart w:id="23" w:name="_Toc51339693"/>
      <w:bookmarkStart w:id="24" w:name="_Toc54647813"/>
      <w:r>
        <w:rPr/>
        <w:t>Требования к продукции</w:t>
      </w:r>
      <w:bookmarkEnd w:id="22"/>
      <w:bookmarkEnd w:id="23"/>
      <w:bookmarkEnd w:id="24"/>
    </w:p>
    <w:p>
      <w:pPr>
        <w:pStyle w:val="Heading4"/>
        <w:numPr>
          <w:ilvl w:val="1"/>
          <w:numId w:val="1"/>
        </w:numPr>
        <w:rPr/>
      </w:pPr>
      <w:bookmarkStart w:id="25" w:name="_Toc237273483"/>
      <w:bookmarkStart w:id="26" w:name="_Toc54647814"/>
      <w:r>
        <w:rPr/>
        <w:t xml:space="preserve">Требования к </w:t>
      </w:r>
      <w:r>
        <w:rPr>
          <w:lang w:val="ru-RU"/>
        </w:rPr>
        <w:t>этапам</w:t>
      </w:r>
      <w:r>
        <w:rPr/>
        <w:t xml:space="preserve"> и срокам </w:t>
      </w:r>
      <w:r>
        <w:rPr>
          <w:lang w:val="ru-RU"/>
        </w:rPr>
        <w:t>выполнения работ</w:t>
      </w:r>
      <w:bookmarkEnd w:id="25"/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27" w:name="_Toc237273484"/>
      <w:bookmarkStart w:id="28" w:name="_Toc54647815"/>
      <w:bookmarkStart w:id="29" w:name="_Toc51339695"/>
      <w:r>
        <w:rPr/>
        <w:t xml:space="preserve">Таблица 1. </w:t>
      </w:r>
      <w:bookmarkEnd w:id="29"/>
      <w:r>
        <w:rPr/>
        <w:t>Требования по срокам выполнения работ</w:t>
      </w:r>
      <w:bookmarkEnd w:id="27"/>
      <w:bookmarkEnd w:id="2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91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7"/>
        <w:gridCol w:w="4026"/>
        <w:gridCol w:w="2889"/>
        <w:gridCol w:w="243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1. Модернизация системы сухого золоудаления (ССЗУ) АО «Сахалинской ГРЭС-2» с целью повышения уровня утилизации золы-уноса (ЗУ)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следующая за датой подписания договора.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мес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30" w:name="_Toc54647817"/>
      <w:bookmarkStart w:id="31" w:name="_Toc51339698"/>
      <w:bookmarkStart w:id="32" w:name="_Toc237273485"/>
      <w:bookmarkStart w:id="33" w:name="_Toc54647816"/>
      <w:bookmarkStart w:id="34" w:name="_Toc46743511"/>
      <w:r>
        <w:rPr/>
        <w:t xml:space="preserve">Требования к </w:t>
      </w:r>
      <w:bookmarkEnd w:id="34"/>
      <w:r>
        <w:rPr/>
        <w:t>качеству продукции</w:t>
      </w:r>
      <w:bookmarkEnd w:id="32"/>
      <w:bookmarkEnd w:id="3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35" w:name="_Toc237273486"/>
      <w:r>
        <w:rPr/>
        <w:t>Таблица </w:t>
      </w:r>
      <w:r>
        <w:rPr>
          <w:lang w:val="ru-RU"/>
        </w:rPr>
        <w:t>2</w:t>
      </w:r>
      <w:r>
        <w:rPr/>
        <w:t xml:space="preserve">. Требования к </w:t>
      </w:r>
      <w:bookmarkEnd w:id="31"/>
      <w:r>
        <w:rPr>
          <w:lang w:val="ru-RU"/>
        </w:rPr>
        <w:t>качеству продукции</w:t>
      </w:r>
      <w:bookmarkEnd w:id="30"/>
      <w:bookmarkEnd w:id="35"/>
      <w:r>
        <w:rPr/>
        <w:t xml:space="preserve"> </w:t>
      </w:r>
    </w:p>
    <w:p>
      <w:pPr>
        <w:pStyle w:val="Normal"/>
        <w:rPr/>
      </w:pPr>
      <w:bookmarkStart w:id="36" w:name="__RefHeading___Toc5420_4258256183"/>
      <w:bookmarkEnd w:id="36"/>
      <w:r>
        <w:rPr>
          <w:rStyle w:val="Style8"/>
          <w:b w:val="false"/>
          <w:i w:val="false"/>
          <w:sz w:val="24"/>
          <w:szCs w:val="24"/>
          <w:shd w:fill="auto" w:val="clear"/>
        </w:rPr>
        <w:t>«ОКПД2 71.12 Модернизация системы сухого золоудаления (ССЗУ) АО «Сахалинская ГРЭС-2» с целью повышения уровня утилизации золы-уноса (ЗУ)»</w:t>
      </w:r>
    </w:p>
    <w:tbl>
      <w:tblPr>
        <w:tblW w:w="152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8"/>
        <w:gridCol w:w="2583"/>
        <w:gridCol w:w="8926"/>
      </w:tblGrid>
      <w:tr>
        <w:trPr>
          <w:trHeight w:val="690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к наименованию и условному обозначению научно-технического результата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Требование к наименованию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«ОКПД2 71.12 Модернизация системы сухого золоудаления (ССЗУ) АО «Сахалинская ГРЭС-2» с целью повышения уровня утилизации золы-уноса (ЗУ)»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Требования к области применения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Требование к области применения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сухого золоудаления (ССЗУ) АО «Сахалинская ГРЭС-2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Требования к целям и задачам разработки, ожидаемому эффекту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Новизна разработки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существующей Системы Сухого Отбора Золы-уноса до системы, ориентированной на утилизацию ЗУ в в максимально возможном объёме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Цель разработки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Разработка Основных Технических Решений (далее – ОТР) по модернизации существующей системы отбора, транспортировки, хранения/складирования и отгрузки золы уноса Сахалинской ГРЭС-2 с целью максимальной утилизации золошлаковых продуктов (далее – ЗШП).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Сокращение затрат на размещение золошлаковых отходов.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Получение дополнительного дохода от реализации золы уноса сторонним потребителям.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Основной ожидаемый эффект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Основных технических решений системы отбора, транспортировки, хранения/складирования и отгрузки золы уноса с целью реализации ЗШП стороннему потребителю и для собственных нужд.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Требования к учету сведений о потребности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потребности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Краткое описание характера работ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и информация, предоставляемые Подрядчику со стороны Заказчика.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Исходные данные предоставляет Заказчик на основании «Опросного листа» предоставленного Подрядчиком. В него входят в том числе:</w:t>
            </w:r>
          </w:p>
          <w:p>
            <w:pPr>
              <w:pStyle w:val="ListParagraph"/>
              <w:widowControl w:val="false"/>
              <w:ind w:left="-25" w:hanging="0"/>
              <w:rPr/>
            </w:pPr>
            <w:r>
              <w:rPr/>
              <w:t>Характеристики системы очистки уходящих газов и системы удаления золы, в том числе зданий и сооружений;</w:t>
            </w:r>
          </w:p>
          <w:p>
            <w:pPr>
              <w:pStyle w:val="ListParagraph"/>
              <w:widowControl w:val="false"/>
              <w:ind w:left="-25" w:hanging="0"/>
              <w:rPr/>
            </w:pPr>
            <w:r>
              <w:rPr/>
              <w:t>Характеристики промплощадки ТЭЦ, в том числе геологические, с целью определения мест размещения конструкций и сооружений для транспортировки, хранения/складирования и отгрузки золы уноса сторонним потребителям и для собственных целей Заказчика.</w:t>
            </w:r>
          </w:p>
          <w:p>
            <w:pPr>
              <w:pStyle w:val="ListParagraph"/>
              <w:widowControl w:val="false"/>
              <w:ind w:left="-25" w:hanging="0"/>
              <w:rPr/>
            </w:pPr>
            <w:r>
              <w:rPr/>
              <w:t>Информация о разновидностях сжигаемого угля, режимах сжигания угля, пылеподготовке.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Основные требуемые параметры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Требования к выполнению работы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Подрядчик обязан участвовать в согласовании ОТР, в требуемом объёме с АО «Сахалинэнерго».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При выполнении работ учесть основные технические характеристики оборудования Сахалинской ГРЭС-2.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Не допускается указание Подрядчиком в документации, в том числе спецификациях, материалов и изделий конкретных производителей. Указываются только тип, марка, и характеристики материалов и изделий.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по вариантной разработке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технологическим решениям</w:t>
            </w: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технологические решения должны обеспечивать максимальное использование существующего оборудования Сахалинской ГРЭС-2, обеспечивающего отбор, транспортировку к месту складирования, накопление и складирование, отгрузку золы потребителю.</w:t>
            </w:r>
          </w:p>
        </w:tc>
      </w:tr>
      <w:tr>
        <w:trPr/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конструктивным и объемно-планировочным решениям</w:t>
            </w: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Работы выполнить согласно требованиям действующих нормативных документов, в том числе с учётом сейсмических и климатических условий региона строительства, при этом предусмотреть применение современных строительных материалов, изделий, конструкций и строительных технологий, отвечающих санитарным требованиям, пожарной безопасности, строительным нормам и правилам, техническим регламентам.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Оборудование должно быть размещено с учетом требований безопасности и удобства технического и оперативного обслуживания.</w:t>
            </w:r>
          </w:p>
        </w:tc>
      </w:tr>
      <w:tr>
        <w:trPr/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Исполнитель должен иметь опыт в выполнении проектных работ в области теплоэнергетики.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Необходимо наличие квалифицированного научного и инженерного персонала, способного вести работы по заявленной теме.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Требования к этапам разработки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работ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b/>
                <w:lang w:eastAsia="en-US"/>
              </w:rPr>
              <w:t>Этап1: «Модернизация системы сухого золоудаления (ССЗУ) АО «Сахалинской ГРЭС-2» с целью повышения уровня утилизации золы-уноса (ЗУ)»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1.1.  Проведение обследования, включающего сбор исходных данных, в объеме, необходимом для выполнения проектных работ.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1.2.  Разработка Основных технических решений системы отбора, транспортировки, хранения/складирования и отгрузки золы уноса с целью реализации ЗШП стороннему потребителю и для собственных нужд.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ОТР должны предусматривать: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Метод отбора и транспортировки - сухое золоудаление (пневматический).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Систему мониторинга в собственной лаборатории Сахалинской ГРЭС-2, способной производить отбор и исследование проб золы.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Обеспечение разделения потока сухой золы с каждой зоны электрофильтра с помощью пневмопродуктопроводов, способных, без смешивания транспортировать в соответствующий силос на Силосном складе.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Силосный склад должен включать в себя силосы для золы с разных зон электрофильтра. Количество и объем дополнительных силосов для золы Исполнитель согласовывает с Заказчиком..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Систему опорожнения силосов при длительном прекращении отгрузки золы или для проведения технического обслуживания или ремонта силосов.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Организацию весового контроля с автоматической передачей данных в учётную систему (АСУ ТП) на силосном складе. Количество и расположение статических автомобильных весов с программным обеспечением под загрузочными устройствами силосного склада золы определяется Заказчиком.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Подбор необходимого оборудования для реализации Проекта с учетом требований настоящего Технического задания.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t xml:space="preserve">1.3. </w:t>
            </w:r>
            <w:bookmarkStart w:id="37" w:name="_GoBack"/>
            <w:bookmarkEnd w:id="37"/>
            <w:r>
              <w:rPr>
                <w:lang w:eastAsia="en-US"/>
              </w:rPr>
              <w:t>Определение предварительной стоимости капитальных затрат на модернизацию системы сухого золоудаления (ССЗУ) АО «Сахалинской ГРЭС-2» с целью повышения уровня утилизации золы-уноса (ЗУ).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sz w:val="24"/>
                <w:szCs w:val="24"/>
              </w:rPr>
              <w:t>Требования к результату работы и форме его предоставления</w:t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По этапу работ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Исполнитель предоставляет Заказчику отчетную документацию в следующем виде: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Технический отчёт, содержащий:</w:t>
            </w:r>
          </w:p>
          <w:p>
            <w:pPr>
              <w:pStyle w:val="ListParagraph"/>
              <w:widowControl w:val="false"/>
              <w:ind w:left="0" w:hanging="0"/>
              <w:jc w:val="both"/>
              <w:rPr/>
            </w:pPr>
            <w:r>
              <w:rPr/>
              <w:t>- Основные технические решения (ОТР):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rPr/>
            </w:pPr>
            <w:r>
              <w:rPr>
                <w:rFonts w:eastAsia="Calibri"/>
                <w:sz w:val="24"/>
                <w:szCs w:val="24"/>
              </w:rPr>
              <w:t xml:space="preserve">- Расчет предварительной  стоимости капитальных затрат на реконструкцию ССЗУ Сахалинской ГРЭС-2 до </w:t>
            </w:r>
            <w:r>
              <w:rPr>
                <w:sz w:val="24"/>
                <w:szCs w:val="24"/>
              </w:rPr>
              <w:t>системы, ориентированной на утилизацию ЗУ в максимальном объёме, включающий Сводный сметный расчет  в соответствии с приказом Минстроя России от 04.08.2020 N 421/пр (в актуальной редакции) в программе «Гранд смета» ресурсно-индексным методом.</w:t>
            </w:r>
          </w:p>
          <w:p>
            <w:pPr>
              <w:pStyle w:val="ListParagraph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1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Требования к форме предоставления результата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Документация оформляется в соответствии с ГОСТ 7.32-2017 - Отчет о научно-исследовательской работе.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Все отчетные документы представляются Исполнителем Заказчику в 4 экземплярах: 3 экземпляра на бумажном носителе и 1 экземпляр на флеш носителе (USB-носителе), содержащем все отчетные документы в электронной форме.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Формат передаваемой в электронном виде документации: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текстовая часть – docx (MS Word), pdf с подписями на титульных листах;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графическая часть – dwg (AutoCAD), pdf;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таблицы данных – pdf, docx (MS Word), xlsx (MS Excel);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- 3D модели — (Revit, Tekla или аналоги).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 допускается передача документации в указанных форматах с пофайловым разделением страниц.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Допускается наличие аналогичных программных продуктов, которые должны полностью поддерживать форматы указанного ПО Заказчика, с набором функций, не уступающих указанному ПО и схожим с ним интерфейсом: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таблицы данных – docx (MS Word), xlsx (MS Excel);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презентационные материалы – pptx (MS PowerPoint).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Отчетная документация должна содержать подробное описание методологии проработки вариантов, анализ рассматриваемых технических решений, графическую информацию (схемы, графики, эскизы), расчетные таблицы, формулы, составы материалов и т.д.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Презентация по результатам выполнения Работы.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35"/>
        </w:tabs>
        <w:ind w:left="33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95"/>
        </w:tabs>
        <w:ind w:left="69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55"/>
        </w:tabs>
        <w:ind w:left="105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15"/>
        </w:tabs>
        <w:ind w:left="141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75"/>
        </w:tabs>
        <w:ind w:left="177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35"/>
        </w:tabs>
        <w:ind w:left="213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95"/>
        </w:tabs>
        <w:ind w:left="249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55"/>
        </w:tabs>
        <w:ind w:left="285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15"/>
        </w:tabs>
        <w:ind w:left="3215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ind w:left="5038" w:hanging="36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9" w:customStyle="1">
    <w:name w:val="Стиль2"/>
    <w:qFormat/>
  </w:style>
  <w:style w:type="numbering" w:styleId="8817926211" w:customStyle="1">
    <w:name w:val="8817926211"/>
    <w:qFormat/>
  </w:style>
  <w:style w:type="numbering" w:styleId="38403753951" w:customStyle="1">
    <w:name w:val="38403753951"/>
    <w:qFormat/>
  </w:style>
  <w:style w:type="numbering" w:styleId="32966102551" w:customStyle="1">
    <w:name w:val="32966102551"/>
    <w:qFormat/>
  </w:style>
  <w:style w:type="numbering" w:styleId="29329579721" w:customStyle="1">
    <w:name w:val="29329579721"/>
    <w:qFormat/>
  </w:style>
  <w:style w:type="numbering" w:styleId="17390091101" w:customStyle="1">
    <w:name w:val="17390091101"/>
    <w:qFormat/>
  </w:style>
  <w:style w:type="numbering" w:styleId="19705792761" w:customStyle="1">
    <w:name w:val="197057927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Application>AlterOffice/2025.3.1.0$Linux_X86_64 LibreOffice_project/431cd1b79110582f53535c95ed0a2449aadc8bf9</Application>
  <AppVersion>15.0000</AppVersion>
  <Pages>8</Pages>
  <Words>1333</Words>
  <Characters>9356</Characters>
  <CharactersWithSpaces>10550</CharactersWithSpaces>
  <Paragraphs>162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2020-09-18T17:02:00Z</dcterms:created>
  <dc:creator>Быстров Олег Геннадьевич</dc:creator>
  <dc:description/>
  <dc:language>ru-RU</dc:language>
  <cp:lastModifiedBy>melnikovaod</cp:lastModifiedBy>
  <cp:lastPrinted>2006-07-26T14:04:00Z</cp:lastPrinted>
  <dcterms:modified xsi:type="dcterms:W3CDTF">2026-08-11T10:24:52Z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