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header7.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settings.xml" ContentType="application/vnd.openxmlformats-officedocument.wordprocessingml.settings+xml"/>
  <Override PartName="/word/header5.xml" ContentType="application/vnd.openxmlformats-officedocument.wordprocessingml.header+xml"/>
  <Override PartName="/word/styles.xml" ContentType="application/vnd.openxmlformats-officedocument.wordprocessingml.styles+xml"/>
  <Override PartName="/word/header6.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jc w:val="center"/>
        <w:rPr>
          <w:sz w:val="24"/>
          <w:szCs w:val="24"/>
        </w:rPr>
      </w:pPr>
      <w:r>
        <w:rPr>
          <w:rFonts w:eastAsia="Calibri"/>
          <w:b/>
          <w:sz w:val="24"/>
          <w:szCs w:val="24"/>
        </w:rPr>
        <w:t>Технические требования</w:t>
      </w:r>
    </w:p>
    <w:p>
      <w:pPr>
        <w:pStyle w:val="Normal"/>
        <w:keepNext w:val="true"/>
        <w:keepLines/>
        <w:jc w:val="center"/>
        <w:rPr>
          <w:rFonts w:eastAsia="Calibri"/>
          <w:b/>
          <w:sz w:val="24"/>
          <w:szCs w:val="24"/>
        </w:rPr>
      </w:pPr>
      <w:r>
        <w:rPr>
          <w:rFonts w:eastAsia="Calibri"/>
          <w:b/>
          <w:sz w:val="24"/>
          <w:szCs w:val="24"/>
        </w:rPr>
      </w:r>
    </w:p>
    <w:p>
      <w:pPr>
        <w:pStyle w:val="Normal"/>
        <w:keepNext w:val="true"/>
        <w:keepLines/>
        <w:jc w:val="center"/>
        <w:rPr>
          <w:rFonts w:eastAsia="Calibri"/>
          <w:sz w:val="24"/>
          <w:szCs w:val="24"/>
        </w:rPr>
      </w:pPr>
      <w:r>
        <w:rPr>
          <w:rFonts w:eastAsia="Calibri"/>
          <w:sz w:val="24"/>
          <w:szCs w:val="24"/>
        </w:rPr>
      </w:r>
    </w:p>
    <w:p>
      <w:pPr>
        <w:pStyle w:val="Normal"/>
        <w:jc w:val="center"/>
        <w:rPr>
          <w:rFonts w:eastAsia="Calibri"/>
          <w:b/>
          <w:sz w:val="24"/>
          <w:szCs w:val="24"/>
          <w:highlight w:val="yellow"/>
        </w:rPr>
      </w:pPr>
      <w:r>
        <w:rPr>
          <w:rFonts w:eastAsia="Calibri"/>
          <w:b/>
          <w:sz w:val="24"/>
          <w:szCs w:val="24"/>
          <w:highlight w:val="yellow"/>
        </w:rPr>
        <w:t>ОКПД2 00.00.00</w:t>
      </w:r>
      <w:r>
        <w:rPr>
          <w:rFonts w:eastAsia="Calibri"/>
          <w:b/>
          <w:sz w:val="24"/>
          <w:szCs w:val="24"/>
        </w:rPr>
        <w:t xml:space="preserve"> Поставка </w:t>
      </w:r>
      <w:r>
        <w:rPr>
          <w:rFonts w:eastAsia="Calibri"/>
          <w:b/>
          <w:sz w:val="24"/>
          <w:szCs w:val="24"/>
          <w:highlight w:val="yellow"/>
        </w:rPr>
        <w:t>электротехнических материалов</w:t>
      </w:r>
      <w:r>
        <w:rPr>
          <w:rFonts w:eastAsia="Calibri"/>
          <w:b/>
          <w:sz w:val="24"/>
          <w:szCs w:val="24"/>
        </w:rPr>
        <w:t xml:space="preserve"> для Новосибирской ГЭС</w:t>
      </w:r>
    </w:p>
    <w:p>
      <w:pPr>
        <w:sectPr>
          <w:headerReference w:type="default" r:id="rId2"/>
          <w:type w:val="nextPage"/>
          <w:pgSz w:w="11906" w:h="16838"/>
          <w:pgMar w:left="1134" w:right="851" w:gutter="0" w:header="680" w:top="1134" w:footer="0" w:bottom="992"/>
          <w:pgNumType w:fmt="decimal"/>
          <w:formProt w:val="false"/>
          <w:textDirection w:val="lrTb"/>
          <w:docGrid w:type="default" w:linePitch="360" w:charSpace="0"/>
        </w:sectPr>
        <w:pStyle w:val="Heading2"/>
        <w:numPr>
          <w:ilvl w:val="0"/>
        </w:numPr>
        <w:spacing w:before="300" w:after="75"/>
        <w:ind w:left="432" w:hanging="432"/>
        <w:jc w:val="center"/>
        <w:rPr>
          <w:bCs w:val="false"/>
          <w:lang w:val="ru-RU" w:eastAsia="ru-RU"/>
        </w:rPr>
      </w:pPr>
      <w:bookmarkStart w:id="0" w:name="_Toc205981909"/>
      <w:r>
        <w:rPr>
          <w:bCs w:val="false"/>
          <w:lang w:val="ru-RU" w:eastAsia="ru-RU"/>
        </w:rPr>
        <w:t xml:space="preserve">Лот № </w:t>
      </w:r>
      <w:r>
        <w:rPr>
          <w:bCs w:val="false"/>
          <w:highlight w:val="yellow"/>
          <w:lang w:val="ru-RU" w:eastAsia="ru-RU"/>
        </w:rPr>
        <w:t>0000-ТПиР БЕЗОП ДОХ-2026-ГРВКК-СШФ</w:t>
      </w:r>
      <w:bookmarkEnd w:id="0"/>
    </w:p>
    <w:p>
      <w:pPr>
        <w:pStyle w:val="Heading1"/>
        <w:keepLines/>
        <w:numPr>
          <w:ilvl w:val="0"/>
          <w:numId w:val="3"/>
        </w:numPr>
        <w:ind w:left="357" w:hanging="357"/>
        <w:jc w:val="center"/>
        <w:rPr>
          <w:sz w:val="24"/>
          <w:szCs w:val="24"/>
        </w:rPr>
      </w:pPr>
      <w:bookmarkStart w:id="1" w:name="_Toc51339692"/>
      <w:bookmarkStart w:id="2" w:name="_Toc205981910"/>
      <w:r>
        <w:rPr>
          <w:sz w:val="24"/>
          <w:szCs w:val="24"/>
          <w:lang w:val="ru-RU"/>
        </w:rPr>
        <w:t>Общие сведения</w:t>
      </w:r>
      <w:bookmarkEnd w:id="1"/>
      <w:bookmarkEnd w:id="2"/>
    </w:p>
    <w:p>
      <w:pPr>
        <w:pStyle w:val="Normal"/>
        <w:ind w:left="357" w:hanging="357"/>
        <w:jc w:val="center"/>
        <w:rPr>
          <w:sz w:val="24"/>
          <w:szCs w:val="24"/>
        </w:rPr>
      </w:pPr>
      <w:r>
        <w:rPr>
          <w:sz w:val="24"/>
          <w:szCs w:val="24"/>
        </w:rPr>
      </w:r>
    </w:p>
    <w:p>
      <w:pPr>
        <w:pStyle w:val="Heading4"/>
        <w:numPr>
          <w:ilvl w:val="1"/>
          <w:numId w:val="3"/>
        </w:numPr>
        <w:rPr/>
      </w:pPr>
      <w:bookmarkStart w:id="3" w:name="_Toc46743506"/>
      <w:bookmarkStart w:id="4" w:name="_Toc205981911"/>
      <w:r>
        <w:rPr/>
        <w:t>Наименование закупаемой продукции</w:t>
      </w:r>
      <w:bookmarkEnd w:id="3"/>
      <w:bookmarkEnd w:id="4"/>
    </w:p>
    <w:p>
      <w:pPr>
        <w:pStyle w:val="Normal"/>
        <w:jc w:val="both"/>
        <w:rPr>
          <w:sz w:val="24"/>
          <w:szCs w:val="24"/>
        </w:rPr>
      </w:pPr>
      <w:r>
        <w:rPr>
          <w:rFonts w:eastAsia="Calibri"/>
          <w:sz w:val="24"/>
          <w:szCs w:val="24"/>
          <w:highlight w:val="yellow"/>
          <w:lang w:eastAsia="x-none"/>
        </w:rPr>
        <w:t>ОКПД2 00.00.00</w:t>
      </w:r>
      <w:r>
        <w:rPr>
          <w:rFonts w:eastAsia="Calibri"/>
          <w:sz w:val="24"/>
          <w:szCs w:val="24"/>
          <w:lang w:eastAsia="x-none"/>
        </w:rPr>
        <w:t xml:space="preserve"> Поставка </w:t>
      </w:r>
      <w:r>
        <w:rPr>
          <w:rFonts w:eastAsia="Calibri"/>
          <w:sz w:val="24"/>
          <w:szCs w:val="24"/>
          <w:highlight w:val="yellow"/>
          <w:lang w:eastAsia="x-none"/>
        </w:rPr>
        <w:t>электротехнических материалов</w:t>
      </w:r>
      <w:r>
        <w:rPr>
          <w:rFonts w:eastAsia="Calibri"/>
          <w:sz w:val="24"/>
          <w:szCs w:val="24"/>
          <w:lang w:eastAsia="x-none"/>
        </w:rPr>
        <w:t xml:space="preserve"> для Новосибирской ГЭС (далее – продукция).</w:t>
      </w:r>
    </w:p>
    <w:p>
      <w:pPr>
        <w:pStyle w:val="Normal"/>
        <w:jc w:val="both"/>
        <w:rPr>
          <w:sz w:val="24"/>
          <w:szCs w:val="24"/>
        </w:rPr>
      </w:pPr>
      <w:r>
        <w:rPr>
          <w:sz w:val="24"/>
          <w:szCs w:val="24"/>
        </w:rPr>
      </w:r>
    </w:p>
    <w:p>
      <w:pPr>
        <w:pStyle w:val="Heading4"/>
        <w:numPr>
          <w:ilvl w:val="1"/>
          <w:numId w:val="3"/>
        </w:numPr>
        <w:spacing w:before="0" w:after="60"/>
        <w:ind w:left="431" w:hanging="431"/>
        <w:rPr/>
      </w:pPr>
      <w:bookmarkStart w:id="5" w:name="_Toc205981912"/>
      <w:bookmarkStart w:id="6" w:name="_Toc46743507"/>
      <w:r>
        <w:rPr/>
        <w:t xml:space="preserve">Цель </w:t>
      </w:r>
      <w:bookmarkEnd w:id="6"/>
      <w:r>
        <w:rPr>
          <w:lang w:val="ru-RU"/>
        </w:rPr>
        <w:t>использования закупаемой продукции</w:t>
      </w:r>
      <w:bookmarkEnd w:id="5"/>
    </w:p>
    <w:p>
      <w:pPr>
        <w:pStyle w:val="Normal"/>
        <w:suppressAutoHyphens w:val="false"/>
        <w:overflowPunct w:val="true"/>
        <w:rPr>
          <w:rStyle w:val="Style8"/>
          <w:b w:val="false"/>
          <w:i w:val="false"/>
          <w:i w:val="false"/>
          <w:sz w:val="24"/>
          <w:szCs w:val="24"/>
          <w:shd w:fill="auto" w:val="clear"/>
        </w:rPr>
      </w:pPr>
      <w:r>
        <w:rPr>
          <w:rStyle w:val="Style8"/>
          <w:b w:val="false"/>
          <w:i w:val="false"/>
          <w:sz w:val="24"/>
          <w:szCs w:val="24"/>
          <w:shd w:fill="auto" w:val="clear"/>
        </w:rPr>
        <w:t>Исполнение обязательств по договорам подряда</w:t>
      </w:r>
      <w:r>
        <w:rPr>
          <w:rStyle w:val="Style8"/>
          <w:shd w:fill="auto" w:val="clear"/>
        </w:rPr>
        <w:t xml:space="preserve"> </w:t>
      </w:r>
      <w:r>
        <w:rPr>
          <w:rStyle w:val="Style8"/>
          <w:b w:val="false"/>
          <w:i w:val="false"/>
          <w:sz w:val="24"/>
          <w:szCs w:val="24"/>
          <w:shd w:fill="auto" w:val="clear"/>
        </w:rPr>
        <w:t>№2-ТПиР-Без-2026 от 18.05.2026 «Поставка оборудования, монтаж и наладка системы контроля и управления доступом, охранной сигнализации и охранного освещения Новосибирской ГЭС в рамках исполнения инвестиционного проекта К_T-1260-036» и №3-ТПиР-2026 от 05.06.2026 «Поставка, монтаж и наладка оборудования технологического телевидения Новосибирской ГЭС в рамках выполнения инвестиционного проекта I_T-1260-025»</w:t>
      </w:r>
      <w:r>
        <w:rPr>
          <w:rStyle w:val="Style8"/>
          <w:i w:val="false"/>
          <w:sz w:val="24"/>
          <w:szCs w:val="24"/>
          <w:shd w:fill="auto" w:val="clear"/>
        </w:rPr>
        <w:t xml:space="preserve">, </w:t>
      </w:r>
      <w:r>
        <w:rPr>
          <w:rStyle w:val="Style8"/>
          <w:b w:val="false"/>
          <w:i w:val="false"/>
          <w:sz w:val="24"/>
          <w:szCs w:val="24"/>
          <w:shd w:fill="auto" w:val="clear"/>
        </w:rPr>
        <w:t>заключенного между филиалом ПАО «РусГидро» - «Новосибирская ГЭС» и Саяно-Шушенским филиалом АО «Гидроремонт-ВКК».</w:t>
      </w:r>
    </w:p>
    <w:p>
      <w:pPr>
        <w:pStyle w:val="Normal"/>
        <w:ind w:firstLine="708"/>
        <w:jc w:val="both"/>
        <w:rPr>
          <w:sz w:val="24"/>
          <w:szCs w:val="24"/>
        </w:rPr>
      </w:pPr>
      <w:r>
        <w:rPr>
          <w:sz w:val="24"/>
          <w:szCs w:val="24"/>
        </w:rPr>
      </w:r>
    </w:p>
    <w:p>
      <w:pPr>
        <w:pStyle w:val="Heading1"/>
        <w:keepLines/>
        <w:numPr>
          <w:ilvl w:val="0"/>
          <w:numId w:val="3"/>
        </w:numPr>
        <w:ind w:left="357" w:hanging="357"/>
        <w:jc w:val="center"/>
        <w:rPr>
          <w:sz w:val="24"/>
          <w:szCs w:val="24"/>
        </w:rPr>
      </w:pPr>
      <w:bookmarkStart w:id="7" w:name="_Toc51339693"/>
      <w:bookmarkStart w:id="8" w:name="_Toc205981913"/>
      <w:r>
        <w:rPr>
          <w:iCs/>
          <w:sz w:val="24"/>
          <w:szCs w:val="24"/>
        </w:rPr>
        <w:t>Требования к продукции</w:t>
      </w:r>
      <w:bookmarkEnd w:id="7"/>
      <w:bookmarkEnd w:id="8"/>
    </w:p>
    <w:p>
      <w:pPr>
        <w:pStyle w:val="Heading4"/>
        <w:numPr>
          <w:ilvl w:val="1"/>
          <w:numId w:val="3"/>
        </w:numPr>
        <w:rPr/>
      </w:pPr>
      <w:bookmarkStart w:id="9" w:name="_Toc205981914"/>
      <w:r>
        <w:rPr/>
        <w:t xml:space="preserve">Требования к объемам и срокам </w:t>
      </w:r>
      <w:r>
        <w:rPr>
          <w:lang w:val="ru-RU"/>
        </w:rPr>
        <w:t>поставки</w:t>
      </w:r>
      <w:bookmarkEnd w:id="9"/>
    </w:p>
    <w:p>
      <w:pPr>
        <w:pStyle w:val="Heading3"/>
        <w:numPr>
          <w:ilvl w:val="2"/>
          <w:numId w:val="3"/>
        </w:numPr>
        <w:rPr/>
      </w:pPr>
      <w:bookmarkStart w:id="10" w:name="_Toc205981915"/>
      <w:r>
        <w:rPr>
          <w:lang w:val="ru-RU"/>
        </w:rPr>
        <w:t>Перечень и объем закупаемой продукции</w:t>
      </w:r>
      <w:bookmarkEnd w:id="10"/>
    </w:p>
    <w:p>
      <w:pPr>
        <w:pStyle w:val="Heading1"/>
        <w:keepLines/>
        <w:numPr>
          <w:ilvl w:val="0"/>
          <w:numId w:val="0"/>
        </w:numPr>
        <w:spacing w:before="240" w:after="60"/>
        <w:ind w:left="0" w:hanging="0"/>
        <w:rPr>
          <w:sz w:val="24"/>
          <w:szCs w:val="24"/>
        </w:rPr>
      </w:pPr>
      <w:bookmarkStart w:id="11" w:name="_Toc205981916"/>
      <w:bookmarkStart w:id="12" w:name="_Toc51339695"/>
      <w:r>
        <w:rPr>
          <w:sz w:val="24"/>
          <w:szCs w:val="24"/>
        </w:rPr>
        <w:t xml:space="preserve">Таблица </w:t>
      </w:r>
      <w:r>
        <w:rPr>
          <w:sz w:val="24"/>
          <w:szCs w:val="24"/>
          <w:lang w:val="ru-RU"/>
        </w:rPr>
        <w:t>1.1</w:t>
      </w:r>
      <w:r>
        <w:rPr>
          <w:sz w:val="24"/>
          <w:szCs w:val="24"/>
        </w:rPr>
        <w:t xml:space="preserve"> </w:t>
      </w:r>
      <w:r>
        <w:rPr>
          <w:sz w:val="24"/>
          <w:szCs w:val="24"/>
          <w:lang w:val="ru-RU"/>
        </w:rPr>
        <w:t xml:space="preserve">Перечень </w:t>
      </w:r>
      <w:bookmarkEnd w:id="12"/>
      <w:r>
        <w:rPr>
          <w:sz w:val="24"/>
          <w:szCs w:val="24"/>
          <w:lang w:val="ru-RU"/>
        </w:rPr>
        <w:t>и объем закупаемой продукции</w:t>
      </w:r>
      <w:bookmarkEnd w:id="11"/>
    </w:p>
    <w:tbl>
      <w:tblPr>
        <w:tblW w:w="9915" w:type="dxa"/>
        <w:jc w:val="right"/>
        <w:tblInd w:w="0" w:type="dxa"/>
        <w:tblLayout w:type="fixed"/>
        <w:tblCellMar>
          <w:top w:w="0" w:type="dxa"/>
          <w:left w:w="108" w:type="dxa"/>
          <w:bottom w:w="0" w:type="dxa"/>
          <w:right w:w="108" w:type="dxa"/>
        </w:tblCellMar>
        <w:tblLook w:val="04a0" w:noHBand="0" w:noVBand="1" w:firstColumn="1" w:lastRow="0" w:lastColumn="0" w:firstRow="1"/>
      </w:tblPr>
      <w:tblGrid>
        <w:gridCol w:w="675"/>
        <w:gridCol w:w="6406"/>
        <w:gridCol w:w="1310"/>
        <w:gridCol w:w="1523"/>
      </w:tblGrid>
      <w:tr>
        <w:trPr>
          <w:trHeight w:val="780"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w:t>
            </w:r>
          </w:p>
          <w:p>
            <w:pPr>
              <w:pStyle w:val="Normal"/>
              <w:keepNext w:val="true"/>
              <w:widowControl w:val="false"/>
              <w:jc w:val="center"/>
              <w:rPr>
                <w:sz w:val="24"/>
                <w:szCs w:val="24"/>
              </w:rPr>
            </w:pPr>
            <w:r>
              <w:rPr>
                <w:sz w:val="24"/>
                <w:szCs w:val="24"/>
              </w:rPr>
              <w:t>п/п</w:t>
            </w:r>
          </w:p>
        </w:tc>
        <w:tc>
          <w:tcPr>
            <w:tcW w:w="640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Наименование продукции</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Единица измерения</w:t>
            </w:r>
          </w:p>
        </w:tc>
        <w:tc>
          <w:tcPr>
            <w:tcW w:w="1523"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Количество</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1</w:t>
            </w:r>
          </w:p>
        </w:tc>
        <w:tc>
          <w:tcPr>
            <w:tcW w:w="64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2</w:t>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3</w:t>
            </w:r>
          </w:p>
        </w:tc>
        <w:tc>
          <w:tcPr>
            <w:tcW w:w="15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4</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1</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sz w:val="24"/>
                <w:szCs w:val="24"/>
              </w:rPr>
            </w:pPr>
            <w:r>
              <w:rPr>
                <w:sz w:val="24"/>
                <w:szCs w:val="24"/>
              </w:rPr>
              <w:t>ФР-2А 8А Фотореле с активным выносным фотодатчиком, 90×78×41, 220 В, 50 Гц Iн=8 А, 1 - 4 лк, IP68, –45…+40 °С, длина кабеля 15 м KF2, KF4.2</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sz w:val="24"/>
                <w:szCs w:val="24"/>
                <w:lang w:val="en-US"/>
              </w:rPr>
            </w:pPr>
            <w:r>
              <w:rPr>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sz w:val="24"/>
                <w:szCs w:val="24"/>
                <w:lang w:val="en-US"/>
              </w:rPr>
            </w:pPr>
            <w:r>
              <w:rPr>
                <w:sz w:val="24"/>
                <w:szCs w:val="24"/>
                <w:lang w:val="en-US"/>
              </w:rPr>
              <w:t>2</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2</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sz w:val="24"/>
                <w:szCs w:val="24"/>
              </w:rPr>
            </w:pPr>
            <w:r>
              <w:rPr>
                <w:sz w:val="24"/>
                <w:szCs w:val="24"/>
              </w:rPr>
              <w:t>ФР-9М Фотореле с активным выносным фотодатчиком, 66х17,5х90, 220 В, 50 Гц Iн=16 А, 0,5 - 450 лк, IP68, –40…+60 °С, длина кабеля 15 м KF1</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sz w:val="24"/>
                <w:szCs w:val="24"/>
                <w:lang w:val="en-US"/>
              </w:rPr>
            </w:pPr>
            <w:r>
              <w:rPr>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sz w:val="24"/>
                <w:szCs w:val="24"/>
                <w:lang w:val="en-US"/>
              </w:rPr>
            </w:pPr>
            <w:r>
              <w:rPr>
                <w:sz w:val="24"/>
                <w:szCs w:val="24"/>
                <w:lang w:val="en-US"/>
              </w:rPr>
              <w:t>1</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3</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52002 Термошкаф (600х760х350мм, -50°С) ТШ-2-В1</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3</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4</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DR-60W-12 PROxima Блок питания</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62</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5</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SKAT-12-6.0DIN Источник бесперебойного питания, Uвых=12В GA</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6</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6</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УЗЛ-И Устройство защиты линии интерфейса RS-485</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19</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7</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52001 Термошкаф (600х600х210мм, -50°С) ТШ-1В</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7</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8</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Комплект лебедки для складывания ОГКС</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2</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9</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DIS1375022 Выключатель однополюсный, двухклавишный, настенный</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1</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10</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lang w:val="en-US"/>
              </w:rPr>
            </w:pPr>
            <w:r>
              <w:rPr>
                <w:color w:val="000000"/>
                <w:sz w:val="24"/>
                <w:szCs w:val="24"/>
                <w:lang w:val="en-US"/>
              </w:rPr>
              <w:t xml:space="preserve">SPRUT DOOR CLOSER-090GR </w:t>
            </w:r>
            <w:r>
              <w:rPr>
                <w:color w:val="000000"/>
                <w:sz w:val="24"/>
                <w:szCs w:val="24"/>
              </w:rPr>
              <w:t>Доводчик</w:t>
            </w:r>
            <w:r>
              <w:rPr>
                <w:color w:val="000000"/>
                <w:sz w:val="24"/>
                <w:szCs w:val="24"/>
                <w:lang w:val="en-US"/>
              </w:rPr>
              <w:t xml:space="preserve"> </w:t>
            </w:r>
            <w:r>
              <w:rPr>
                <w:color w:val="000000"/>
                <w:sz w:val="24"/>
                <w:szCs w:val="24"/>
              </w:rPr>
              <w:t>дверной</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5</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11</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highlight w:val="green"/>
              </w:rPr>
            </w:pPr>
            <w:r>
              <w:rPr>
                <w:color w:val="000000"/>
                <w:sz w:val="24"/>
                <w:szCs w:val="24"/>
              </w:rPr>
              <w:t xml:space="preserve">Панель освещения </w:t>
            </w:r>
            <w:r>
              <w:rPr>
                <w:color w:val="000000"/>
                <w:sz w:val="24"/>
                <w:szCs w:val="24"/>
                <w:lang w:val="en-US"/>
              </w:rPr>
              <w:t>SKAT</w:t>
            </w:r>
            <w:r>
              <w:rPr>
                <w:color w:val="000000"/>
                <w:sz w:val="24"/>
                <w:szCs w:val="24"/>
              </w:rPr>
              <w:t xml:space="preserve"> </w:t>
            </w:r>
            <w:r>
              <w:rPr>
                <w:color w:val="000000"/>
                <w:sz w:val="24"/>
                <w:szCs w:val="24"/>
                <w:lang w:val="en-US"/>
              </w:rPr>
              <w:t>TB</w:t>
            </w:r>
            <w:r>
              <w:rPr>
                <w:color w:val="000000"/>
                <w:sz w:val="24"/>
                <w:szCs w:val="24"/>
              </w:rPr>
              <w:t xml:space="preserve"> </w:t>
            </w:r>
            <w:r>
              <w:rPr>
                <w:color w:val="000000"/>
                <w:sz w:val="24"/>
                <w:szCs w:val="24"/>
                <w:lang w:val="en-US"/>
              </w:rPr>
              <w:t>LIGHT</w:t>
            </w:r>
            <w:r>
              <w:rPr>
                <w:color w:val="000000"/>
                <w:sz w:val="24"/>
                <w:szCs w:val="24"/>
              </w:rPr>
              <w:t xml:space="preserve"> 150-</w:t>
            </w:r>
            <w:r>
              <w:rPr>
                <w:color w:val="000000"/>
                <w:sz w:val="24"/>
                <w:szCs w:val="24"/>
                <w:lang w:val="en-US"/>
              </w:rPr>
              <w:t>G</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green"/>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green"/>
                <w:lang w:val="en-US"/>
              </w:rPr>
            </w:pPr>
            <w:r>
              <w:rPr>
                <w:color w:val="000000"/>
                <w:sz w:val="24"/>
                <w:szCs w:val="24"/>
                <w:lang w:val="en-US"/>
              </w:rPr>
              <w:t>4</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12</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 xml:space="preserve">Источник переменного напряжения </w:t>
            </w:r>
          </w:p>
          <w:p>
            <w:pPr>
              <w:pStyle w:val="Normal"/>
              <w:widowControl w:val="false"/>
              <w:overflowPunct w:val="true"/>
              <w:jc w:val="both"/>
              <w:rPr>
                <w:color w:val="000000"/>
                <w:sz w:val="24"/>
                <w:szCs w:val="24"/>
                <w:highlight w:val="green"/>
              </w:rPr>
            </w:pPr>
            <w:r>
              <w:rPr>
                <w:color w:val="000000"/>
                <w:sz w:val="24"/>
                <w:szCs w:val="24"/>
                <w:lang w:val="en-US"/>
              </w:rPr>
              <w:t>SKAT</w:t>
            </w:r>
            <w:r>
              <w:rPr>
                <w:color w:val="000000"/>
                <w:sz w:val="24"/>
                <w:szCs w:val="24"/>
              </w:rPr>
              <w:t>-</w:t>
            </w:r>
            <w:r>
              <w:rPr>
                <w:color w:val="000000"/>
                <w:sz w:val="24"/>
                <w:szCs w:val="24"/>
                <w:lang w:val="en-US"/>
              </w:rPr>
              <w:t>VN</w:t>
            </w:r>
            <w:r>
              <w:rPr>
                <w:color w:val="000000"/>
                <w:sz w:val="24"/>
                <w:szCs w:val="24"/>
              </w:rPr>
              <w:t>.24/27АС ИСП.5</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green"/>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green"/>
                <w:lang w:val="en-US"/>
              </w:rPr>
            </w:pPr>
            <w:r>
              <w:rPr>
                <w:color w:val="000000"/>
                <w:sz w:val="24"/>
                <w:szCs w:val="24"/>
                <w:lang w:val="en-US"/>
              </w:rPr>
              <w:t>14</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13</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highlight w:val="green"/>
                <w:lang w:val="en-US"/>
              </w:rPr>
            </w:pPr>
            <w:r>
              <w:rPr>
                <w:color w:val="000000"/>
                <w:sz w:val="24"/>
                <w:szCs w:val="24"/>
              </w:rPr>
              <w:t>Коробка распределительная</w:t>
            </w:r>
            <w:r>
              <w:rPr>
                <w:color w:val="000000"/>
                <w:sz w:val="24"/>
                <w:szCs w:val="24"/>
                <w:lang w:val="en-US"/>
              </w:rPr>
              <w:t xml:space="preserve"> КР-1.2000</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green"/>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green"/>
                <w:lang w:val="en-US"/>
              </w:rPr>
            </w:pPr>
            <w:r>
              <w:rPr>
                <w:color w:val="000000"/>
                <w:sz w:val="24"/>
                <w:szCs w:val="24"/>
                <w:lang w:val="en-US"/>
              </w:rPr>
              <w:t>2</w:t>
            </w:r>
          </w:p>
        </w:tc>
      </w:tr>
    </w:tbl>
    <w:p>
      <w:pPr>
        <w:pStyle w:val="Normal"/>
        <w:rPr>
          <w:sz w:val="24"/>
          <w:szCs w:val="24"/>
          <w:lang w:eastAsia="x-none"/>
        </w:rPr>
      </w:pPr>
      <w:r>
        <w:rPr>
          <w:sz w:val="24"/>
          <w:szCs w:val="24"/>
          <w:lang w:eastAsia="x-none"/>
        </w:rPr>
      </w:r>
    </w:p>
    <w:p>
      <w:pPr>
        <w:pStyle w:val="Heading3"/>
        <w:numPr>
          <w:ilvl w:val="2"/>
          <w:numId w:val="3"/>
        </w:numPr>
        <w:rPr>
          <w:lang w:val="ru-RU"/>
        </w:rPr>
      </w:pPr>
      <w:bookmarkStart w:id="13" w:name="_Toc205981917"/>
      <w:r>
        <w:rPr>
          <w:lang w:val="ru-RU"/>
        </w:rPr>
        <w:t xml:space="preserve">Требования к срокам поставки продукции </w:t>
      </w:r>
      <w:bookmarkEnd w:id="13"/>
    </w:p>
    <w:p>
      <w:pPr>
        <w:pStyle w:val="Heading1"/>
        <w:keepLines/>
        <w:numPr>
          <w:ilvl w:val="0"/>
          <w:numId w:val="0"/>
        </w:numPr>
        <w:spacing w:before="240" w:after="60"/>
        <w:ind w:left="0" w:hanging="0"/>
        <w:rPr>
          <w:sz w:val="24"/>
          <w:szCs w:val="24"/>
        </w:rPr>
      </w:pPr>
      <w:bookmarkStart w:id="14" w:name="_Toc205981918"/>
      <w:bookmarkStart w:id="15" w:name="_Toc51339697"/>
      <w:bookmarkStart w:id="16" w:name="_Toc50125127"/>
      <w:bookmarkStart w:id="17" w:name="_Toc50125126_Копия_1"/>
      <w:bookmarkEnd w:id="17"/>
      <w:r>
        <w:rPr>
          <w:sz w:val="24"/>
          <w:szCs w:val="24"/>
        </w:rPr>
        <w:t xml:space="preserve">Таблица </w:t>
      </w:r>
      <w:r>
        <w:rPr>
          <w:sz w:val="24"/>
          <w:szCs w:val="24"/>
          <w:lang w:val="ru-RU"/>
        </w:rPr>
        <w:t>2</w:t>
      </w:r>
      <w:r>
        <w:rPr>
          <w:sz w:val="24"/>
          <w:szCs w:val="24"/>
        </w:rPr>
        <w:t>.</w:t>
      </w:r>
      <w:r>
        <w:rPr>
          <w:sz w:val="24"/>
          <w:szCs w:val="24"/>
          <w:lang w:val="ru-RU"/>
        </w:rPr>
        <w:t>2</w:t>
      </w:r>
      <w:r>
        <w:rPr>
          <w:sz w:val="24"/>
          <w:szCs w:val="24"/>
        </w:rPr>
        <w:t xml:space="preserve"> </w:t>
      </w:r>
      <w:bookmarkStart w:id="18" w:name="_Hlk50465284"/>
      <w:r>
        <w:rPr>
          <w:sz w:val="24"/>
          <w:szCs w:val="24"/>
        </w:rPr>
        <w:t xml:space="preserve">Требования по срокам </w:t>
      </w:r>
      <w:bookmarkEnd w:id="15"/>
      <w:bookmarkEnd w:id="16"/>
      <w:bookmarkEnd w:id="18"/>
      <w:r>
        <w:rPr>
          <w:sz w:val="24"/>
          <w:szCs w:val="24"/>
          <w:lang w:val="ru-RU"/>
        </w:rPr>
        <w:t>поставки продукции</w:t>
      </w:r>
      <w:bookmarkEnd w:id="14"/>
      <w:r>
        <w:rPr>
          <w:sz w:val="24"/>
          <w:szCs w:val="24"/>
          <w:lang w:val="ru-RU"/>
        </w:rPr>
        <w:t xml:space="preserve"> </w:t>
      </w:r>
      <w:bookmarkStart w:id="19" w:name="_Toc46743511"/>
      <w:bookmarkEnd w:id="19"/>
    </w:p>
    <w:tbl>
      <w:tblPr>
        <w:tblW w:w="9916" w:type="dxa"/>
        <w:jc w:val="right"/>
        <w:tblInd w:w="0" w:type="dxa"/>
        <w:tblLayout w:type="fixed"/>
        <w:tblCellMar>
          <w:top w:w="0" w:type="dxa"/>
          <w:left w:w="108" w:type="dxa"/>
          <w:bottom w:w="0" w:type="dxa"/>
          <w:right w:w="108" w:type="dxa"/>
        </w:tblCellMar>
        <w:tblLook w:val="04a0" w:noHBand="0" w:noVBand="1" w:firstColumn="1" w:lastRow="0" w:lastColumn="0" w:firstRow="1"/>
      </w:tblPr>
      <w:tblGrid>
        <w:gridCol w:w="675"/>
        <w:gridCol w:w="5109"/>
        <w:gridCol w:w="2105"/>
        <w:gridCol w:w="2026"/>
      </w:tblGrid>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 xml:space="preserve">№ </w:t>
            </w:r>
            <w:r>
              <w:rPr>
                <w:sz w:val="24"/>
                <w:szCs w:val="24"/>
              </w:rPr>
              <w:t>п/п</w:t>
            </w:r>
          </w:p>
        </w:tc>
        <w:tc>
          <w:tcPr>
            <w:tcW w:w="5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Наименование продукции / партии продукции</w:t>
            </w:r>
          </w:p>
        </w:tc>
        <w:tc>
          <w:tcPr>
            <w:tcW w:w="210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Требования к началу срока поставки продукции</w:t>
            </w:r>
          </w:p>
        </w:tc>
        <w:tc>
          <w:tcPr>
            <w:tcW w:w="20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поставки продукции</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1</w:t>
            </w:r>
          </w:p>
        </w:tc>
        <w:tc>
          <w:tcPr>
            <w:tcW w:w="51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2</w:t>
            </w:r>
          </w:p>
        </w:tc>
        <w:tc>
          <w:tcPr>
            <w:tcW w:w="2105" w:type="dxa"/>
            <w:tcBorders>
              <w:top w:val="single" w:sz="4" w:space="0" w:color="000000"/>
              <w:left w:val="single" w:sz="4" w:space="0" w:color="000000"/>
              <w:bottom w:val="single" w:sz="4" w:space="0" w:color="000000"/>
              <w:right w:val="single" w:sz="4" w:space="0" w:color="000000"/>
            </w:tcBorders>
          </w:tcPr>
          <w:p>
            <w:pPr>
              <w:pStyle w:val="Style28"/>
              <w:keepNext w:val="false"/>
              <w:widowControl w:val="false"/>
              <w:spacing w:before="40" w:after="40"/>
              <w:jc w:val="center"/>
              <w:rPr>
                <w:sz w:val="24"/>
                <w:szCs w:val="24"/>
              </w:rPr>
            </w:pPr>
            <w:r>
              <w:rPr>
                <w:b/>
                <w:sz w:val="24"/>
                <w:szCs w:val="24"/>
              </w:rPr>
              <w:t>3</w:t>
            </w:r>
          </w:p>
        </w:tc>
        <w:tc>
          <w:tcPr>
            <w:tcW w:w="2026" w:type="dxa"/>
            <w:tcBorders>
              <w:top w:val="single" w:sz="4" w:space="0" w:color="000000"/>
              <w:left w:val="single" w:sz="4" w:space="0" w:color="000000"/>
              <w:bottom w:val="single" w:sz="4" w:space="0" w:color="000000"/>
              <w:right w:val="single" w:sz="4" w:space="0" w:color="000000"/>
            </w:tcBorders>
          </w:tcPr>
          <w:p>
            <w:pPr>
              <w:pStyle w:val="Style28"/>
              <w:keepNext w:val="false"/>
              <w:widowControl w:val="false"/>
              <w:spacing w:before="40" w:after="40"/>
              <w:jc w:val="center"/>
              <w:rPr>
                <w:sz w:val="24"/>
                <w:szCs w:val="24"/>
              </w:rPr>
            </w:pPr>
            <w:r>
              <w:rPr>
                <w:b/>
                <w:sz w:val="24"/>
                <w:szCs w:val="24"/>
              </w:rPr>
              <w:t>4</w:t>
            </w:r>
          </w:p>
        </w:tc>
      </w:tr>
      <w:tr>
        <w:trPr>
          <w:trHeight w:val="905"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ind w:left="0" w:hanging="0"/>
              <w:rPr>
                <w:sz w:val="24"/>
                <w:szCs w:val="24"/>
              </w:rPr>
            </w:pPr>
            <w:r>
              <w:rPr>
                <w:sz w:val="24"/>
                <w:szCs w:val="24"/>
              </w:rPr>
              <w:t>1.</w:t>
            </w:r>
          </w:p>
        </w:tc>
        <w:tc>
          <w:tcPr>
            <w:tcW w:w="51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highlight w:val="yellow"/>
              </w:rPr>
              <w:t>ОКПД2 00.00.00</w:t>
            </w:r>
            <w:r>
              <w:rPr>
                <w:sz w:val="24"/>
                <w:szCs w:val="24"/>
              </w:rPr>
              <w:t xml:space="preserve"> Поставка </w:t>
            </w:r>
            <w:r>
              <w:rPr>
                <w:sz w:val="24"/>
                <w:szCs w:val="24"/>
                <w:highlight w:val="yellow"/>
              </w:rPr>
              <w:t>электротехнических материалов</w:t>
            </w:r>
            <w:r>
              <w:rPr>
                <w:sz w:val="24"/>
                <w:szCs w:val="24"/>
              </w:rPr>
              <w:t xml:space="preserve"> для Новосибирской ГЭС</w:t>
            </w:r>
          </w:p>
        </w:tc>
        <w:tc>
          <w:tcPr>
            <w:tcW w:w="2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С даты подписания Договора</w:t>
            </w:r>
          </w:p>
        </w:tc>
        <w:tc>
          <w:tcPr>
            <w:tcW w:w="20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 xml:space="preserve">не позднее 29 </w:t>
            </w:r>
            <w:r>
              <w:rPr>
                <w:sz w:val="24"/>
                <w:szCs w:val="24"/>
                <w:lang w:val="en-US"/>
              </w:rPr>
              <w:t>января</w:t>
            </w:r>
            <w:r>
              <w:rPr>
                <w:sz w:val="24"/>
                <w:szCs w:val="24"/>
              </w:rPr>
              <w:t xml:space="preserve"> 2027 г.*</w:t>
            </w:r>
          </w:p>
        </w:tc>
      </w:tr>
    </w:tbl>
    <w:p>
      <w:pPr>
        <w:sectPr>
          <w:headerReference w:type="default" r:id="rId3"/>
          <w:headerReference w:type="first" r:id="rId4"/>
          <w:type w:val="nextPage"/>
          <w:pgSz w:w="11906" w:h="16838"/>
          <w:pgMar w:left="1134" w:right="1134" w:gutter="0" w:header="0" w:top="851" w:footer="0" w:bottom="1134"/>
          <w:pgNumType w:fmt="decimal"/>
          <w:formProt w:val="false"/>
          <w:textDirection w:val="lrTb"/>
          <w:docGrid w:type="default" w:linePitch="100" w:charSpace="0"/>
        </w:sectPr>
        <w:pStyle w:val="ListParagraph"/>
        <w:ind w:left="0" w:hanging="0"/>
        <w:jc w:val="both"/>
        <w:rPr>
          <w:i/>
          <w:i/>
          <w:sz w:val="24"/>
          <w:szCs w:val="24"/>
        </w:rPr>
      </w:pPr>
      <w:r>
        <w:rPr>
          <w:i/>
          <w:sz w:val="24"/>
          <w:szCs w:val="24"/>
        </w:rPr>
        <w:t>*В соответствии с календарным графиком поставки оборудования и выполнения работ по доходным договорам №2-ТПиР-Без-2026 «Поставка оборудования, монтаж и наладка системы контроля и управления доступом, охранной сигнализации и охранного освещения Новосибирской ГЭС в рамках исполнения инвестиционного проекта К_T-1260-036» и №3-ТПиР-2026 от 05.06.2026 «Поставка, монтаж и наладка оборудования технологического телевидения Новосибирской ГЭС в рамках выполнения инвестиционного проекта I_T-1260-025»</w:t>
      </w:r>
    </w:p>
    <w:p>
      <w:pPr>
        <w:sectPr>
          <w:headerReference w:type="default" r:id="rId5"/>
          <w:headerReference w:type="first" r:id="rId6"/>
          <w:type w:val="nextPage"/>
          <w:pgSz w:w="11906" w:h="16838"/>
          <w:pgMar w:left="1134" w:right="1134" w:gutter="0" w:header="0" w:top="851" w:footer="0" w:bottom="1134"/>
          <w:pgNumType w:fmt="decimal"/>
          <w:formProt w:val="false"/>
          <w:textDirection w:val="lrTb"/>
          <w:docGrid w:type="default" w:linePitch="100" w:charSpace="0"/>
        </w:sectPr>
        <w:pStyle w:val="ListParagraph"/>
        <w:ind w:left="0" w:hanging="0"/>
        <w:jc w:val="both"/>
        <w:rPr>
          <w:i/>
          <w:i/>
          <w:sz w:val="24"/>
          <w:szCs w:val="24"/>
        </w:rPr>
      </w:pPr>
      <w:r>
        <w:rPr>
          <w:i/>
          <w:sz w:val="24"/>
          <w:szCs w:val="24"/>
        </w:rPr>
      </w:r>
    </w:p>
    <w:p>
      <w:pPr>
        <w:pStyle w:val="ListParagraph"/>
        <w:ind w:left="0" w:hanging="0"/>
        <w:jc w:val="both"/>
        <w:rPr>
          <w:i/>
          <w:i/>
          <w:szCs w:val="24"/>
        </w:rPr>
      </w:pPr>
      <w:r>
        <w:rPr>
          <w:i/>
          <w:szCs w:val="24"/>
        </w:rPr>
      </w:r>
    </w:p>
    <w:p>
      <w:pPr>
        <w:pStyle w:val="ListParagraph"/>
        <w:ind w:left="0" w:hanging="0"/>
        <w:jc w:val="both"/>
        <w:rPr>
          <w:i/>
          <w:i/>
          <w:szCs w:val="24"/>
        </w:rPr>
      </w:pPr>
      <w:r>
        <w:rPr>
          <w:i/>
          <w:szCs w:val="24"/>
        </w:rPr>
      </w:r>
    </w:p>
    <w:p>
      <w:pPr>
        <w:pStyle w:val="ListParagraph"/>
        <w:ind w:left="0" w:hanging="0"/>
        <w:jc w:val="center"/>
        <w:rPr>
          <w:rFonts w:eastAsia="Calibri"/>
          <w:b/>
          <w:bCs/>
          <w:sz w:val="24"/>
          <w:szCs w:val="24"/>
          <w:lang w:val="x-none" w:eastAsia="x-none"/>
        </w:rPr>
      </w:pPr>
      <w:r>
        <w:rPr>
          <w:rFonts w:eastAsia="Calibri"/>
          <w:b/>
          <w:bCs/>
          <w:sz w:val="24"/>
          <w:szCs w:val="24"/>
          <w:lang w:val="x-none" w:eastAsia="x-none"/>
        </w:rPr>
        <w:t xml:space="preserve">2.2. Требования к качеству продукции </w:t>
      </w:r>
    </w:p>
    <w:p>
      <w:pPr>
        <w:pStyle w:val="Heading4"/>
        <w:numPr>
          <w:ilvl w:val="0"/>
        </w:numPr>
        <w:tabs>
          <w:tab w:val="clear" w:pos="0"/>
        </w:tabs>
        <w:ind w:left="0" w:hanging="0"/>
        <w:rPr/>
      </w:pPr>
      <w:bookmarkStart w:id="20" w:name="_Toc75446582"/>
      <w:bookmarkStart w:id="21" w:name="_Toc205981920"/>
      <w:bookmarkStart w:id="22" w:name="_Toc51339698"/>
      <w:r>
        <w:rPr/>
        <w:t>Таблица </w:t>
      </w:r>
      <w:r>
        <w:rPr>
          <w:lang w:val="ru-RU"/>
        </w:rPr>
        <w:t>3</w:t>
      </w:r>
      <w:r>
        <w:rPr/>
        <w:t xml:space="preserve">. Требования к </w:t>
      </w:r>
      <w:r>
        <w:rPr>
          <w:lang w:val="ru-RU"/>
        </w:rPr>
        <w:t>продукции</w:t>
      </w:r>
      <w:bookmarkEnd w:id="20"/>
      <w:bookmarkEnd w:id="21"/>
      <w:bookmarkEnd w:id="22"/>
    </w:p>
    <w:tbl>
      <w:tblPr>
        <w:tblW w:w="15871"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04"/>
        <w:gridCol w:w="997"/>
        <w:gridCol w:w="1555"/>
        <w:gridCol w:w="29"/>
        <w:gridCol w:w="2522"/>
        <w:gridCol w:w="4394"/>
        <w:gridCol w:w="1845"/>
        <w:gridCol w:w="1699"/>
        <w:gridCol w:w="2094"/>
        <w:gridCol w:w="8"/>
        <w:gridCol w:w="14"/>
        <w:gridCol w:w="8"/>
      </w:tblGrid>
      <w:tr>
        <w:trPr>
          <w:trHeight w:val="20" w:hRule="atLeast"/>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color w:val="000000"/>
                <w:sz w:val="24"/>
                <w:szCs w:val="24"/>
              </w:rPr>
            </w:pPr>
            <w:r>
              <w:rPr>
                <w:b/>
                <w:bCs/>
                <w:color w:val="000000"/>
                <w:sz w:val="24"/>
                <w:szCs w:val="24"/>
              </w:rPr>
            </w:r>
          </w:p>
        </w:tc>
        <w:tc>
          <w:tcPr>
            <w:tcW w:w="14160" w:type="dxa"/>
            <w:gridSpan w:val="9"/>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Calibri"/>
                <w:sz w:val="24"/>
                <w:szCs w:val="24"/>
                <w:lang w:eastAsia="x-none"/>
              </w:rPr>
            </w:pPr>
            <w:r>
              <w:rPr>
                <w:b/>
                <w:bCs/>
                <w:color w:val="000000"/>
                <w:sz w:val="24"/>
                <w:szCs w:val="24"/>
              </w:rPr>
              <w:t>Наименование продукции (позиции № 1.1-1.13 (Таблицы 1.1): согласно Таблицы 1.1 «Перечень и объем закупаемой продукции</w:t>
            </w:r>
          </w:p>
        </w:tc>
        <w:tc>
          <w:tcPr>
            <w:tcW w:w="8" w:type="dxa"/>
            <w:tcBorders/>
          </w:tcPr>
          <w:p>
            <w:pPr>
              <w:pStyle w:val="Normal"/>
              <w:widowControl w:val="false"/>
              <w:rPr/>
            </w:pPr>
            <w:r>
              <w:rPr/>
            </w:r>
          </w:p>
        </w:tc>
      </w:tr>
      <w:tr>
        <w:trPr>
          <w:trHeight w:val="20" w:hRule="atLeast"/>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 xml:space="preserve">№ </w:t>
            </w:r>
            <w:r>
              <w:rPr>
                <w:b/>
                <w:color w:val="000000"/>
                <w:sz w:val="24"/>
                <w:szCs w:val="24"/>
              </w:rPr>
              <w:t>п/п</w:t>
            </w:r>
          </w:p>
        </w:tc>
        <w:tc>
          <w:tcPr>
            <w:tcW w:w="2581" w:type="dxa"/>
            <w:gridSpan w:val="3"/>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Наименование продукции</w:t>
            </w:r>
          </w:p>
        </w:tc>
        <w:tc>
          <w:tcPr>
            <w:tcW w:w="252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bCs/>
                <w:color w:val="000000"/>
                <w:sz w:val="24"/>
                <w:szCs w:val="24"/>
              </w:rPr>
              <w:t>Наименование параметра</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bCs/>
                <w:color w:val="000000"/>
                <w:sz w:val="24"/>
                <w:szCs w:val="24"/>
              </w:rPr>
              <w:t>Требование заказчика</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4"/>
                <w:szCs w:val="24"/>
              </w:rPr>
            </w:pPr>
            <w:r>
              <w:rPr>
                <w:rFonts w:eastAsia="DotumChe"/>
                <w:b/>
                <w:color w:val="000000"/>
                <w:sz w:val="24"/>
                <w:szCs w:val="24"/>
              </w:rPr>
              <w:t>Соответствие стандартам</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b/>
                <w:bCs/>
                <w:color w:val="000000"/>
                <w:sz w:val="24"/>
                <w:szCs w:val="24"/>
              </w:rPr>
              <w:t>Способ подтверждения участником соответствия требованиям</w:t>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0" w:hRule="atLeast"/>
        </w:trPr>
        <w:tc>
          <w:tcPr>
            <w:tcW w:w="70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2581"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25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43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1845" w:type="dxa"/>
            <w:vMerge w:val="continue"/>
            <w:tcBorders>
              <w:left w:val="single" w:sz="4" w:space="0" w:color="000000"/>
              <w:bottom w:val="single" w:sz="4" w:space="0" w:color="000000"/>
              <w:right w:val="single" w:sz="4" w:space="0" w:color="000000"/>
            </w:tcBorders>
          </w:tcPr>
          <w:p>
            <w:pPr>
              <w:pStyle w:val="Normal"/>
              <w:widowControl w:val="false"/>
              <w:jc w:val="center"/>
              <w:rPr>
                <w:b/>
                <w:bCs/>
                <w:color w:val="000000"/>
                <w:sz w:val="24"/>
                <w:szCs w:val="24"/>
              </w:rPr>
            </w:pPr>
            <w:r>
              <w:rPr>
                <w:b/>
                <w:bCs/>
                <w:color w:val="000000"/>
                <w:sz w:val="24"/>
                <w:szCs w:val="24"/>
              </w:rPr>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bCs/>
                <w:color w:val="000000"/>
                <w:sz w:val="24"/>
                <w:szCs w:val="24"/>
              </w:rPr>
              <w:t>Согласие с требованием/ указание характеристик</w:t>
            </w:r>
          </w:p>
        </w:tc>
        <w:tc>
          <w:tcPr>
            <w:tcW w:w="20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bCs/>
                <w:color w:val="000000"/>
                <w:sz w:val="24"/>
                <w:szCs w:val="24"/>
              </w:rPr>
              <w:t>Предоставление подтверждающего документа или иной способ подтверждения</w:t>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0"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1</w:t>
            </w:r>
          </w:p>
        </w:tc>
        <w:tc>
          <w:tcPr>
            <w:tcW w:w="2581"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2</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3</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rFonts w:eastAsia="DotumChe"/>
                <w:b/>
                <w:color w:val="000000"/>
                <w:sz w:val="24"/>
                <w:szCs w:val="24"/>
              </w:rPr>
              <w:t>4</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DotumChe"/>
                <w:b/>
                <w:color w:val="000000"/>
                <w:sz w:val="24"/>
                <w:szCs w:val="24"/>
                <w:lang w:val="en-US"/>
              </w:rPr>
            </w:pPr>
            <w:r>
              <w:rPr>
                <w:rFonts w:eastAsia="DotumChe"/>
                <w:b/>
                <w:color w:val="000000"/>
                <w:sz w:val="24"/>
                <w:szCs w:val="24"/>
                <w:lang w:val="en-US"/>
              </w:rPr>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rFonts w:eastAsia="DotumChe"/>
                <w:b/>
                <w:color w:val="000000"/>
                <w:sz w:val="24"/>
                <w:szCs w:val="24"/>
                <w:lang w:val="en-US"/>
              </w:rPr>
              <w:t>5</w:t>
            </w:r>
          </w:p>
        </w:tc>
        <w:tc>
          <w:tcPr>
            <w:tcW w:w="20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rFonts w:eastAsia="DotumChe"/>
                <w:b/>
                <w:color w:val="000000"/>
                <w:sz w:val="24"/>
                <w:szCs w:val="24"/>
                <w:lang w:val="en-US"/>
              </w:rPr>
              <w:t>6</w:t>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0"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color w:val="000000"/>
                <w:sz w:val="24"/>
                <w:szCs w:val="24"/>
              </w:rPr>
            </w:pPr>
            <w:r>
              <w:rPr>
                <w:b/>
                <w:color w:val="000000"/>
                <w:sz w:val="24"/>
                <w:szCs w:val="24"/>
              </w:rPr>
              <w:t>1.</w:t>
            </w:r>
          </w:p>
        </w:tc>
        <w:tc>
          <w:tcPr>
            <w:tcW w:w="15157"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rPr>
                <w:rFonts w:eastAsia="DotumChe"/>
                <w:b/>
                <w:color w:val="000000"/>
                <w:sz w:val="24"/>
                <w:szCs w:val="24"/>
              </w:rPr>
            </w:pPr>
            <w:r>
              <w:rPr>
                <w:b/>
                <w:color w:val="000000"/>
                <w:sz w:val="24"/>
                <w:szCs w:val="24"/>
              </w:rPr>
              <w:t>Требования к техническим и функциональным характеристикам (включая гарантируемые показатели)</w:t>
            </w:r>
          </w:p>
        </w:tc>
        <w:tc>
          <w:tcPr>
            <w:tcW w:w="8" w:type="dxa"/>
            <w:tcBorders/>
          </w:tcPr>
          <w:p>
            <w:pPr>
              <w:pStyle w:val="Normal"/>
              <w:widowControl w:val="false"/>
              <w:rPr/>
            </w:pPr>
            <w:r>
              <w:rPr/>
            </w:r>
          </w:p>
        </w:tc>
      </w:tr>
      <w:tr>
        <w:trPr>
          <w:trHeight w:val="213" w:hRule="atLeast"/>
        </w:trPr>
        <w:tc>
          <w:tcPr>
            <w:tcW w:w="70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ФР-2А 8А</w:t>
            </w:r>
          </w:p>
        </w:tc>
        <w:tc>
          <w:tcPr>
            <w:tcW w:w="1845" w:type="dxa"/>
            <w:vMerge w:val="restart"/>
            <w:tcBorders>
              <w:top w:val="single" w:sz="4" w:space="0" w:color="000000"/>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охранного освещения», шифр:</w:t>
            </w:r>
          </w:p>
          <w:p>
            <w:pPr>
              <w:pStyle w:val="Normal"/>
              <w:widowControl w:val="false"/>
              <w:jc w:val="center"/>
              <w:rPr>
                <w:rFonts w:eastAsia="DotumChe"/>
                <w:sz w:val="24"/>
                <w:szCs w:val="24"/>
              </w:rPr>
            </w:pPr>
            <w:r>
              <w:rPr>
                <w:color w:val="000000"/>
                <w:sz w:val="24"/>
                <w:szCs w:val="24"/>
              </w:rPr>
              <w:t>«Р005-НС/0923-СОО»</w:t>
            </w:r>
          </w:p>
        </w:tc>
        <w:tc>
          <w:tcPr>
            <w:tcW w:w="1699" w:type="dxa"/>
            <w:vMerge w:val="restart"/>
            <w:tcBorders>
              <w:left w:val="single" w:sz="4" w:space="0" w:color="000000"/>
              <w:right w:val="single" w:sz="4" w:space="0" w:color="000000"/>
            </w:tcBorders>
            <w:vAlign w:val="center"/>
          </w:tcPr>
          <w:p>
            <w:pPr>
              <w:pStyle w:val="Normal"/>
              <w:widowControl w:val="false"/>
              <w:jc w:val="center"/>
              <w:rPr>
                <w:rFonts w:eastAsia="DotumChe"/>
                <w:sz w:val="24"/>
                <w:szCs w:val="24"/>
              </w:rPr>
            </w:pPr>
            <w:r>
              <w:rPr>
                <w:sz w:val="24"/>
                <w:szCs w:val="24"/>
              </w:rPr>
              <w:t>Участник должен представить в заявке согласие поставить продукцию, полностью соответствующую настоящим техническим требованиям, по форме Технического предложения, установленной в Документации о закупке</w:t>
            </w:r>
          </w:p>
        </w:tc>
        <w:tc>
          <w:tcPr>
            <w:tcW w:w="2094" w:type="dxa"/>
            <w:vMerge w:val="restart"/>
            <w:tcBorders>
              <w:left w:val="single" w:sz="4" w:space="0" w:color="000000"/>
              <w:right w:val="single" w:sz="4" w:space="0" w:color="000000"/>
            </w:tcBorders>
            <w:vAlign w:val="center"/>
          </w:tcPr>
          <w:p>
            <w:pPr>
              <w:pStyle w:val="Normal"/>
              <w:widowControl w:val="false"/>
              <w:overflowPunct w:val="true"/>
              <w:jc w:val="center"/>
              <w:rPr>
                <w:sz w:val="24"/>
                <w:szCs w:val="24"/>
              </w:rPr>
            </w:pPr>
            <w:r>
              <w:rPr>
                <w:sz w:val="24"/>
                <w:szCs w:val="24"/>
              </w:rPr>
              <w:t>-//-</w:t>
            </w:r>
          </w:p>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ООО "Злектропроект"</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1.1</w:t>
            </w:r>
          </w:p>
        </w:tc>
        <w:tc>
          <w:tcPr>
            <w:tcW w:w="2581" w:type="dxa"/>
            <w:gridSpan w:val="3"/>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Фотореле с активным выносным фотодатчиком</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Номинальное напряжение, 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220</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Номинальная частота, Гц</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50</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Максимальный ток нагрузки, 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8</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Диапазон освещенности срабатывания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spacing w:lineRule="atLeast" w:line="300"/>
              <w:rPr>
                <w:color w:val="000000"/>
                <w:sz w:val="24"/>
                <w:szCs w:val="24"/>
              </w:rPr>
            </w:pPr>
            <w:r>
              <w:rPr>
                <w:color w:val="000000"/>
                <w:sz w:val="24"/>
                <w:szCs w:val="24"/>
              </w:rPr>
              <w:t>от 1 до 4 Люкс</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Габаритные размеры, мм,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rPr>
            </w:pPr>
            <w:r>
              <w:rPr>
                <w:color w:val="000000"/>
                <w:sz w:val="24"/>
                <w:szCs w:val="24"/>
              </w:rPr>
              <w:t>90×78×41</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Длина кабеля, м</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rPr>
            </w:pPr>
            <w:r>
              <w:rPr>
                <w:color w:val="000000"/>
                <w:sz w:val="24"/>
                <w:szCs w:val="24"/>
              </w:rPr>
              <w:t>15</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Температура окружающей среды, °С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rPr>
            </w:pPr>
            <w:r>
              <w:rPr>
                <w:color w:val="000000"/>
                <w:sz w:val="24"/>
                <w:szCs w:val="24"/>
              </w:rPr>
              <w:t>–</w:t>
            </w:r>
            <w:r>
              <w:rPr>
                <w:color w:val="000000"/>
                <w:sz w:val="24"/>
                <w:szCs w:val="24"/>
              </w:rPr>
              <w:t>45 … +40</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Степень защиты </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rPr>
            </w:pPr>
            <w:r>
              <w:rPr>
                <w:color w:val="000000"/>
                <w:sz w:val="24"/>
                <w:szCs w:val="24"/>
              </w:rPr>
              <w:t>IP68</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Комплектация </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rPr>
            </w:pPr>
            <w:r>
              <w:rPr>
                <w:color w:val="000000"/>
                <w:sz w:val="24"/>
                <w:szCs w:val="24"/>
              </w:rPr>
              <w:t>Комплектно с фотодатчиком</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1.2</w:t>
            </w:r>
          </w:p>
        </w:tc>
        <w:tc>
          <w:tcPr>
            <w:tcW w:w="2581" w:type="dxa"/>
            <w:gridSpan w:val="3"/>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 xml:space="preserve">Фотореле с активным выносным фотодатчиком </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ФР-9М</w:t>
            </w:r>
          </w:p>
        </w:tc>
        <w:tc>
          <w:tcPr>
            <w:tcW w:w="1845" w:type="dxa"/>
            <w:vMerge w:val="restart"/>
            <w:tcBorders>
              <w:top w:val="single" w:sz="4" w:space="0" w:color="000000"/>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охранного освещения», шифр:</w:t>
            </w:r>
          </w:p>
          <w:p>
            <w:pPr>
              <w:pStyle w:val="Normal"/>
              <w:widowControl w:val="false"/>
              <w:jc w:val="center"/>
              <w:rPr>
                <w:rFonts w:eastAsia="DotumChe"/>
                <w:sz w:val="24"/>
                <w:szCs w:val="24"/>
              </w:rPr>
            </w:pPr>
            <w:r>
              <w:rPr>
                <w:color w:val="000000"/>
                <w:sz w:val="24"/>
                <w:szCs w:val="24"/>
              </w:rPr>
              <w:t>«Р005-НС/0923-СОО»</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ООО "Злектропроект"</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Номинальное напряжение, 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220</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Номинальная частота, Гц</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50</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Максимальный ток нагрузки, 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16</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Диапазон освещенности срабатывания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spacing w:lineRule="atLeast" w:line="300"/>
              <w:rPr>
                <w:color w:val="000000"/>
                <w:sz w:val="24"/>
                <w:szCs w:val="24"/>
              </w:rPr>
            </w:pPr>
            <w:r>
              <w:rPr>
                <w:color w:val="000000"/>
                <w:sz w:val="24"/>
                <w:szCs w:val="24"/>
              </w:rPr>
              <w:t>от 0.5 до 450 Люкс</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Габаритные размеры, мм,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rPr>
            </w:pPr>
            <w:r>
              <w:rPr>
                <w:color w:val="000000"/>
                <w:sz w:val="24"/>
                <w:szCs w:val="24"/>
              </w:rPr>
              <w:t>66×17,</w:t>
            </w:r>
            <w:r>
              <w:rPr>
                <w:color w:val="000000"/>
                <w:sz w:val="24"/>
                <w:szCs w:val="24"/>
                <w:lang w:val="en-US"/>
              </w:rPr>
              <w:t>5</w:t>
            </w:r>
            <w:r>
              <w:rPr>
                <w:color w:val="000000"/>
                <w:sz w:val="24"/>
                <w:szCs w:val="24"/>
              </w:rPr>
              <w:t>×90</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Длина кабеля, м</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rPr>
            </w:pPr>
            <w:r>
              <w:rPr>
                <w:color w:val="000000"/>
                <w:sz w:val="24"/>
                <w:szCs w:val="24"/>
              </w:rPr>
              <w:t>15</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Температура окружающей среды, °С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rPr>
            </w:pPr>
            <w:r>
              <w:rPr>
                <w:color w:val="000000"/>
                <w:sz w:val="24"/>
                <w:szCs w:val="24"/>
              </w:rPr>
              <w:t>–</w:t>
            </w:r>
            <w:r>
              <w:rPr>
                <w:color w:val="000000"/>
                <w:sz w:val="24"/>
                <w:szCs w:val="24"/>
              </w:rPr>
              <w:t>40 … +60</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Степень защиты </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rPr>
            </w:pPr>
            <w:r>
              <w:rPr>
                <w:color w:val="000000"/>
                <w:sz w:val="24"/>
                <w:szCs w:val="24"/>
              </w:rPr>
              <w:t>IP68</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Комплектация </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rPr>
            </w:pPr>
            <w:r>
              <w:rPr>
                <w:color w:val="000000"/>
                <w:sz w:val="24"/>
                <w:szCs w:val="24"/>
              </w:rPr>
              <w:t>Комплектно с фотодатчиком</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325" w:hRule="atLeast"/>
        </w:trPr>
        <w:tc>
          <w:tcPr>
            <w:tcW w:w="704"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1.3</w:t>
            </w:r>
          </w:p>
        </w:tc>
        <w:tc>
          <w:tcPr>
            <w:tcW w:w="2581" w:type="dxa"/>
            <w:gridSpan w:val="3"/>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 xml:space="preserve">Термошкаф </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ТШ-2-В1</w:t>
            </w:r>
          </w:p>
        </w:tc>
        <w:tc>
          <w:tcPr>
            <w:tcW w:w="1845" w:type="dxa"/>
            <w:vMerge w:val="restart"/>
            <w:tcBorders>
              <w:top w:val="single" w:sz="4" w:space="0" w:color="000000"/>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охранной сигнализации помещений», шифр:</w:t>
            </w:r>
          </w:p>
          <w:p>
            <w:pPr>
              <w:pStyle w:val="Normal"/>
              <w:widowControl w:val="false"/>
              <w:jc w:val="center"/>
              <w:rPr>
                <w:color w:val="000000"/>
                <w:sz w:val="24"/>
                <w:szCs w:val="24"/>
              </w:rPr>
            </w:pPr>
            <w:r>
              <w:rPr>
                <w:color w:val="000000"/>
                <w:sz w:val="24"/>
                <w:szCs w:val="24"/>
              </w:rPr>
              <w:t>«Р005-НС/0923-</w:t>
            </w:r>
            <w:r>
              <w:rPr>
                <w:color w:val="000000"/>
                <w:sz w:val="24"/>
                <w:szCs w:val="24"/>
                <w:lang w:val="en-US"/>
              </w:rPr>
              <w:t>СОС</w:t>
            </w:r>
            <w:r>
              <w:rPr>
                <w:color w:val="000000"/>
                <w:sz w:val="24"/>
                <w:szCs w:val="24"/>
              </w:rPr>
              <w:t>»</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17"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ООО "Тахион"</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0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Код</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52002</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15"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Размер шкафа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600х760х350мм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Диапазон рабочих температур</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-50° ÷ +50°C</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Температура срабатывания аварийной сигнализации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+70 °С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Температура срабатывания тепловой защиты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+30 °С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Диапазон регулирования температуры холодного запуска аппаратуры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-30 °С ÷ +5 °С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Питание термошкафа: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напряжение питания 220 В AC, 50 Гц</w:t>
            </w:r>
          </w:p>
          <w:p>
            <w:pPr>
              <w:pStyle w:val="Normal"/>
              <w:widowControl w:val="false"/>
              <w:tabs>
                <w:tab w:val="clear" w:pos="708"/>
                <w:tab w:val="left" w:pos="426" w:leader="none"/>
              </w:tabs>
              <w:rPr>
                <w:color w:val="000000"/>
                <w:sz w:val="24"/>
                <w:szCs w:val="24"/>
                <w:lang w:val="en-US"/>
              </w:rPr>
            </w:pPr>
            <w:r>
              <w:rPr>
                <w:color w:val="000000"/>
                <w:sz w:val="24"/>
                <w:szCs w:val="24"/>
                <w:lang w:val="en-US"/>
              </w:rPr>
              <w:t>максимальный ток нагрузки 6 А</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Обогрев: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напряжение питания 220 В AC, 50 Гц</w:t>
            </w:r>
          </w:p>
          <w:p>
            <w:pPr>
              <w:pStyle w:val="Normal"/>
              <w:widowControl w:val="false"/>
              <w:tabs>
                <w:tab w:val="clear" w:pos="708"/>
                <w:tab w:val="left" w:pos="426" w:leader="none"/>
              </w:tabs>
              <w:rPr>
                <w:color w:val="000000"/>
                <w:sz w:val="24"/>
                <w:szCs w:val="24"/>
                <w:lang w:val="en-US"/>
              </w:rPr>
            </w:pPr>
            <w:r>
              <w:rPr>
                <w:color w:val="000000"/>
                <w:sz w:val="24"/>
                <w:szCs w:val="24"/>
                <w:lang w:val="en-US"/>
              </w:rPr>
              <w:t>потребляемая мощность 218 Вт</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Гермоввод </w:t>
            </w:r>
            <w:r>
              <w:rPr>
                <w:color w:val="000000"/>
                <w:sz w:val="24"/>
                <w:szCs w:val="24"/>
                <w:lang w:val="en-US"/>
              </w:rPr>
              <w:t>PBA</w:t>
            </w:r>
            <w:r>
              <w:rPr>
                <w:color w:val="000000"/>
                <w:sz w:val="24"/>
                <w:szCs w:val="24"/>
              </w:rPr>
              <w:t>29-25 — Ø кабеля 18-25 мм</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3 шт.</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1.4</w:t>
            </w:r>
          </w:p>
        </w:tc>
        <w:tc>
          <w:tcPr>
            <w:tcW w:w="2581" w:type="dxa"/>
            <w:gridSpan w:val="3"/>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t>Блок питания</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DR-60W-12 PROxima</w:t>
            </w:r>
          </w:p>
        </w:tc>
        <w:tc>
          <w:tcPr>
            <w:tcW w:w="1845" w:type="dxa"/>
            <w:vMerge w:val="restart"/>
            <w:tcBorders>
              <w:top w:val="single" w:sz="4" w:space="0" w:color="000000"/>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Разделы РД:</w:t>
            </w:r>
          </w:p>
          <w:p>
            <w:pPr>
              <w:pStyle w:val="Normal"/>
              <w:widowControl w:val="false"/>
              <w:overflowPunct w:val="true"/>
              <w:jc w:val="center"/>
              <w:rPr>
                <w:color w:val="000000"/>
                <w:sz w:val="24"/>
                <w:szCs w:val="24"/>
              </w:rPr>
            </w:pPr>
            <w:r>
              <w:rPr>
                <w:color w:val="000000"/>
                <w:sz w:val="24"/>
                <w:szCs w:val="24"/>
              </w:rPr>
              <w:t>«Система контроля и управления доступом», шифр:</w:t>
            </w:r>
          </w:p>
          <w:p>
            <w:pPr>
              <w:pStyle w:val="Normal"/>
              <w:widowControl w:val="false"/>
              <w:overflowPunct w:val="true"/>
              <w:jc w:val="center"/>
              <w:rPr>
                <w:color w:val="000000"/>
                <w:sz w:val="24"/>
                <w:szCs w:val="24"/>
              </w:rPr>
            </w:pPr>
            <w:r>
              <w:rPr>
                <w:color w:val="000000"/>
                <w:sz w:val="24"/>
                <w:szCs w:val="24"/>
              </w:rPr>
              <w:t xml:space="preserve">«Р005-НС/0923-СКУД» </w:t>
            </w:r>
          </w:p>
          <w:p>
            <w:pPr>
              <w:pStyle w:val="Normal"/>
              <w:widowControl w:val="false"/>
              <w:overflowPunct w:val="true"/>
              <w:jc w:val="center"/>
              <w:rPr>
                <w:color w:val="000000"/>
                <w:sz w:val="24"/>
                <w:szCs w:val="24"/>
              </w:rPr>
            </w:pPr>
            <w:r>
              <w:rPr>
                <w:color w:val="000000"/>
                <w:sz w:val="24"/>
                <w:szCs w:val="24"/>
              </w:rPr>
              <w:t xml:space="preserve">и </w:t>
            </w:r>
          </w:p>
          <w:p>
            <w:pPr>
              <w:pStyle w:val="Normal"/>
              <w:widowControl w:val="false"/>
              <w:overflowPunct w:val="true"/>
              <w:jc w:val="center"/>
              <w:rPr>
                <w:color w:val="000000"/>
                <w:sz w:val="24"/>
                <w:szCs w:val="24"/>
              </w:rPr>
            </w:pPr>
            <w:r>
              <w:rPr>
                <w:color w:val="000000"/>
                <w:sz w:val="24"/>
                <w:szCs w:val="24"/>
              </w:rPr>
              <w:t>«Система охранной сигнализации помещений», шифр:</w:t>
            </w:r>
          </w:p>
          <w:p>
            <w:pPr>
              <w:pStyle w:val="Normal"/>
              <w:widowControl w:val="false"/>
              <w:suppressAutoHyphens w:val="false"/>
              <w:overflowPunct w:val="true"/>
              <w:jc w:val="center"/>
              <w:rPr>
                <w:color w:val="000000"/>
                <w:sz w:val="24"/>
                <w:szCs w:val="24"/>
              </w:rPr>
            </w:pPr>
            <w:r>
              <w:rPr>
                <w:color w:val="000000"/>
                <w:sz w:val="24"/>
                <w:szCs w:val="24"/>
              </w:rPr>
              <w:t>«Р005-НС/0923-СОС»</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EKF</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Ширина, мм</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78</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Высота, мм</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93</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Глубина, мм</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56</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Высота установочная (встраив.), мм</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78</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Ширина установочная (встраив.), мм</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94</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Потребл. мощность, ВА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69</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Тип питающего напряжения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AC (перемен.)</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Выход. мощность, Вт</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60</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Степень защиты (IP)</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IP20</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Защита от короткого замыкания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Да</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Рабочая температура, °C</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-10...+60</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501" w:hRule="atLeast"/>
        </w:trPr>
        <w:tc>
          <w:tcPr>
            <w:tcW w:w="704"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1.5</w:t>
            </w:r>
          </w:p>
        </w:tc>
        <w:tc>
          <w:tcPr>
            <w:tcW w:w="2581" w:type="dxa"/>
            <w:gridSpan w:val="3"/>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t>Источник бесперебойного питания</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SKAT-12-6.0DIN</w:t>
            </w:r>
          </w:p>
        </w:tc>
        <w:tc>
          <w:tcPr>
            <w:tcW w:w="1845" w:type="dxa"/>
            <w:vMerge w:val="restart"/>
            <w:tcBorders>
              <w:top w:val="single" w:sz="4" w:space="0" w:color="000000"/>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охранного освещения», шифр:</w:t>
            </w:r>
          </w:p>
          <w:p>
            <w:pPr>
              <w:pStyle w:val="Normal"/>
              <w:widowControl w:val="false"/>
              <w:suppressAutoHyphens w:val="false"/>
              <w:overflowPunct w:val="true"/>
              <w:jc w:val="center"/>
              <w:rPr>
                <w:color w:val="000000"/>
                <w:sz w:val="24"/>
                <w:szCs w:val="24"/>
              </w:rPr>
            </w:pPr>
            <w:r>
              <w:rPr>
                <w:color w:val="000000"/>
                <w:sz w:val="24"/>
                <w:szCs w:val="24"/>
              </w:rPr>
              <w:t>«Р005-НС/0923-СОО»</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08"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Бастион</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08"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Выходное напряжение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Uвых=12В</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18"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GA</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lang w:val="en-US"/>
              </w:rPr>
            </w:pPr>
            <w:r>
              <w:rPr>
                <w:color w:val="000000"/>
                <w:sz w:val="24"/>
                <w:szCs w:val="24"/>
                <w:lang w:val="en-US"/>
              </w:rPr>
              <w:t>Да</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Напряжение питающей сети, частотой 50 ± 1 Гц, 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от 160 до 250</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Номинальный ток нагрузки, 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от 1 до 5</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Максимальный ток нагрузки, кратковременно, 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6</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Величина напряжения на АКБ, при котором происходит автоматическое отключение нагрузки для предотвращения глубокого разряда АКБ в режиме «РЕЗЕРВ», 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10,5…11,0</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Величина напряжения пульсаций с удвоенной частотой сети (от пика до пика) при номинальном токе нагрузки и заряда, мВ,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150</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Мощность, потребляемая изделием от сети без нагрузки и АКБ, ВА,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5</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bCs/>
                <w:color w:val="000000"/>
                <w:sz w:val="24"/>
                <w:szCs w:val="24"/>
                <w:lang w:val="en-US"/>
              </w:rPr>
              <w:t>Степень защиты:</w:t>
            </w:r>
            <w:r>
              <w:rPr>
                <w:color w:val="000000"/>
                <w:sz w:val="24"/>
                <w:szCs w:val="24"/>
                <w:lang w:val="en-US"/>
              </w:rPr>
              <w:t> </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IP20</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bCs/>
                <w:color w:val="000000"/>
                <w:sz w:val="24"/>
                <w:szCs w:val="24"/>
                <w:lang w:val="en-US"/>
              </w:rPr>
              <w:t>Габаритные размеры (Ш×В×Г):</w:t>
            </w:r>
            <w:r>
              <w:rPr>
                <w:color w:val="000000"/>
                <w:sz w:val="24"/>
                <w:szCs w:val="24"/>
                <w:lang w:val="en-US"/>
              </w:rPr>
              <w:t> </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139×88,5×63,5 мм.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132" w:hRule="atLeast"/>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1.6</w:t>
            </w:r>
          </w:p>
        </w:tc>
        <w:tc>
          <w:tcPr>
            <w:tcW w:w="2581" w:type="dxa"/>
            <w:gridSpan w:val="3"/>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t>Устройство защиты линии интерфейса RS-485</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lang w:val="en-US"/>
              </w:rPr>
            </w:pPr>
            <w:r>
              <w:rPr>
                <w:color w:val="000000"/>
                <w:sz w:val="24"/>
                <w:szCs w:val="24"/>
              </w:rPr>
              <w:t>УЗЛ-И</w:t>
            </w:r>
            <w:r>
              <w:rPr>
                <w:color w:val="000000"/>
                <w:sz w:val="24"/>
                <w:szCs w:val="24"/>
                <w:lang w:val="en-US"/>
              </w:rPr>
              <w:t xml:space="preserve"> </w:t>
            </w:r>
          </w:p>
        </w:tc>
        <w:tc>
          <w:tcPr>
            <w:tcW w:w="1845" w:type="dxa"/>
            <w:vMerge w:val="restart"/>
            <w:tcBorders>
              <w:top w:val="single" w:sz="4" w:space="0" w:color="000000"/>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t>Разделы РД:</w:t>
            </w:r>
          </w:p>
          <w:p>
            <w:pPr>
              <w:pStyle w:val="Normal"/>
              <w:widowControl w:val="false"/>
              <w:overflowPunct w:val="true"/>
              <w:jc w:val="center"/>
              <w:rPr>
                <w:color w:val="000000"/>
                <w:sz w:val="24"/>
                <w:szCs w:val="24"/>
              </w:rPr>
            </w:pPr>
            <w:r>
              <w:rPr>
                <w:color w:val="000000"/>
                <w:sz w:val="24"/>
                <w:szCs w:val="24"/>
              </w:rPr>
              <w:t>«Система охранной сигнализации помещений», шифр:</w:t>
            </w:r>
          </w:p>
          <w:p>
            <w:pPr>
              <w:pStyle w:val="Normal"/>
              <w:widowControl w:val="false"/>
              <w:suppressAutoHyphens w:val="false"/>
              <w:overflowPunct w:val="true"/>
              <w:jc w:val="center"/>
              <w:rPr>
                <w:color w:val="000000"/>
                <w:sz w:val="24"/>
                <w:szCs w:val="24"/>
              </w:rPr>
            </w:pPr>
            <w:r>
              <w:rPr>
                <w:color w:val="000000"/>
                <w:sz w:val="24"/>
                <w:szCs w:val="24"/>
              </w:rPr>
              <w:t>«Р005-НС/0923-СОС» и</w:t>
            </w:r>
          </w:p>
          <w:p>
            <w:pPr>
              <w:pStyle w:val="Normal"/>
              <w:widowControl w:val="false"/>
              <w:overflowPunct w:val="true"/>
              <w:jc w:val="center"/>
              <w:rPr>
                <w:color w:val="000000"/>
                <w:sz w:val="24"/>
                <w:szCs w:val="24"/>
              </w:rPr>
            </w:pPr>
            <w:r>
              <w:rPr>
                <w:color w:val="000000"/>
                <w:sz w:val="24"/>
                <w:szCs w:val="24"/>
              </w:rPr>
              <w:t>«Система контроля и управления доступом», шифр:</w:t>
            </w:r>
          </w:p>
          <w:p>
            <w:pPr>
              <w:pStyle w:val="Normal"/>
              <w:widowControl w:val="false"/>
              <w:suppressAutoHyphens w:val="false"/>
              <w:overflowPunct w:val="true"/>
              <w:jc w:val="center"/>
              <w:rPr>
                <w:color w:val="000000"/>
                <w:sz w:val="24"/>
                <w:szCs w:val="24"/>
              </w:rPr>
            </w:pPr>
            <w:r>
              <w:rPr>
                <w:color w:val="000000"/>
                <w:sz w:val="24"/>
                <w:szCs w:val="24"/>
              </w:rPr>
              <w:t>«Р005-НС/0923-</w:t>
            </w:r>
            <w:r>
              <w:rPr>
                <w:color w:val="000000"/>
                <w:sz w:val="24"/>
                <w:szCs w:val="24"/>
                <w:lang w:val="en-US"/>
              </w:rPr>
              <w:t>СКУД</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Тахион</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Номинальное рабочее напряжение UN</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 w:val="left" w:pos="2175" w:leader="none"/>
              </w:tabs>
              <w:rPr>
                <w:color w:val="000000"/>
                <w:sz w:val="24"/>
                <w:szCs w:val="24"/>
                <w:lang w:val="en-US"/>
              </w:rPr>
            </w:pPr>
            <w:r>
              <w:rPr>
                <w:color w:val="000000"/>
                <w:sz w:val="24"/>
                <w:szCs w:val="24"/>
                <w:lang w:val="en-US"/>
              </w:rPr>
              <w:t>5 В DC</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Макс. длительное рабочее напряжение UС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7 В DC</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Номинальный рабочий ток IN</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100 мА</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Время срабатывания tA, не более</w:t>
              <w:br/>
              <w:t>Линия-линия / линия-земля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10нс/100нс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Вносимое сопротивление на цепь,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4,7 Ом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Скорость передачи данных,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 Мбит / сек</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Диапазон рабочих температур</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 xml:space="preserve">– </w:t>
            </w:r>
            <w:r>
              <w:rPr>
                <w:color w:val="000000"/>
                <w:sz w:val="24"/>
                <w:szCs w:val="24"/>
                <w:lang w:val="en-US"/>
              </w:rPr>
              <w:t>55°С … +85°С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89 х 58 х 35 мм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Категория испытаний по МЭК 61643-21</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С2</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55" w:hRule="atLeast"/>
        </w:trPr>
        <w:tc>
          <w:tcPr>
            <w:tcW w:w="704"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1.7</w:t>
            </w:r>
          </w:p>
        </w:tc>
        <w:tc>
          <w:tcPr>
            <w:tcW w:w="2581" w:type="dxa"/>
            <w:gridSpan w:val="3"/>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t>Термошкаф</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ТШ-1В</w:t>
            </w:r>
          </w:p>
        </w:tc>
        <w:tc>
          <w:tcPr>
            <w:tcW w:w="1845" w:type="dxa"/>
            <w:vMerge w:val="restart"/>
            <w:tcBorders>
              <w:top w:val="single" w:sz="4" w:space="0" w:color="000000"/>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контроля и управления доступом», шифр:</w:t>
            </w:r>
          </w:p>
          <w:p>
            <w:pPr>
              <w:pStyle w:val="Normal"/>
              <w:widowControl w:val="false"/>
              <w:suppressAutoHyphens w:val="false"/>
              <w:overflowPunct w:val="true"/>
              <w:jc w:val="center"/>
              <w:rPr>
                <w:color w:val="000000"/>
                <w:sz w:val="24"/>
                <w:szCs w:val="24"/>
              </w:rPr>
            </w:pPr>
            <w:r>
              <w:rPr>
                <w:color w:val="000000"/>
                <w:sz w:val="24"/>
                <w:szCs w:val="24"/>
              </w:rPr>
              <w:t>«Р005-НС/0923-</w:t>
            </w:r>
            <w:r>
              <w:rPr>
                <w:color w:val="000000"/>
                <w:sz w:val="24"/>
                <w:szCs w:val="24"/>
                <w:lang w:val="en-US"/>
              </w:rPr>
              <w:t>СКУД</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1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Код</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52001</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12"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ООО "Тахион"</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17"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Размер шкафа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600х600х210мм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lang w:val="en-US"/>
              </w:rPr>
              <w:t>Диапазон рабочих температур</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-50° ÷ +50°C</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Температура срабатывания аварийной сигнализации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+70 °С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Температура срабатывания тепловой защиты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+30 °С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Диапазон регулирования температуры холодного запуска аппаратуры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-30 °С ÷ +5 °С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Питание термошкафа: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напряжение питания 220 В </w:t>
            </w:r>
            <w:r>
              <w:rPr>
                <w:color w:val="000000"/>
                <w:sz w:val="24"/>
                <w:szCs w:val="24"/>
                <w:lang w:val="en-US"/>
              </w:rPr>
              <w:t>AC</w:t>
            </w:r>
            <w:r>
              <w:rPr>
                <w:color w:val="000000"/>
                <w:sz w:val="24"/>
                <w:szCs w:val="24"/>
              </w:rPr>
              <w:t>, 50 Гц</w:t>
            </w:r>
          </w:p>
          <w:p>
            <w:pPr>
              <w:pStyle w:val="Normal"/>
              <w:widowControl w:val="false"/>
              <w:tabs>
                <w:tab w:val="clear" w:pos="708"/>
                <w:tab w:val="left" w:pos="426" w:leader="none"/>
              </w:tabs>
              <w:rPr>
                <w:color w:val="000000"/>
                <w:sz w:val="24"/>
                <w:szCs w:val="24"/>
              </w:rPr>
            </w:pPr>
            <w:r>
              <w:rPr>
                <w:color w:val="000000"/>
                <w:sz w:val="24"/>
                <w:szCs w:val="24"/>
              </w:rPr>
              <w:t>максимальный ток нагрузки 6 А</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Обогрев: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напряжение питания 220 В </w:t>
            </w:r>
            <w:r>
              <w:rPr>
                <w:color w:val="000000"/>
                <w:sz w:val="24"/>
                <w:szCs w:val="24"/>
                <w:lang w:val="en-US"/>
              </w:rPr>
              <w:t>AC</w:t>
            </w:r>
            <w:r>
              <w:rPr>
                <w:color w:val="000000"/>
                <w:sz w:val="24"/>
                <w:szCs w:val="24"/>
              </w:rPr>
              <w:t>, 50 Гц</w:t>
            </w:r>
          </w:p>
          <w:p>
            <w:pPr>
              <w:pStyle w:val="Normal"/>
              <w:widowControl w:val="false"/>
              <w:tabs>
                <w:tab w:val="clear" w:pos="708"/>
                <w:tab w:val="left" w:pos="426" w:leader="none"/>
              </w:tabs>
              <w:rPr>
                <w:color w:val="000000"/>
                <w:sz w:val="24"/>
                <w:szCs w:val="24"/>
              </w:rPr>
            </w:pPr>
            <w:r>
              <w:rPr>
                <w:color w:val="000000"/>
                <w:sz w:val="24"/>
                <w:szCs w:val="24"/>
              </w:rPr>
              <w:t>потребляемая мощность 178 Вт</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Гермоввод PBA29-25 — Ø кабеля 18-25 мм</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3 шт.</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1" w:hRule="atLeast"/>
        </w:trPr>
        <w:tc>
          <w:tcPr>
            <w:tcW w:w="704"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1.8</w:t>
            </w:r>
          </w:p>
        </w:tc>
        <w:tc>
          <w:tcPr>
            <w:tcW w:w="2581" w:type="dxa"/>
            <w:gridSpan w:val="3"/>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Комплект лебедки для складывания ОГКС</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АО "Амира"</w:t>
            </w:r>
          </w:p>
        </w:tc>
        <w:tc>
          <w:tcPr>
            <w:tcW w:w="1845" w:type="dxa"/>
            <w:vMerge w:val="restart"/>
            <w:tcBorders>
              <w:top w:val="single" w:sz="4" w:space="0" w:color="000000"/>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охранного освещения», шифр:</w:t>
            </w:r>
          </w:p>
          <w:p>
            <w:pPr>
              <w:pStyle w:val="Normal"/>
              <w:widowControl w:val="false"/>
              <w:jc w:val="center"/>
              <w:rPr>
                <w:rFonts w:eastAsia="DotumChe"/>
                <w:sz w:val="24"/>
                <w:szCs w:val="24"/>
              </w:rPr>
            </w:pPr>
            <w:r>
              <w:rPr>
                <w:color w:val="000000"/>
                <w:sz w:val="24"/>
                <w:szCs w:val="24"/>
              </w:rPr>
              <w:t>«Р005-НС/0923-СОО»</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К какой опоре граненой конической складывающейся должен подходить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 xml:space="preserve">ОГКС-7 </w:t>
            </w:r>
          </w:p>
          <w:p>
            <w:pPr>
              <w:pStyle w:val="Normal"/>
              <w:widowControl w:val="false"/>
              <w:tabs>
                <w:tab w:val="clear" w:pos="708"/>
                <w:tab w:val="left" w:pos="426" w:leader="none"/>
              </w:tabs>
              <w:rPr>
                <w:color w:val="000000"/>
                <w:sz w:val="24"/>
                <w:szCs w:val="24"/>
                <w:lang w:val="en-US"/>
              </w:rPr>
            </w:pPr>
            <w:r>
              <w:rPr>
                <w:color w:val="000000"/>
                <w:sz w:val="24"/>
                <w:szCs w:val="24"/>
                <w:lang w:val="en-US"/>
              </w:rPr>
              <w:t>(Производитель: АО "Амира")</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407" w:hRule="atLeast"/>
        </w:trPr>
        <w:tc>
          <w:tcPr>
            <w:tcW w:w="704"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1.9</w:t>
            </w:r>
          </w:p>
        </w:tc>
        <w:tc>
          <w:tcPr>
            <w:tcW w:w="2581" w:type="dxa"/>
            <w:gridSpan w:val="3"/>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Выключатель однополюсный, двухклавишный, настенный</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DIS1375022</w:t>
            </w:r>
          </w:p>
        </w:tc>
        <w:tc>
          <w:tcPr>
            <w:tcW w:w="18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контроля и управления доступом», шифр:</w:t>
            </w:r>
          </w:p>
          <w:p>
            <w:pPr>
              <w:pStyle w:val="Normal"/>
              <w:widowControl w:val="false"/>
              <w:jc w:val="center"/>
              <w:rPr>
                <w:rFonts w:eastAsia="DotumChe"/>
                <w:sz w:val="24"/>
                <w:szCs w:val="24"/>
              </w:rPr>
            </w:pPr>
            <w:r>
              <w:rPr>
                <w:color w:val="000000"/>
                <w:sz w:val="24"/>
                <w:szCs w:val="24"/>
              </w:rPr>
              <w:t>«Р005-НС/0923-</w:t>
            </w:r>
            <w:r>
              <w:rPr>
                <w:color w:val="000000"/>
                <w:sz w:val="24"/>
                <w:szCs w:val="24"/>
                <w:lang w:val="en-US"/>
              </w:rPr>
              <w:t>СКУД</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АО "ДКС"</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Номин. напряжение, 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230</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Цвет</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Белый</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Номин. ток, 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20</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Тип крепления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Винтовое крепление</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Схема подключения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Выключатель 1-полюс.</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Количество клавиш</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2</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Подходит для степени защиты (IP)</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IP66</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Способ подключения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Винтов. зажим/клемма</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18" w:hRule="atLeast"/>
        </w:trPr>
        <w:tc>
          <w:tcPr>
            <w:tcW w:w="704"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1.10</w:t>
            </w:r>
          </w:p>
        </w:tc>
        <w:tc>
          <w:tcPr>
            <w:tcW w:w="2581" w:type="dxa"/>
            <w:gridSpan w:val="3"/>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rPr>
              <w:t>Доводчик</w:t>
            </w:r>
            <w:r>
              <w:rPr>
                <w:color w:val="000000"/>
                <w:sz w:val="24"/>
                <w:szCs w:val="24"/>
                <w:lang w:val="en-US"/>
              </w:rPr>
              <w:t xml:space="preserve"> </w:t>
            </w:r>
            <w:r>
              <w:rPr>
                <w:color w:val="000000"/>
                <w:sz w:val="24"/>
                <w:szCs w:val="24"/>
              </w:rPr>
              <w:t>дверной</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SPRUT DOOR CLOSER-090GR</w:t>
            </w:r>
          </w:p>
        </w:tc>
        <w:tc>
          <w:tcPr>
            <w:tcW w:w="1845" w:type="dxa"/>
            <w:vMerge w:val="restart"/>
            <w:tcBorders>
              <w:top w:val="single" w:sz="4" w:space="0" w:color="000000"/>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контроля и управления доступом», шифр:</w:t>
            </w:r>
          </w:p>
          <w:p>
            <w:pPr>
              <w:pStyle w:val="Normal"/>
              <w:widowControl w:val="false"/>
              <w:jc w:val="center"/>
              <w:rPr>
                <w:rFonts w:eastAsia="DotumChe"/>
                <w:sz w:val="24"/>
                <w:szCs w:val="24"/>
                <w:lang w:val="en-US"/>
              </w:rPr>
            </w:pPr>
            <w:r>
              <w:rPr>
                <w:color w:val="000000"/>
                <w:sz w:val="24"/>
                <w:szCs w:val="24"/>
              </w:rPr>
              <w:t>«Р005-НС/0923-</w:t>
            </w:r>
            <w:r>
              <w:rPr>
                <w:color w:val="000000"/>
                <w:sz w:val="24"/>
                <w:szCs w:val="24"/>
                <w:lang w:val="en-US"/>
              </w:rPr>
              <w:t>СКУД</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ЗАО «Бастион»</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Усилие пружины доводчика по Европейским Нормам, </w:t>
            </w:r>
            <w:r>
              <w:rPr>
                <w:color w:val="000000"/>
                <w:sz w:val="24"/>
                <w:szCs w:val="24"/>
                <w:lang w:val="en-US"/>
              </w:rPr>
              <w:t>EN</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 w:val="left" w:pos="2175" w:leader="none"/>
              </w:tabs>
              <w:rPr>
                <w:color w:val="000000"/>
                <w:sz w:val="24"/>
                <w:szCs w:val="24"/>
                <w:lang w:val="en-US"/>
              </w:rPr>
            </w:pPr>
            <w:r>
              <w:rPr>
                <w:bCs/>
                <w:sz w:val="24"/>
                <w:szCs w:val="24"/>
                <w:lang w:val="en-US"/>
              </w:rPr>
              <w:t>EN4</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Ширина дверного полотна, мм,</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bCs/>
                <w:sz w:val="24"/>
                <w:szCs w:val="24"/>
                <w:lang w:val="en-US"/>
              </w:rPr>
              <w:t>930-1100</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Вес дверного полотна, кг</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bCs/>
                <w:sz w:val="24"/>
                <w:szCs w:val="24"/>
                <w:lang w:val="en-US"/>
              </w:rPr>
              <w:t>60÷90</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w:t>
              <w:br/>
              <w:t>ШхВхГ, мм, корпуса (без рычажной системы)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bCs/>
                <w:sz w:val="24"/>
                <w:szCs w:val="24"/>
                <w:lang w:val="en-US"/>
              </w:rPr>
              <w:t>186х68х44</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Диапазон рабочих температур, °С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bCs/>
                <w:sz w:val="24"/>
                <w:szCs w:val="24"/>
                <w:lang w:val="en-US"/>
              </w:rPr>
              <w:t>-35…+50</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Степень защиты оболочкой по ГОСТ 14254-2015</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 w:val="left" w:pos="2175" w:leader="none"/>
              </w:tabs>
              <w:rPr>
                <w:color w:val="000000"/>
                <w:sz w:val="24"/>
                <w:szCs w:val="24"/>
                <w:lang w:val="en-US"/>
              </w:rPr>
            </w:pPr>
            <w:r>
              <w:rPr>
                <w:bCs/>
                <w:sz w:val="24"/>
                <w:szCs w:val="24"/>
                <w:lang w:val="en-US"/>
              </w:rPr>
              <w:t>IP54</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restart"/>
            <w:tcBorders>
              <w:top w:val="single" w:sz="4" w:space="0" w:color="000000"/>
              <w:left w:val="single" w:sz="4" w:space="0" w:color="000000"/>
              <w:right w:val="single" w:sz="4" w:space="0" w:color="000000"/>
            </w:tcBorders>
            <w:vAlign w:val="center"/>
          </w:tcPr>
          <w:p>
            <w:pPr>
              <w:pStyle w:val="Normal"/>
              <w:widowControl w:val="false"/>
              <w:jc w:val="center"/>
              <w:rPr>
                <w:sz w:val="24"/>
                <w:szCs w:val="24"/>
                <w:lang w:val="en-US"/>
              </w:rPr>
            </w:pPr>
            <w:bookmarkStart w:id="23" w:name="_GoBack"/>
            <w:bookmarkEnd w:id="23"/>
            <w:r>
              <w:rPr>
                <w:sz w:val="24"/>
                <w:szCs w:val="24"/>
                <w:lang w:val="en-US"/>
              </w:rPr>
              <w:t>1.11</w:t>
            </w:r>
          </w:p>
        </w:tc>
        <w:tc>
          <w:tcPr>
            <w:tcW w:w="2581" w:type="dxa"/>
            <w:gridSpan w:val="3"/>
            <w:vMerge w:val="restart"/>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t xml:space="preserve">Панель освещения </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SKAT</w:t>
            </w:r>
            <w:r>
              <w:rPr>
                <w:color w:val="000000"/>
                <w:sz w:val="24"/>
                <w:szCs w:val="24"/>
              </w:rPr>
              <w:t xml:space="preserve"> </w:t>
            </w:r>
            <w:r>
              <w:rPr>
                <w:color w:val="000000"/>
                <w:sz w:val="24"/>
                <w:szCs w:val="24"/>
                <w:lang w:val="en-US"/>
              </w:rPr>
              <w:t>TB</w:t>
            </w:r>
            <w:r>
              <w:rPr>
                <w:color w:val="000000"/>
                <w:sz w:val="24"/>
                <w:szCs w:val="24"/>
              </w:rPr>
              <w:t xml:space="preserve"> </w:t>
            </w:r>
            <w:r>
              <w:rPr>
                <w:color w:val="000000"/>
                <w:sz w:val="24"/>
                <w:szCs w:val="24"/>
                <w:lang w:val="en-US"/>
              </w:rPr>
              <w:t>LIGHT</w:t>
            </w:r>
            <w:r>
              <w:rPr>
                <w:color w:val="000000"/>
                <w:sz w:val="24"/>
                <w:szCs w:val="24"/>
              </w:rPr>
              <w:t xml:space="preserve"> 150-</w:t>
            </w:r>
            <w:r>
              <w:rPr>
                <w:color w:val="000000"/>
                <w:sz w:val="24"/>
                <w:szCs w:val="24"/>
                <w:lang w:val="en-US"/>
              </w:rPr>
              <w:t>G</w:t>
            </w:r>
          </w:p>
        </w:tc>
        <w:tc>
          <w:tcPr>
            <w:tcW w:w="18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«Основной сервер», шифр:</w:t>
            </w:r>
          </w:p>
          <w:p>
            <w:pPr>
              <w:pStyle w:val="Normal"/>
              <w:widowControl w:val="false"/>
              <w:overflowPunct w:val="true"/>
              <w:jc w:val="center"/>
              <w:rPr>
                <w:color w:val="000000"/>
                <w:sz w:val="24"/>
                <w:szCs w:val="24"/>
              </w:rPr>
            </w:pPr>
            <w:r>
              <w:rPr>
                <w:color w:val="000000"/>
                <w:sz w:val="24"/>
                <w:szCs w:val="24"/>
              </w:rPr>
              <w:t>«Р003-НС/0923-СТТ4.1</w:t>
            </w:r>
            <w:r>
              <w:rPr>
                <w:color w:val="000000"/>
                <w:sz w:val="24"/>
                <w:szCs w:val="24"/>
                <w:lang w:val="en-US"/>
              </w:rPr>
              <w:t>.П</w:t>
            </w:r>
            <w:r>
              <w:rPr>
                <w:color w:val="000000"/>
                <w:sz w:val="24"/>
                <w:szCs w:val="24"/>
              </w:rPr>
              <w:t xml:space="preserve">» </w:t>
            </w:r>
          </w:p>
          <w:p>
            <w:pPr>
              <w:pStyle w:val="Normal"/>
              <w:widowControl w:val="fals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bookmarkStart w:id="24" w:name="_GoBack_Копия_1"/>
            <w:bookmarkStart w:id="25" w:name="_GoBack_Копия_1"/>
            <w:bookmarkEnd w:id="25"/>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Бастион</w:t>
            </w:r>
          </w:p>
        </w:tc>
        <w:tc>
          <w:tcPr>
            <w:tcW w:w="1845" w:type="dxa"/>
            <w:vMerge w:val="continue"/>
            <w:tcBorders>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Назначение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rPr>
              <w:t xml:space="preserve">Панель освещения для установки в телекоммуникационные шкафы. </w:t>
            </w:r>
            <w:r>
              <w:rPr>
                <w:color w:val="000000"/>
                <w:sz w:val="24"/>
                <w:szCs w:val="24"/>
                <w:lang w:val="en-US"/>
              </w:rPr>
              <w:t>Для освещения установленного оборудования.</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Характеристики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Высота: 44 мм, 1 </w:t>
            </w:r>
            <w:r>
              <w:rPr>
                <w:color w:val="000000"/>
                <w:sz w:val="24"/>
                <w:szCs w:val="24"/>
                <w:lang w:val="en-US"/>
              </w:rPr>
              <w:t>U</w:t>
            </w:r>
            <w:r>
              <w:rPr>
                <w:color w:val="000000"/>
                <w:sz w:val="24"/>
                <w:szCs w:val="24"/>
              </w:rPr>
              <w:t>;</w:t>
            </w:r>
          </w:p>
          <w:p>
            <w:pPr>
              <w:pStyle w:val="Normal"/>
              <w:widowControl w:val="false"/>
              <w:tabs>
                <w:tab w:val="clear" w:pos="708"/>
                <w:tab w:val="left" w:pos="426" w:leader="none"/>
              </w:tabs>
              <w:rPr>
                <w:color w:val="000000"/>
                <w:sz w:val="24"/>
                <w:szCs w:val="24"/>
              </w:rPr>
            </w:pPr>
            <w:r>
              <w:rPr>
                <w:color w:val="000000"/>
                <w:sz w:val="24"/>
                <w:szCs w:val="24"/>
              </w:rPr>
              <w:t>Ширина: 482 мм;</w:t>
            </w:r>
          </w:p>
          <w:p>
            <w:pPr>
              <w:pStyle w:val="Normal"/>
              <w:widowControl w:val="false"/>
              <w:tabs>
                <w:tab w:val="clear" w:pos="708"/>
                <w:tab w:val="left" w:pos="426" w:leader="none"/>
              </w:tabs>
              <w:rPr>
                <w:color w:val="000000"/>
                <w:sz w:val="24"/>
                <w:szCs w:val="24"/>
              </w:rPr>
            </w:pPr>
            <w:r>
              <w:rPr>
                <w:color w:val="000000"/>
                <w:sz w:val="24"/>
                <w:szCs w:val="24"/>
              </w:rPr>
              <w:t>Глубина: 55 мм;</w:t>
            </w:r>
          </w:p>
          <w:p>
            <w:pPr>
              <w:pStyle w:val="Normal"/>
              <w:widowControl w:val="false"/>
              <w:tabs>
                <w:tab w:val="clear" w:pos="708"/>
                <w:tab w:val="left" w:pos="426" w:leader="none"/>
              </w:tabs>
              <w:rPr>
                <w:color w:val="000000"/>
                <w:sz w:val="24"/>
                <w:szCs w:val="24"/>
              </w:rPr>
            </w:pPr>
            <w:r>
              <w:rPr>
                <w:color w:val="000000"/>
                <w:sz w:val="24"/>
                <w:szCs w:val="24"/>
              </w:rPr>
              <w:t>Напряжение электропитания: 220 В;</w:t>
            </w:r>
          </w:p>
          <w:p>
            <w:pPr>
              <w:pStyle w:val="Normal"/>
              <w:widowControl w:val="false"/>
              <w:tabs>
                <w:tab w:val="clear" w:pos="708"/>
                <w:tab w:val="left" w:pos="426" w:leader="none"/>
              </w:tabs>
              <w:rPr>
                <w:color w:val="000000"/>
                <w:sz w:val="24"/>
                <w:szCs w:val="24"/>
              </w:rPr>
            </w:pPr>
            <w:r>
              <w:rPr>
                <w:color w:val="000000"/>
                <w:sz w:val="24"/>
                <w:szCs w:val="24"/>
              </w:rPr>
              <w:t>Длина встроенного кабеля электропитания: 1,5 м;</w:t>
            </w:r>
          </w:p>
          <w:p>
            <w:pPr>
              <w:pStyle w:val="Normal"/>
              <w:widowControl w:val="false"/>
              <w:tabs>
                <w:tab w:val="clear" w:pos="708"/>
                <w:tab w:val="left" w:pos="426" w:leader="none"/>
              </w:tabs>
              <w:rPr>
                <w:color w:val="000000"/>
                <w:sz w:val="24"/>
                <w:szCs w:val="24"/>
              </w:rPr>
            </w:pPr>
            <w:r>
              <w:rPr>
                <w:color w:val="000000"/>
                <w:sz w:val="24"/>
                <w:szCs w:val="24"/>
              </w:rPr>
              <w:t xml:space="preserve">Рабочая температура: </w:t>
              <w:tab/>
              <w:t>+5...+70°;</w:t>
            </w:r>
          </w:p>
          <w:p>
            <w:pPr>
              <w:pStyle w:val="Normal"/>
              <w:widowControl w:val="false"/>
              <w:tabs>
                <w:tab w:val="clear" w:pos="708"/>
                <w:tab w:val="left" w:pos="426" w:leader="none"/>
              </w:tabs>
              <w:rPr>
                <w:color w:val="000000"/>
                <w:sz w:val="24"/>
                <w:szCs w:val="24"/>
              </w:rPr>
            </w:pPr>
            <w:r>
              <w:rPr>
                <w:color w:val="000000"/>
                <w:sz w:val="24"/>
                <w:szCs w:val="24"/>
              </w:rPr>
              <w:t>Размещение выключателя на корпусе панели освещения;</w:t>
            </w:r>
          </w:p>
          <w:p>
            <w:pPr>
              <w:pStyle w:val="Normal"/>
              <w:widowControl w:val="false"/>
              <w:tabs>
                <w:tab w:val="clear" w:pos="708"/>
                <w:tab w:val="left" w:pos="426" w:leader="none"/>
              </w:tabs>
              <w:rPr>
                <w:color w:val="000000"/>
                <w:sz w:val="24"/>
                <w:szCs w:val="24"/>
                <w:lang w:val="en-US"/>
              </w:rPr>
            </w:pPr>
            <w:r>
              <w:rPr>
                <w:color w:val="000000"/>
                <w:sz w:val="24"/>
                <w:szCs w:val="24"/>
                <w:lang w:val="en-US"/>
              </w:rPr>
              <w:t>Светодиодные лампы.</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restart"/>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1.12</w:t>
            </w:r>
          </w:p>
        </w:tc>
        <w:tc>
          <w:tcPr>
            <w:tcW w:w="2581" w:type="dxa"/>
            <w:gridSpan w:val="3"/>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t>Источник переменного напряжения</w:t>
            </w:r>
          </w:p>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SKAT</w:t>
            </w:r>
            <w:r>
              <w:rPr>
                <w:color w:val="000000"/>
                <w:sz w:val="24"/>
                <w:szCs w:val="24"/>
              </w:rPr>
              <w:t>-</w:t>
            </w:r>
            <w:r>
              <w:rPr>
                <w:color w:val="000000"/>
                <w:sz w:val="24"/>
                <w:szCs w:val="24"/>
                <w:lang w:val="en-US"/>
              </w:rPr>
              <w:t>VN</w:t>
            </w:r>
            <w:r>
              <w:rPr>
                <w:color w:val="000000"/>
                <w:sz w:val="24"/>
                <w:szCs w:val="24"/>
              </w:rPr>
              <w:t>.24/27АС ИСП.5</w:t>
            </w:r>
          </w:p>
        </w:tc>
        <w:tc>
          <w:tcPr>
            <w:tcW w:w="18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«ОРУ», шифр:</w:t>
            </w:r>
          </w:p>
          <w:p>
            <w:pPr>
              <w:pStyle w:val="Normal"/>
              <w:widowControl w:val="false"/>
              <w:overflowPunct w:val="true"/>
              <w:jc w:val="center"/>
              <w:rPr>
                <w:color w:val="000000"/>
                <w:sz w:val="24"/>
                <w:szCs w:val="24"/>
              </w:rPr>
            </w:pPr>
            <w:r>
              <w:rPr>
                <w:color w:val="000000"/>
                <w:sz w:val="24"/>
                <w:szCs w:val="24"/>
              </w:rPr>
              <w:t xml:space="preserve">«Р003-НС/0923-СТТ5.9.П» </w:t>
            </w:r>
          </w:p>
          <w:p>
            <w:pPr>
              <w:pStyle w:val="Normal"/>
              <w:widowControl w:val="false"/>
              <w:overflowPunct w:val="true"/>
              <w:jc w:val="center"/>
              <w:rPr>
                <w:color w:val="000000"/>
                <w:sz w:val="24"/>
                <w:szCs w:val="24"/>
              </w:rPr>
            </w:pPr>
            <w:r>
              <w:rPr>
                <w:color w:val="000000"/>
                <w:sz w:val="24"/>
                <w:szCs w:val="24"/>
              </w:rPr>
              <w:t xml:space="preserve">и </w:t>
            </w:r>
          </w:p>
          <w:p>
            <w:pPr>
              <w:pStyle w:val="Normal"/>
              <w:widowControl w:val="false"/>
              <w:overflowPunct w:val="true"/>
              <w:jc w:val="center"/>
              <w:rPr>
                <w:color w:val="000000"/>
                <w:sz w:val="24"/>
                <w:szCs w:val="24"/>
              </w:rPr>
            </w:pPr>
            <w:r>
              <w:rPr>
                <w:color w:val="000000"/>
                <w:sz w:val="24"/>
                <w:szCs w:val="24"/>
              </w:rPr>
              <w:t>«ВСП», шифр:</w:t>
            </w:r>
          </w:p>
          <w:p>
            <w:pPr>
              <w:pStyle w:val="Normal"/>
              <w:widowControl w:val="false"/>
              <w:overflowPunct w:val="true"/>
              <w:jc w:val="center"/>
              <w:rPr>
                <w:color w:val="000000"/>
                <w:sz w:val="24"/>
                <w:szCs w:val="24"/>
              </w:rPr>
            </w:pPr>
            <w:r>
              <w:rPr>
                <w:color w:val="000000"/>
                <w:sz w:val="24"/>
                <w:szCs w:val="24"/>
              </w:rPr>
              <w:t xml:space="preserve">«Р003-НС/0923-СТТ5.4.П» </w:t>
            </w:r>
          </w:p>
          <w:p>
            <w:pPr>
              <w:pStyle w:val="Normal"/>
              <w:widowControl w:val="false"/>
              <w:overflowPunct w:val="true"/>
              <w:jc w:val="center"/>
              <w:rPr>
                <w:color w:val="000000"/>
                <w:sz w:val="24"/>
                <w:szCs w:val="24"/>
              </w:rPr>
            </w:pPr>
            <w:r>
              <w:rPr>
                <w:color w:val="000000"/>
                <w:sz w:val="24"/>
                <w:szCs w:val="24"/>
              </w:rPr>
              <w:t xml:space="preserve">и </w:t>
            </w:r>
          </w:p>
          <w:p>
            <w:pPr>
              <w:pStyle w:val="Normal"/>
              <w:widowControl w:val="false"/>
              <w:overflowPunct w:val="true"/>
              <w:jc w:val="center"/>
              <w:rPr>
                <w:color w:val="000000"/>
                <w:sz w:val="24"/>
                <w:szCs w:val="24"/>
              </w:rPr>
            </w:pPr>
            <w:r>
              <w:rPr>
                <w:color w:val="000000"/>
                <w:sz w:val="24"/>
                <w:szCs w:val="24"/>
              </w:rPr>
              <w:t>«Трансформаторная площадка», шифр:</w:t>
            </w:r>
          </w:p>
          <w:p>
            <w:pPr>
              <w:pStyle w:val="Normal"/>
              <w:widowControl w:val="false"/>
              <w:overflowPunct w:val="true"/>
              <w:jc w:val="center"/>
              <w:rPr>
                <w:color w:val="000000"/>
                <w:sz w:val="24"/>
                <w:szCs w:val="24"/>
              </w:rPr>
            </w:pPr>
            <w:r>
              <w:rPr>
                <w:color w:val="000000"/>
                <w:sz w:val="24"/>
                <w:szCs w:val="24"/>
              </w:rPr>
              <w:t>«Р003-НС/0923-СТТ5.6.П»</w:t>
            </w:r>
          </w:p>
          <w:p>
            <w:pPr>
              <w:pStyle w:val="Normal"/>
              <w:widowControl w:val="false"/>
              <w:overflowPunct w:val="true"/>
              <w:jc w:val="center"/>
              <w:rPr>
                <w:color w:val="000000"/>
                <w:sz w:val="24"/>
                <w:szCs w:val="24"/>
              </w:rPr>
            </w:pPr>
            <w:r>
              <w:rPr>
                <w:color w:val="000000"/>
                <w:sz w:val="24"/>
                <w:szCs w:val="24"/>
              </w:rPr>
              <w:t xml:space="preserve">и </w:t>
            </w:r>
          </w:p>
          <w:p>
            <w:pPr>
              <w:pStyle w:val="Normal"/>
              <w:widowControl w:val="false"/>
              <w:overflowPunct w:val="true"/>
              <w:jc w:val="center"/>
              <w:rPr>
                <w:color w:val="000000"/>
                <w:sz w:val="24"/>
                <w:szCs w:val="24"/>
              </w:rPr>
            </w:pPr>
            <w:r>
              <w:rPr>
                <w:color w:val="000000"/>
                <w:sz w:val="24"/>
                <w:szCs w:val="24"/>
              </w:rPr>
              <w:t>«ЗИП», шифр:</w:t>
            </w:r>
          </w:p>
          <w:p>
            <w:pPr>
              <w:pStyle w:val="Normal"/>
              <w:widowControl w:val="false"/>
              <w:overflowPunct w:val="true"/>
              <w:jc w:val="center"/>
              <w:rPr>
                <w:color w:val="000000"/>
                <w:sz w:val="24"/>
                <w:szCs w:val="24"/>
              </w:rPr>
            </w:pPr>
            <w:r>
              <w:rPr>
                <w:color w:val="000000"/>
                <w:sz w:val="24"/>
                <w:szCs w:val="24"/>
              </w:rPr>
              <w:t xml:space="preserve">«Р003-НС/0923-СТТ8» </w:t>
            </w:r>
          </w:p>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ООО "Бастион"</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Питающая сеть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Напряжение питающей сети 187 – 242 В, 50 Гц</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Величина выходного напряжения в режиме 24 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без нагрузки не более 31 В</w:t>
            </w:r>
          </w:p>
          <w:p>
            <w:pPr>
              <w:pStyle w:val="Normal"/>
              <w:widowControl w:val="false"/>
              <w:tabs>
                <w:tab w:val="clear" w:pos="708"/>
                <w:tab w:val="left" w:pos="426" w:leader="none"/>
              </w:tabs>
              <w:rPr>
                <w:color w:val="000000"/>
                <w:sz w:val="24"/>
                <w:szCs w:val="24"/>
              </w:rPr>
            </w:pPr>
            <w:r>
              <w:rPr>
                <w:color w:val="000000"/>
                <w:sz w:val="24"/>
                <w:szCs w:val="24"/>
              </w:rPr>
              <w:t>при номинальной мощности нагрузки не менее 20 В</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Величина выходного напряжения</w:t>
            </w:r>
          </w:p>
          <w:p>
            <w:pPr>
              <w:pStyle w:val="Normal"/>
              <w:widowControl w:val="false"/>
              <w:tabs>
                <w:tab w:val="clear" w:pos="708"/>
                <w:tab w:val="left" w:pos="2175" w:leader="none"/>
              </w:tabs>
              <w:rPr>
                <w:color w:val="000000"/>
                <w:sz w:val="24"/>
                <w:szCs w:val="24"/>
              </w:rPr>
            </w:pPr>
            <w:r>
              <w:rPr>
                <w:color w:val="000000"/>
                <w:sz w:val="24"/>
                <w:szCs w:val="24"/>
              </w:rPr>
              <w:t>в режиме 27 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без нагрузки не более 34 В</w:t>
            </w:r>
          </w:p>
          <w:p>
            <w:pPr>
              <w:pStyle w:val="Normal"/>
              <w:widowControl w:val="false"/>
              <w:tabs>
                <w:tab w:val="clear" w:pos="708"/>
                <w:tab w:val="left" w:pos="426" w:leader="none"/>
              </w:tabs>
              <w:rPr>
                <w:color w:val="000000"/>
                <w:sz w:val="24"/>
                <w:szCs w:val="24"/>
              </w:rPr>
            </w:pPr>
            <w:r>
              <w:rPr>
                <w:color w:val="000000"/>
                <w:sz w:val="24"/>
                <w:szCs w:val="24"/>
              </w:rPr>
              <w:t>при номинальной мощности нагрузки не менее 22 В</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Номинальный ток нагрузки одного выхода при работе от сети, 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не менее 1 А</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Максимальный ток нагрузки одного выхода при работе от сети, 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не менее 1,1 А</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Количество выходов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не менее 5, наличие индикаторов состояния выходов, защита выходов от перенапряжения, возможность переключения величины выходного напряжения (24В, 27В)</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Максимальная потребляемая мощность источником от сети, Вт</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не более 170 Вт</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Рабочие условия эксплуатации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Температура окружающей среды от минус 40°С до плюс 40°С</w:t>
            </w:r>
          </w:p>
          <w:p>
            <w:pPr>
              <w:pStyle w:val="Normal"/>
              <w:widowControl w:val="false"/>
              <w:tabs>
                <w:tab w:val="clear" w:pos="708"/>
                <w:tab w:val="left" w:pos="426" w:leader="none"/>
              </w:tabs>
              <w:rPr>
                <w:color w:val="000000"/>
                <w:sz w:val="24"/>
                <w:szCs w:val="24"/>
              </w:rPr>
            </w:pPr>
            <w:r>
              <w:rPr>
                <w:color w:val="000000"/>
                <w:sz w:val="24"/>
                <w:szCs w:val="24"/>
              </w:rPr>
              <w:t>Относительная влажность воздуха не более 100%</w:t>
            </w:r>
          </w:p>
          <w:p>
            <w:pPr>
              <w:pStyle w:val="Normal"/>
              <w:widowControl w:val="false"/>
              <w:tabs>
                <w:tab w:val="clear" w:pos="708"/>
                <w:tab w:val="left" w:pos="426" w:leader="none"/>
              </w:tabs>
              <w:rPr>
                <w:color w:val="000000"/>
                <w:sz w:val="24"/>
                <w:szCs w:val="24"/>
              </w:rPr>
            </w:pPr>
            <w:r>
              <w:rPr>
                <w:color w:val="000000"/>
                <w:sz w:val="24"/>
                <w:szCs w:val="24"/>
              </w:rPr>
              <w:t>Отсутствие в воздухе паров агрессивных веществ (кислот, щелочей и пр.)</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Габаритные размеры ШхВхГ, мм,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255х121х215</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Масса, кг</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не более 3,0</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Характеристики корпуса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Степень защиты IP56, наличие силикагеля для компенсации влажности внутри корпуса</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restart"/>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1.13</w:t>
            </w:r>
          </w:p>
        </w:tc>
        <w:tc>
          <w:tcPr>
            <w:tcW w:w="2581" w:type="dxa"/>
            <w:gridSpan w:val="3"/>
            <w:vMerge w:val="restart"/>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t>Коробка распределительная</w:t>
            </w:r>
            <w:r>
              <w:rPr>
                <w:color w:val="000000"/>
                <w:sz w:val="24"/>
                <w:szCs w:val="24"/>
                <w:lang w:val="en-US"/>
              </w:rPr>
              <w:t xml:space="preserve"> </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КР-1.2000</w:t>
            </w:r>
          </w:p>
        </w:tc>
        <w:tc>
          <w:tcPr>
            <w:tcW w:w="18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«ВСП», шифр:</w:t>
            </w:r>
          </w:p>
          <w:p>
            <w:pPr>
              <w:pStyle w:val="Normal"/>
              <w:widowControl w:val="false"/>
              <w:overflowPunct w:val="true"/>
              <w:jc w:val="center"/>
              <w:rPr>
                <w:color w:val="000000"/>
                <w:sz w:val="24"/>
                <w:szCs w:val="24"/>
              </w:rPr>
            </w:pPr>
            <w:r>
              <w:rPr>
                <w:color w:val="000000"/>
                <w:sz w:val="24"/>
                <w:szCs w:val="24"/>
              </w:rPr>
              <w:t xml:space="preserve">«Р003-НС/0923-СТТ5.4.П» </w:t>
            </w:r>
          </w:p>
          <w:p>
            <w:pPr>
              <w:pStyle w:val="Normal"/>
              <w:widowControl w:val="false"/>
              <w:overflowPunct w:val="true"/>
              <w:jc w:val="center"/>
              <w:rPr>
                <w:color w:val="000000"/>
                <w:sz w:val="24"/>
                <w:szCs w:val="24"/>
              </w:rPr>
            </w:pPr>
            <w:r>
              <w:rPr>
                <w:color w:val="000000"/>
                <w:sz w:val="24"/>
                <w:szCs w:val="24"/>
              </w:rPr>
              <w:t xml:space="preserve">и </w:t>
            </w:r>
          </w:p>
          <w:p>
            <w:pPr>
              <w:pStyle w:val="Normal"/>
              <w:widowControl w:val="false"/>
              <w:overflowPunct w:val="true"/>
              <w:jc w:val="center"/>
              <w:rPr>
                <w:color w:val="000000"/>
                <w:sz w:val="24"/>
                <w:szCs w:val="24"/>
              </w:rPr>
            </w:pPr>
            <w:r>
              <w:rPr>
                <w:color w:val="000000"/>
                <w:sz w:val="24"/>
                <w:szCs w:val="24"/>
              </w:rPr>
              <w:t>«Трансформаторная площадка», шифр:</w:t>
            </w:r>
          </w:p>
          <w:p>
            <w:pPr>
              <w:pStyle w:val="Normal"/>
              <w:widowControl w:val="false"/>
              <w:overflowPunct w:val="true"/>
              <w:jc w:val="center"/>
              <w:rPr>
                <w:color w:val="000000"/>
                <w:sz w:val="24"/>
                <w:szCs w:val="24"/>
              </w:rPr>
            </w:pPr>
            <w:r>
              <w:rPr>
                <w:color w:val="000000"/>
                <w:sz w:val="24"/>
                <w:szCs w:val="24"/>
              </w:rPr>
              <w:t xml:space="preserve">«Р003-НС/0923-СТТ5.6.П» </w:t>
            </w:r>
          </w:p>
          <w:p>
            <w:pPr>
              <w:pStyle w:val="Normal"/>
              <w:widowControl w:val="fals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ООО «Тахион»</w:t>
            </w:r>
          </w:p>
        </w:tc>
        <w:tc>
          <w:tcPr>
            <w:tcW w:w="1845" w:type="dxa"/>
            <w:vMerge w:val="continue"/>
            <w:tcBorders>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Назначение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Коробка распределительная предназначена для коммутации цепей питания и линий связи, и защиты их от воздействия окружающей среды. Применяется для внешнего (уличного) подключения и обслуживания сетевых и аналоговых видеокамер без вскрытия термокожуха.</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Климатическое исполнение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УХЛ1.5. Диапазон рабочих температур -40°÷ +70°С.</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Степень защиты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IP 66</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Наличие кабельных вводов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Два гермоввода с одной стороны под кабель 6-10мм</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Материал корпуса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Пластик ABS</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Габаритные размеры без гермовводов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122х120х86 мм</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Комплект поставки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Коробка распределительная - 1шт.; Клемма соединительная 3 контакта (сечением до 4 мм.кв.) - 3 шт.; Соединитель </w:t>
            </w:r>
            <w:r>
              <w:rPr>
                <w:color w:val="000000"/>
                <w:sz w:val="24"/>
                <w:szCs w:val="24"/>
                <w:lang w:val="en-US"/>
              </w:rPr>
              <w:t>RJ</w:t>
            </w:r>
            <w:r>
              <w:rPr>
                <w:color w:val="000000"/>
                <w:sz w:val="24"/>
                <w:szCs w:val="24"/>
              </w:rPr>
              <w:t xml:space="preserve">45 - </w:t>
            </w:r>
            <w:r>
              <w:rPr>
                <w:color w:val="000000"/>
                <w:sz w:val="24"/>
                <w:szCs w:val="24"/>
                <w:lang w:val="en-US"/>
              </w:rPr>
              <w:t>RJ</w:t>
            </w:r>
            <w:r>
              <w:rPr>
                <w:color w:val="000000"/>
                <w:sz w:val="24"/>
                <w:szCs w:val="24"/>
              </w:rPr>
              <w:t xml:space="preserve">45 - 1 шт.; Крепеж настенный </w:t>
            </w:r>
            <w:r>
              <w:rPr>
                <w:color w:val="000000"/>
                <w:sz w:val="24"/>
                <w:szCs w:val="24"/>
                <w:lang w:val="en-US"/>
              </w:rPr>
              <w:t>DFL</w:t>
            </w:r>
            <w:r>
              <w:rPr>
                <w:color w:val="000000"/>
                <w:sz w:val="24"/>
                <w:szCs w:val="24"/>
              </w:rPr>
              <w:t>1 (крепежное ушко - 4 шт., саморез - 4 шт.) - 1 комплект.</w:t>
            </w:r>
          </w:p>
        </w:tc>
        <w:tc>
          <w:tcPr>
            <w:tcW w:w="1845" w:type="dxa"/>
            <w:vMerge w:val="continue"/>
            <w:tcBorders>
              <w:left w:val="single" w:sz="4" w:space="0" w:color="000000"/>
              <w:bottom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51"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6"/>
              </w:numPr>
              <w:jc w:val="center"/>
              <w:rPr>
                <w:color w:val="000000"/>
                <w:sz w:val="24"/>
                <w:szCs w:val="24"/>
              </w:rPr>
            </w:pPr>
            <w:r>
              <w:rPr>
                <w:color w:val="000000"/>
                <w:sz w:val="24"/>
                <w:szCs w:val="24"/>
              </w:rPr>
              <w:t>2.</w:t>
            </w:r>
          </w:p>
        </w:tc>
        <w:tc>
          <w:tcPr>
            <w:tcW w:w="15157" w:type="dxa"/>
            <w:gridSpan w:val="10"/>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both"/>
              <w:rPr>
                <w:b/>
                <w:bCs/>
                <w:sz w:val="24"/>
                <w:szCs w:val="24"/>
              </w:rPr>
            </w:pPr>
            <w:r>
              <w:rPr>
                <w:b/>
                <w:bCs/>
                <w:sz w:val="24"/>
                <w:szCs w:val="24"/>
              </w:rPr>
              <w:t>Требования к доставке, маркировке, упаковке, транспортировке, перемещению, условиям хранения, приемке и испытаниям</w:t>
            </w:r>
          </w:p>
        </w:tc>
        <w:tc>
          <w:tcPr>
            <w:tcW w:w="8" w:type="dxa"/>
            <w:tcBorders/>
          </w:tcPr>
          <w:p>
            <w:pPr>
              <w:pStyle w:val="Normal"/>
              <w:widowControl w:val="false"/>
              <w:rPr/>
            </w:pPr>
            <w:r>
              <w:rPr/>
            </w:r>
          </w:p>
        </w:tc>
      </w:tr>
      <w:tr>
        <w:trPr>
          <w:trHeight w:val="70"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57" w:hanging="0"/>
              <w:jc w:val="center"/>
              <w:rPr>
                <w:sz w:val="24"/>
                <w:szCs w:val="24"/>
              </w:rPr>
            </w:pPr>
            <w:r>
              <w:rPr>
                <w:sz w:val="24"/>
                <w:szCs w:val="24"/>
              </w:rPr>
              <w:t>2.1.</w:t>
            </w:r>
          </w:p>
        </w:tc>
        <w:tc>
          <w:tcPr>
            <w:tcW w:w="2581" w:type="dxa"/>
            <w:gridSpan w:val="3"/>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rPr>
            </w:pPr>
            <w:r>
              <w:rPr>
                <w:sz w:val="24"/>
                <w:szCs w:val="24"/>
                <w:lang w:eastAsia="x-none"/>
              </w:rPr>
              <w:t>Место поставки</w:t>
            </w:r>
          </w:p>
        </w:tc>
        <w:tc>
          <w:tcPr>
            <w:tcW w:w="6916" w:type="dxa"/>
            <w:gridSpan w:val="2"/>
            <w:tcBorders>
              <w:top w:val="single" w:sz="4" w:space="0" w:color="000000"/>
              <w:left w:val="single" w:sz="4" w:space="0" w:color="000000"/>
              <w:bottom w:val="single" w:sz="4" w:space="0" w:color="000000"/>
            </w:tcBorders>
            <w:vAlign w:val="center"/>
          </w:tcPr>
          <w:p>
            <w:pPr>
              <w:pStyle w:val="Normal"/>
              <w:widowControl w:val="false"/>
              <w:jc w:val="both"/>
              <w:rPr>
                <w:rFonts w:eastAsia="Calibri"/>
                <w:iCs/>
                <w:color w:val="000000"/>
                <w:sz w:val="24"/>
                <w:szCs w:val="24"/>
                <w:lang w:eastAsia="en-US"/>
              </w:rPr>
            </w:pPr>
            <w:r>
              <w:rPr>
                <w:rFonts w:eastAsia="Calibri"/>
                <w:iCs/>
                <w:color w:val="000000"/>
                <w:sz w:val="24"/>
                <w:szCs w:val="24"/>
                <w:lang w:eastAsia="en-US"/>
              </w:rPr>
              <w:t>Производственный участок в г. Новосибирск Саяно-Шушенского филиала АО «Гидроремонт-ВКК» в п. Черёмушки. 630056, Российская Федерация, Новосибирская область, г. Новосибирск, ул.Новоморская дом 4/1.</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r>
          </w:p>
        </w:tc>
        <w:tc>
          <w:tcPr>
            <w:tcW w:w="1699" w:type="dxa"/>
            <w:vMerge w:val="restart"/>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r>
          </w:p>
        </w:tc>
        <w:tc>
          <w:tcPr>
            <w:tcW w:w="209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Calibri"/>
                <w:color w:val="000000"/>
                <w:sz w:val="24"/>
                <w:szCs w:val="24"/>
              </w:rPr>
            </w:pPr>
            <w:r>
              <w:rPr>
                <w:rFonts w:eastAsia="Calibri"/>
                <w:color w:val="000000"/>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80"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57" w:hanging="0"/>
              <w:jc w:val="center"/>
              <w:rPr>
                <w:color w:val="000000"/>
                <w:sz w:val="24"/>
                <w:szCs w:val="24"/>
              </w:rPr>
            </w:pPr>
            <w:r>
              <w:rPr>
                <w:sz w:val="24"/>
                <w:szCs w:val="24"/>
                <w:lang w:val="en-US"/>
              </w:rPr>
              <w:t>2</w:t>
            </w:r>
            <w:r>
              <w:rPr>
                <w:sz w:val="24"/>
                <w:szCs w:val="24"/>
              </w:rPr>
              <w:t>.2.</w:t>
            </w:r>
          </w:p>
        </w:tc>
        <w:tc>
          <w:tcPr>
            <w:tcW w:w="2581" w:type="dxa"/>
            <w:gridSpan w:val="3"/>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rPr>
            </w:pPr>
            <w:r>
              <w:rPr>
                <w:sz w:val="24"/>
                <w:szCs w:val="24"/>
                <w:lang w:eastAsia="x-none"/>
              </w:rPr>
              <w:t>Приемка продукции</w:t>
            </w:r>
          </w:p>
        </w:tc>
        <w:tc>
          <w:tcPr>
            <w:tcW w:w="6916" w:type="dxa"/>
            <w:gridSpan w:val="2"/>
            <w:tcBorders>
              <w:top w:val="single" w:sz="4" w:space="0" w:color="000000"/>
              <w:left w:val="single" w:sz="4" w:space="0" w:color="000000"/>
              <w:bottom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t>Приемка продукции осуществляется только в рабочие дни с 9-00 до 11-00 и с 13-00 до 16-00.</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699"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20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80"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57" w:hanging="0"/>
              <w:jc w:val="center"/>
              <w:rPr>
                <w:sz w:val="24"/>
                <w:szCs w:val="24"/>
                <w:lang w:val="en-US"/>
              </w:rPr>
            </w:pPr>
            <w:r>
              <w:rPr>
                <w:sz w:val="24"/>
                <w:szCs w:val="24"/>
                <w:lang w:val="en-US"/>
              </w:rPr>
              <w:t>2.3.</w:t>
            </w:r>
          </w:p>
        </w:tc>
        <w:tc>
          <w:tcPr>
            <w:tcW w:w="2581" w:type="dxa"/>
            <w:gridSpan w:val="3"/>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lang w:eastAsia="x-none"/>
              </w:rPr>
            </w:pPr>
            <w:r>
              <w:rPr>
                <w:sz w:val="24"/>
                <w:szCs w:val="24"/>
                <w:lang w:val="en-US" w:eastAsia="x-none"/>
              </w:rPr>
              <w:t>Упаковка</w:t>
            </w:r>
          </w:p>
        </w:tc>
        <w:tc>
          <w:tcPr>
            <w:tcW w:w="6916" w:type="dxa"/>
            <w:gridSpan w:val="2"/>
            <w:tcBorders>
              <w:top w:val="single" w:sz="4" w:space="0" w:color="000000"/>
              <w:left w:val="single" w:sz="4" w:space="0" w:color="000000"/>
              <w:bottom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t>Индивидуальная упаковка с товарным знаком предприятия, изготовителя, с наименованием продукции</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699"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20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930"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57" w:hanging="0"/>
              <w:jc w:val="center"/>
              <w:rPr>
                <w:sz w:val="24"/>
                <w:szCs w:val="24"/>
              </w:rPr>
            </w:pPr>
            <w:r>
              <w:rPr>
                <w:sz w:val="24"/>
                <w:szCs w:val="24"/>
              </w:rPr>
              <w:t>2.4.</w:t>
            </w:r>
          </w:p>
        </w:tc>
        <w:tc>
          <w:tcPr>
            <w:tcW w:w="9497" w:type="dxa"/>
            <w:gridSpan w:val="5"/>
            <w:tcBorders>
              <w:top w:val="single" w:sz="4" w:space="0" w:color="000000"/>
              <w:left w:val="single" w:sz="4" w:space="0" w:color="000000"/>
              <w:bottom w:val="single" w:sz="4" w:space="0" w:color="000000"/>
            </w:tcBorders>
            <w:shd w:color="auto" w:fill="FFFFFF" w:val="clear"/>
          </w:tcPr>
          <w:p>
            <w:pPr>
              <w:pStyle w:val="Normal"/>
              <w:widowControl w:val="false"/>
              <w:rPr>
                <w:sz w:val="24"/>
                <w:szCs w:val="24"/>
              </w:rPr>
            </w:pPr>
            <w:r>
              <w:rPr>
                <w:sz w:val="24"/>
                <w:szCs w:val="24"/>
                <w:lang w:eastAsia="x-none"/>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  по тел. 8 (383)379-07-74</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699"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20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numPr>
                <w:ilvl w:val="0"/>
                <w:numId w:val="7"/>
              </w:numPr>
              <w:jc w:val="center"/>
              <w:rPr>
                <w:color w:val="000000"/>
                <w:sz w:val="24"/>
                <w:szCs w:val="24"/>
              </w:rPr>
            </w:pPr>
            <w:r>
              <w:rPr>
                <w:color w:val="000000"/>
                <w:sz w:val="24"/>
                <w:szCs w:val="24"/>
              </w:rPr>
            </w:r>
          </w:p>
        </w:tc>
        <w:tc>
          <w:tcPr>
            <w:tcW w:w="15157" w:type="dxa"/>
            <w:gridSpan w:val="10"/>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eastAsia="DotumChe"/>
                <w:color w:val="000000"/>
                <w:sz w:val="24"/>
                <w:szCs w:val="24"/>
              </w:rPr>
            </w:pPr>
            <w:r>
              <w:rPr>
                <w:b/>
                <w:sz w:val="24"/>
                <w:szCs w:val="24"/>
              </w:rPr>
              <w:t>Требования к гарантиям, гарантийному и послегарантийному обслуживанию</w:t>
            </w:r>
          </w:p>
        </w:tc>
        <w:tc>
          <w:tcPr>
            <w:tcW w:w="8" w:type="dxa"/>
            <w:tcBorders/>
          </w:tcPr>
          <w:p>
            <w:pPr>
              <w:pStyle w:val="Normal"/>
              <w:widowControl w:val="false"/>
              <w:rPr/>
            </w:pPr>
            <w:r>
              <w:rPr/>
            </w:r>
          </w:p>
        </w:tc>
      </w:tr>
      <w:tr>
        <w:trPr>
          <w:trHeight w:val="2407"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rPr>
                <w:sz w:val="24"/>
                <w:szCs w:val="24"/>
              </w:rPr>
            </w:pPr>
            <w:r>
              <w:rPr>
                <w:color w:val="000000"/>
                <w:sz w:val="24"/>
                <w:szCs w:val="24"/>
                <w:lang w:val="en-US"/>
              </w:rPr>
              <w:t>3.1</w:t>
            </w:r>
          </w:p>
        </w:tc>
        <w:tc>
          <w:tcPr>
            <w:tcW w:w="2552"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rPr>
            </w:pPr>
            <w:r>
              <w:rPr>
                <w:sz w:val="24"/>
                <w:szCs w:val="24"/>
                <w:lang w:eastAsia="x-none"/>
              </w:rPr>
              <w:t>Сроки гарантии</w:t>
            </w:r>
          </w:p>
        </w:tc>
        <w:tc>
          <w:tcPr>
            <w:tcW w:w="6945" w:type="dxa"/>
            <w:gridSpan w:val="3"/>
            <w:tcBorders>
              <w:top w:val="single" w:sz="4" w:space="0" w:color="000000"/>
              <w:left w:val="single" w:sz="4" w:space="0" w:color="000000"/>
              <w:bottom w:val="single" w:sz="4" w:space="0" w:color="000000"/>
            </w:tcBorders>
            <w:vAlign w:val="center"/>
          </w:tcPr>
          <w:p>
            <w:pPr>
              <w:pStyle w:val="Normal"/>
              <w:widowControl w:val="false"/>
              <w:overflowPunct w:val="true"/>
              <w:jc w:val="both"/>
              <w:rPr>
                <w:sz w:val="24"/>
                <w:szCs w:val="24"/>
                <w:lang w:eastAsia="x-none"/>
              </w:rPr>
            </w:pPr>
            <w:r>
              <w:rPr>
                <w:sz w:val="24"/>
                <w:szCs w:val="24"/>
                <w:lang w:eastAsia="x-none"/>
              </w:rPr>
              <w:t>На Продукцию устанавливается гарантийный срок, равный 36 (Тридцать шесть) месяцев, исчисляемый с даты ввода Продукции в эксплуатацию, но не более 42 (Сорок два) месяцев с даты подписания Сторонами товарной накладной по форме ТОРГ-12 или Универсального передаточного документа (УПД) и не менее гарантийного срока изготовителя (производителя) продукции.</w:t>
            </w:r>
          </w:p>
          <w:p>
            <w:pPr>
              <w:pStyle w:val="Normal"/>
              <w:widowControl w:val="false"/>
              <w:rPr>
                <w:sz w:val="24"/>
                <w:szCs w:val="24"/>
                <w:lang w:eastAsia="x-none"/>
              </w:rPr>
            </w:pPr>
            <w:r>
              <w:rPr>
                <w:sz w:val="24"/>
                <w:szCs w:val="24"/>
                <w:lang w:eastAsia="x-none"/>
              </w:rPr>
              <w:t>Установленный в отношении Продукции Гарантийный срок распространяется на все составные части и комплектующие Продукции.</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eastAsia="x-none"/>
              </w:rPr>
            </w:pPr>
            <w:r>
              <w:rPr>
                <w:sz w:val="24"/>
                <w:szCs w:val="24"/>
                <w:lang w:eastAsia="x-none"/>
              </w:rPr>
            </w:r>
          </w:p>
        </w:tc>
        <w:tc>
          <w:tcPr>
            <w:tcW w:w="1699"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lang w:eastAsia="x-none"/>
              </w:rPr>
            </w:pPr>
            <w:r>
              <w:rPr>
                <w:sz w:val="24"/>
                <w:szCs w:val="24"/>
                <w:lang w:eastAsia="x-none"/>
              </w:rPr>
            </w:r>
          </w:p>
        </w:tc>
        <w:tc>
          <w:tcPr>
            <w:tcW w:w="2124"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r>
          </w:p>
        </w:tc>
      </w:tr>
      <w:tr>
        <w:trPr>
          <w:trHeight w:val="718"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rPr>
                <w:color w:val="000000"/>
                <w:sz w:val="24"/>
                <w:szCs w:val="24"/>
                <w:lang w:val="en-US"/>
              </w:rPr>
            </w:pPr>
            <w:r>
              <w:rPr>
                <w:color w:val="000000"/>
                <w:sz w:val="24"/>
                <w:szCs w:val="24"/>
                <w:lang w:val="en-US"/>
              </w:rPr>
              <w:t>3.2</w:t>
            </w:r>
          </w:p>
        </w:tc>
        <w:tc>
          <w:tcPr>
            <w:tcW w:w="2552"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lang w:eastAsia="x-none"/>
              </w:rPr>
            </w:pPr>
            <w:r>
              <w:rPr>
                <w:sz w:val="24"/>
                <w:szCs w:val="24"/>
                <w:lang w:val="en-US" w:eastAsia="x-none"/>
              </w:rPr>
              <w:t>Срок службы продукции</w:t>
            </w:r>
          </w:p>
        </w:tc>
        <w:tc>
          <w:tcPr>
            <w:tcW w:w="6945" w:type="dxa"/>
            <w:gridSpan w:val="3"/>
            <w:tcBorders>
              <w:top w:val="single" w:sz="4" w:space="0" w:color="000000"/>
              <w:left w:val="single" w:sz="4" w:space="0" w:color="000000"/>
              <w:bottom w:val="single" w:sz="4" w:space="0" w:color="000000"/>
            </w:tcBorders>
            <w:vAlign w:val="center"/>
          </w:tcPr>
          <w:p>
            <w:pPr>
              <w:pStyle w:val="Normal"/>
              <w:widowControl w:val="false"/>
              <w:overflowPunct w:val="true"/>
              <w:jc w:val="both"/>
              <w:rPr>
                <w:sz w:val="24"/>
                <w:szCs w:val="24"/>
                <w:lang w:eastAsia="x-none"/>
              </w:rPr>
            </w:pPr>
            <w:r>
              <w:rPr>
                <w:sz w:val="24"/>
                <w:szCs w:val="24"/>
                <w:lang w:eastAsia="x-none"/>
              </w:rPr>
              <w:t>Срок службы не менее 10 лет с даты изготовления продукции, том числе и на все составные части и комплектующие Продукции.</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eastAsia="x-none"/>
              </w:rPr>
            </w:pPr>
            <w:r>
              <w:rPr>
                <w:sz w:val="24"/>
                <w:szCs w:val="24"/>
                <w:lang w:eastAsia="x-none"/>
              </w:rPr>
            </w:r>
          </w:p>
        </w:tc>
        <w:tc>
          <w:tcPr>
            <w:tcW w:w="1699"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lang w:eastAsia="x-none"/>
              </w:rPr>
            </w:pPr>
            <w:r>
              <w:rPr>
                <w:sz w:val="24"/>
                <w:szCs w:val="24"/>
                <w:lang w:eastAsia="x-none"/>
              </w:rPr>
            </w:r>
          </w:p>
        </w:tc>
        <w:tc>
          <w:tcPr>
            <w:tcW w:w="2124"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r>
          </w:p>
        </w:tc>
      </w:tr>
      <w:tr>
        <w:trPr>
          <w:trHeight w:val="469"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rPr>
                <w:color w:val="000000"/>
                <w:sz w:val="24"/>
                <w:szCs w:val="24"/>
                <w:lang w:val="en-US"/>
              </w:rPr>
            </w:pPr>
            <w:r>
              <w:rPr>
                <w:color w:val="000000"/>
                <w:sz w:val="24"/>
                <w:szCs w:val="24"/>
              </w:rPr>
              <w:t>3.3</w:t>
            </w:r>
          </w:p>
        </w:tc>
        <w:tc>
          <w:tcPr>
            <w:tcW w:w="2552"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lang w:eastAsia="x-none"/>
              </w:rPr>
            </w:pPr>
            <w:r>
              <w:rPr>
                <w:sz w:val="24"/>
                <w:szCs w:val="24"/>
                <w:lang w:eastAsia="x-none"/>
              </w:rPr>
              <w:t>Дата изготовления продукции</w:t>
            </w:r>
          </w:p>
        </w:tc>
        <w:tc>
          <w:tcPr>
            <w:tcW w:w="6945" w:type="dxa"/>
            <w:gridSpan w:val="3"/>
            <w:tcBorders>
              <w:top w:val="single" w:sz="4" w:space="0" w:color="000000"/>
              <w:left w:val="single" w:sz="4" w:space="0" w:color="000000"/>
              <w:bottom w:val="single" w:sz="4" w:space="0" w:color="000000"/>
            </w:tcBorders>
            <w:vAlign w:val="center"/>
          </w:tcPr>
          <w:p>
            <w:pPr>
              <w:pStyle w:val="Normal"/>
              <w:widowControl w:val="false"/>
              <w:overflowPunct w:val="true"/>
              <w:jc w:val="both"/>
              <w:rPr>
                <w:sz w:val="24"/>
                <w:szCs w:val="24"/>
                <w:lang w:eastAsia="x-none"/>
              </w:rPr>
            </w:pPr>
            <w:r>
              <w:rPr>
                <w:sz w:val="24"/>
                <w:szCs w:val="24"/>
                <w:lang w:eastAsia="x-none"/>
              </w:rPr>
              <w:t>Дата изготовления не ранее 2026 года, том числе и на все составные части и комплектующие Продукции.</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eastAsia="x-none"/>
              </w:rPr>
            </w:pPr>
            <w:r>
              <w:rPr>
                <w:sz w:val="24"/>
                <w:szCs w:val="24"/>
                <w:lang w:eastAsia="x-none"/>
              </w:rPr>
            </w:r>
          </w:p>
        </w:tc>
        <w:tc>
          <w:tcPr>
            <w:tcW w:w="1699"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lang w:eastAsia="x-none"/>
              </w:rPr>
            </w:pPr>
            <w:r>
              <w:rPr>
                <w:sz w:val="24"/>
                <w:szCs w:val="24"/>
                <w:lang w:eastAsia="x-none"/>
              </w:rPr>
            </w:r>
          </w:p>
        </w:tc>
        <w:tc>
          <w:tcPr>
            <w:tcW w:w="2124"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b/>
                <w:color w:val="000000"/>
                <w:sz w:val="24"/>
                <w:szCs w:val="24"/>
                <w:lang w:val="en-US"/>
              </w:rPr>
            </w:pPr>
            <w:r>
              <w:rPr>
                <w:b/>
                <w:color w:val="000000"/>
                <w:sz w:val="24"/>
                <w:szCs w:val="24"/>
                <w:lang w:val="en-US"/>
              </w:rPr>
              <w:t>4.</w:t>
            </w:r>
          </w:p>
        </w:tc>
        <w:tc>
          <w:tcPr>
            <w:tcW w:w="15165" w:type="dxa"/>
            <w:gridSpan w:val="11"/>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b/>
                <w:sz w:val="24"/>
                <w:szCs w:val="24"/>
              </w:rPr>
            </w:pPr>
            <w:r>
              <w:rPr>
                <w:b/>
                <w:sz w:val="24"/>
                <w:szCs w:val="24"/>
              </w:rPr>
              <w:t>Требования к комплектации и документам, поставляемым вместе с продукцией</w:t>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sz w:val="24"/>
                <w:szCs w:val="24"/>
              </w:rPr>
            </w:pPr>
            <w:r>
              <w:rPr>
                <w:color w:val="000000"/>
                <w:sz w:val="24"/>
                <w:szCs w:val="24"/>
                <w:lang w:val="en-US"/>
              </w:rPr>
              <w:t>4.1</w:t>
            </w:r>
          </w:p>
        </w:tc>
        <w:tc>
          <w:tcPr>
            <w:tcW w:w="2552"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rPr>
            </w:pPr>
            <w:r>
              <w:rPr>
                <w:sz w:val="24"/>
                <w:szCs w:val="24"/>
                <w:lang w:eastAsia="x-none"/>
              </w:rPr>
              <w:t>Документы, передаваемые вместе с продукцией</w:t>
            </w:r>
          </w:p>
        </w:tc>
        <w:tc>
          <w:tcPr>
            <w:tcW w:w="6945" w:type="dxa"/>
            <w:gridSpan w:val="3"/>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lang w:eastAsia="x-none"/>
              </w:rPr>
              <w:t>Поставщик обязан одновременно с передачей продукции передать Покупателю относящиеся к продукции оригиналы документов, оформленные надлежащим образом: технические паспорта на русском языке, инструкции по эксплуатации на русском языке, руководства по эксплуатации со штампом отдела технического контроля (ОТК) изготовителя, упаковочные листы, сертификаты качества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оборудования; товарную накладную унифицированной формы ТОРГ-12 (УПД) в 2 экз., товарно-транспортную накладную формы № 1-Т (для учета товарно-материальных ценностей и расчетов за их перевозку) или транспортную железнодорожную накладную (форма № ГУ-27) и иные документы, предусмотренные п.3.3 Договора.</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eastAsia="x-none"/>
              </w:rPr>
            </w:pPr>
            <w:r>
              <w:rPr>
                <w:sz w:val="24"/>
                <w:szCs w:val="24"/>
                <w:lang w:eastAsia="x-none"/>
              </w:rPr>
            </w:r>
          </w:p>
        </w:tc>
        <w:tc>
          <w:tcPr>
            <w:tcW w:w="1699"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lang w:eastAsia="x-none"/>
              </w:rPr>
            </w:pPr>
            <w:r>
              <w:rPr>
                <w:sz w:val="24"/>
                <w:szCs w:val="24"/>
                <w:lang w:eastAsia="x-none"/>
              </w:rPr>
            </w:r>
          </w:p>
        </w:tc>
        <w:tc>
          <w:tcPr>
            <w:tcW w:w="2124"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color w:val="000000"/>
                <w:sz w:val="24"/>
                <w:szCs w:val="24"/>
              </w:rPr>
            </w:pPr>
            <w:r>
              <w:rPr>
                <w:b/>
                <w:sz w:val="24"/>
                <w:szCs w:val="24"/>
              </w:rPr>
              <w:t>5.</w:t>
            </w:r>
          </w:p>
        </w:tc>
        <w:tc>
          <w:tcPr>
            <w:tcW w:w="15165" w:type="dxa"/>
            <w:gridSpan w:val="11"/>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sz w:val="24"/>
                <w:szCs w:val="24"/>
              </w:rPr>
            </w:pPr>
            <w:r>
              <w:rPr>
                <w:b/>
                <w:sz w:val="24"/>
                <w:szCs w:val="24"/>
              </w:rPr>
              <w:t>Требования в части мер по предоставлению национального режима и производства радиоэлектронной продукции на территории РФ при осуществлении закупок товаров, работ и услуг</w:t>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color w:val="000000"/>
                <w:sz w:val="24"/>
                <w:szCs w:val="24"/>
              </w:rPr>
            </w:pPr>
            <w:r>
              <w:rPr>
                <w:color w:val="000000"/>
                <w:sz w:val="24"/>
                <w:szCs w:val="24"/>
                <w:lang w:val="en-US"/>
              </w:rPr>
              <w:t>5.1</w:t>
            </w:r>
          </w:p>
        </w:tc>
        <w:tc>
          <w:tcPr>
            <w:tcW w:w="2552"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lang w:eastAsia="x-none"/>
              </w:rPr>
            </w:pPr>
            <w:r>
              <w:rPr>
                <w:sz w:val="24"/>
                <w:szCs w:val="24"/>
                <w:lang w:eastAsia="x-none"/>
              </w:rPr>
              <w:t>Требования к оборудованию и программному обеспечению</w:t>
            </w:r>
          </w:p>
        </w:tc>
        <w:tc>
          <w:tcPr>
            <w:tcW w:w="6945" w:type="dxa"/>
            <w:gridSpan w:val="3"/>
            <w:tcBorders>
              <w:top w:val="single" w:sz="4" w:space="0" w:color="000000"/>
              <w:left w:val="single" w:sz="4" w:space="0" w:color="000000"/>
              <w:bottom w:val="single" w:sz="4" w:space="0" w:color="000000"/>
            </w:tcBorders>
            <w:vAlign w:val="center"/>
          </w:tcPr>
          <w:p>
            <w:pPr>
              <w:pStyle w:val="Normal"/>
              <w:widowControl w:val="false"/>
              <w:rPr>
                <w:sz w:val="24"/>
                <w:szCs w:val="24"/>
                <w:lang w:eastAsia="x-none"/>
              </w:rPr>
            </w:pPr>
            <w:r>
              <w:rPr>
                <w:sz w:val="24"/>
                <w:szCs w:val="24"/>
                <w:lang w:eastAsia="x-none"/>
              </w:rPr>
              <w:t xml:space="preserve">Оборудование должно быть доступно на российском рынке и включено в реестр промышленной продукции, произведенной на территории Российской Федерации или произведенной на территории государства - члена Евразийского экономического союза, предусмотренный постановлением Правительства Российской Федерации от 23 декабря 2024 г. № 1875 и/или включено в единый реестр российской радиоэлектронной продукции, предусмотренный постановлением Правительства Российской Федерации от 10.07.2019 № 878. с возможностью проверки реестрового номера через сайт </w:t>
            </w:r>
            <w:hyperlink r:id="rId7">
              <w:r>
                <w:rPr>
                  <w:rStyle w:val="Hyperlink"/>
                  <w:sz w:val="24"/>
                  <w:szCs w:val="24"/>
                  <w:lang w:eastAsia="x-none"/>
                </w:rPr>
                <w:t>https://gisp.gov.ru/pp719v2/pub/prod/rep/</w:t>
              </w:r>
            </w:hyperlink>
            <w:r>
              <w:rPr>
                <w:sz w:val="24"/>
                <w:szCs w:val="24"/>
                <w:lang w:eastAsia="x-none"/>
              </w:rPr>
              <w:t>.</w:t>
            </w:r>
          </w:p>
          <w:p>
            <w:pPr>
              <w:pStyle w:val="Normal"/>
              <w:widowControl w:val="false"/>
              <w:rPr>
                <w:sz w:val="24"/>
                <w:szCs w:val="24"/>
                <w:lang w:eastAsia="x-none"/>
              </w:rPr>
            </w:pPr>
            <w:r>
              <w:rPr>
                <w:sz w:val="24"/>
                <w:szCs w:val="24"/>
                <w:lang w:eastAsia="x-none"/>
              </w:rPr>
              <w:t>Оборудование, в случае реализации в нем функции защиты информации, должно соответствовать требованиям, установленным Федеральной службой по техническому и экспортному контролю и (или) Федеральной службой безопасности Российской Федерации в пределах их полномочий, что должно быть подтверждено соответствующим документом (сертификатом).</w:t>
            </w:r>
          </w:p>
          <w:p>
            <w:pPr>
              <w:pStyle w:val="Normal"/>
              <w:widowControl w:val="false"/>
              <w:rPr>
                <w:sz w:val="24"/>
                <w:szCs w:val="24"/>
                <w:lang w:eastAsia="x-none"/>
              </w:rPr>
            </w:pPr>
            <w:r>
              <w:rPr>
                <w:sz w:val="24"/>
                <w:szCs w:val="24"/>
                <w:lang w:eastAsia="x-none"/>
              </w:rPr>
              <w:t>Программное обеспечение должно быть включено в единый реестр российских программ для электронных вычислительных машин и баз данных (в соответствии с Приказом Минцифры России от 05.08.2021 №806).</w:t>
            </w:r>
          </w:p>
          <w:p>
            <w:pPr>
              <w:pStyle w:val="Normal"/>
              <w:widowControl w:val="false"/>
              <w:rPr>
                <w:sz w:val="24"/>
                <w:szCs w:val="24"/>
                <w:lang w:eastAsia="x-none"/>
              </w:rPr>
            </w:pPr>
            <w:r>
              <w:rPr>
                <w:sz w:val="24"/>
                <w:szCs w:val="24"/>
                <w:lang w:eastAsia="x-none"/>
              </w:rPr>
              <w:t>Оборудование и ПО должно соответствовать требованиям Приказов ПАО "РусГидро" от 18.08.2025 №682 и от 28.02.2025 № 173 «Об утверждении перечней, применяемых в Группе РусГидро типовых технических решений информационно-технологической инфраструктуры и рабочих мест Группы РусГидро.</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eastAsia="x-none"/>
              </w:rPr>
            </w:pPr>
            <w:r>
              <w:rPr>
                <w:sz w:val="24"/>
                <w:szCs w:val="24"/>
                <w:lang w:eastAsia="x-none"/>
              </w:rPr>
            </w:r>
          </w:p>
        </w:tc>
        <w:tc>
          <w:tcPr>
            <w:tcW w:w="1699"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lang w:eastAsia="x-none"/>
              </w:rPr>
            </w:pPr>
            <w:r>
              <w:rPr>
                <w:sz w:val="24"/>
                <w:szCs w:val="24"/>
                <w:lang w:eastAsia="x-none"/>
              </w:rPr>
            </w:r>
          </w:p>
        </w:tc>
        <w:tc>
          <w:tcPr>
            <w:tcW w:w="2124"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b/>
                <w:color w:val="000000"/>
                <w:sz w:val="24"/>
                <w:szCs w:val="24"/>
                <w:lang w:val="en-US"/>
              </w:rPr>
            </w:pPr>
            <w:r>
              <w:rPr>
                <w:b/>
                <w:color w:val="000000"/>
                <w:sz w:val="24"/>
                <w:szCs w:val="24"/>
                <w:lang w:val="en-US"/>
              </w:rPr>
              <w:t>6.</w:t>
            </w:r>
          </w:p>
        </w:tc>
        <w:tc>
          <w:tcPr>
            <w:tcW w:w="15165" w:type="dxa"/>
            <w:gridSpan w:val="11"/>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eastAsia="DotumChe"/>
                <w:color w:val="000000"/>
                <w:sz w:val="24"/>
                <w:szCs w:val="24"/>
              </w:rPr>
            </w:pPr>
            <w:r>
              <w:rPr>
                <w:b/>
                <w:sz w:val="24"/>
                <w:szCs w:val="24"/>
              </w:rPr>
              <w:t>Прочие (дополнительные) требования к продукции</w:t>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sz w:val="24"/>
                <w:szCs w:val="24"/>
              </w:rPr>
            </w:pPr>
            <w:r>
              <w:rPr>
                <w:color w:val="000000"/>
                <w:sz w:val="24"/>
                <w:szCs w:val="24"/>
                <w:lang w:val="en-US"/>
              </w:rPr>
              <w:t>6.1</w:t>
            </w:r>
          </w:p>
        </w:tc>
        <w:tc>
          <w:tcPr>
            <w:tcW w:w="9497" w:type="dxa"/>
            <w:gridSpan w:val="5"/>
            <w:tcBorders>
              <w:top w:val="single" w:sz="4" w:space="0" w:color="000000"/>
              <w:left w:val="single" w:sz="4" w:space="0" w:color="000000"/>
              <w:bottom w:val="single" w:sz="4" w:space="0" w:color="000000"/>
            </w:tcBorders>
            <w:shd w:color="auto" w:fill="FFFFFF" w:val="clear"/>
          </w:tcPr>
          <w:p>
            <w:pPr>
              <w:pStyle w:val="Normal"/>
              <w:widowControl w:val="false"/>
              <w:jc w:val="both"/>
              <w:rPr>
                <w:rFonts w:eastAsia="Calibri"/>
                <w:iCs/>
                <w:color w:val="000000"/>
                <w:sz w:val="24"/>
                <w:szCs w:val="24"/>
                <w:lang w:eastAsia="en-US"/>
              </w:rPr>
            </w:pPr>
            <w:r>
              <w:rPr>
                <w:rFonts w:eastAsia="Calibri"/>
                <w:iCs/>
                <w:color w:val="000000"/>
                <w:sz w:val="24"/>
                <w:szCs w:val="24"/>
                <w:lang w:eastAsia="en-US"/>
              </w:rPr>
              <w:t>Продукция должна быть новой, ранее не использовавшейся, не бывшего употребления, пригодным для использования по своему назначению.</w:t>
            </w:r>
          </w:p>
          <w:p>
            <w:pPr>
              <w:pStyle w:val="Normal"/>
              <w:widowControl w:val="false"/>
              <w:jc w:val="both"/>
              <w:rPr>
                <w:rFonts w:eastAsia="Calibri"/>
                <w:iCs/>
                <w:color w:val="000000"/>
                <w:sz w:val="24"/>
                <w:szCs w:val="24"/>
                <w:lang w:eastAsia="en-US"/>
              </w:rPr>
            </w:pPr>
            <w:r>
              <w:rPr>
                <w:rFonts w:eastAsia="Calibri"/>
                <w:iCs/>
                <w:color w:val="000000"/>
                <w:sz w:val="24"/>
                <w:szCs w:val="24"/>
                <w:lang w:eastAsia="en-US"/>
              </w:rPr>
              <w:t>По</w:t>
            </w:r>
            <w:r>
              <w:rPr>
                <w:rFonts w:eastAsia="Calibri"/>
                <w:iCs/>
                <w:color w:val="000000"/>
                <w:sz w:val="24"/>
                <w:szCs w:val="24"/>
                <w:lang w:val="en-US" w:eastAsia="en-US"/>
              </w:rPr>
              <w:t>c</w:t>
            </w:r>
            <w:r>
              <w:rPr>
                <w:rFonts w:eastAsia="Calibri"/>
                <w:iCs/>
                <w:color w:val="000000"/>
                <w:sz w:val="24"/>
                <w:szCs w:val="24"/>
                <w:lang w:eastAsia="en-US"/>
              </w:rPr>
              <w:t>тавщик гарантирует, продукция принадлежит ему на законном основании, в споре, залоге или под арестом не состоит, и не обременен правами третьих лиц.</w:t>
            </w:r>
          </w:p>
          <w:p>
            <w:pPr>
              <w:pStyle w:val="Normal"/>
              <w:widowControl w:val="false"/>
              <w:jc w:val="both"/>
              <w:rPr>
                <w:rFonts w:eastAsia="Calibri"/>
                <w:iCs/>
                <w:color w:val="000000"/>
                <w:sz w:val="24"/>
                <w:szCs w:val="24"/>
                <w:lang w:eastAsia="en-US"/>
              </w:rPr>
            </w:pPr>
            <w:r>
              <w:rPr>
                <w:rFonts w:eastAsia="Calibri"/>
                <w:iCs/>
                <w:color w:val="000000"/>
                <w:sz w:val="24"/>
                <w:szCs w:val="24"/>
                <w:lang w:eastAsia="en-US"/>
              </w:rPr>
              <w:t>Продукция должна отгружаться Поставщиком в таре и упаковке, обеспечивающих полную сохранность продукции от всякого рода повреждений и порчи с учетом возможных перегрузок, и длительного хранения.</w:t>
            </w:r>
          </w:p>
          <w:p>
            <w:pPr>
              <w:pStyle w:val="ListParagraph"/>
              <w:widowControl w:val="false"/>
              <w:ind w:left="0" w:hanging="0"/>
              <w:jc w:val="both"/>
              <w:rPr>
                <w:rFonts w:eastAsia="Calibri"/>
                <w:bCs/>
                <w:iCs/>
                <w:color w:val="000000"/>
                <w:sz w:val="24"/>
                <w:szCs w:val="24"/>
                <w:lang w:eastAsia="en-US"/>
              </w:rPr>
            </w:pPr>
            <w:r>
              <w:rPr>
                <w:rFonts w:eastAsia="Calibri"/>
                <w:bCs/>
                <w:iCs/>
                <w:color w:val="000000"/>
                <w:sz w:val="24"/>
                <w:szCs w:val="24"/>
                <w:lang w:eastAsia="en-US"/>
              </w:rPr>
              <w:t>Способ укладки и транспортировки продукции должен предотвратить его повреждение или порчу во время перевозки и погрузке/разгрузке, а также воздействие осадков во время перевозки и при открытом хранении.</w:t>
            </w:r>
          </w:p>
          <w:p>
            <w:pPr>
              <w:pStyle w:val="ListParagraph"/>
              <w:widowControl w:val="false"/>
              <w:ind w:left="0" w:hanging="0"/>
              <w:jc w:val="both"/>
              <w:rPr>
                <w:rFonts w:eastAsia="Calibri"/>
                <w:bCs/>
                <w:iCs/>
                <w:color w:val="000000"/>
                <w:sz w:val="24"/>
                <w:szCs w:val="24"/>
                <w:lang w:eastAsia="en-US"/>
              </w:rPr>
            </w:pPr>
            <w:r>
              <w:rPr>
                <w:rFonts w:eastAsia="Calibri"/>
                <w:bCs/>
                <w:iCs/>
                <w:color w:val="000000"/>
                <w:sz w:val="24"/>
                <w:szCs w:val="24"/>
                <w:lang w:eastAsia="en-US"/>
              </w:rPr>
              <w:t>Продукция должна соответствовать требованиям указанных стандартов, технических условий, чертежей. Продукция должна соответствовать обязательным требованиям, установленным нормативными документами, действующими в РФ. Продукция обязательно должна быть укомплектована документами, удостоверяющими качество продукции (паспортами, копиями сертификатов/деклараций соответствия) и гарантийные обязательства производителя, выданными производителем продукции, а также документами, выполнение требований которых является условием выполнения гарантийных обязательств производителя.</w:t>
            </w:r>
          </w:p>
        </w:tc>
        <w:tc>
          <w:tcPr>
            <w:tcW w:w="1845"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center"/>
              <w:rPr>
                <w:rFonts w:eastAsia="Calibri"/>
                <w:bCs/>
                <w:iCs/>
                <w:color w:val="000000"/>
                <w:sz w:val="24"/>
                <w:szCs w:val="24"/>
                <w:lang w:eastAsia="en-US"/>
              </w:rPr>
            </w:pPr>
            <w:r>
              <w:rPr>
                <w:rFonts w:eastAsia="Calibri"/>
                <w:bCs/>
                <w:iCs/>
                <w:color w:val="000000"/>
                <w:sz w:val="24"/>
                <w:szCs w:val="24"/>
                <w:lang w:eastAsia="en-US"/>
              </w:rPr>
            </w:r>
          </w:p>
        </w:tc>
        <w:tc>
          <w:tcPr>
            <w:tcW w:w="1699" w:type="dxa"/>
            <w:tcBorders>
              <w:top w:val="single" w:sz="4" w:space="0" w:color="000000"/>
              <w:left w:val="single" w:sz="4" w:space="0" w:color="000000"/>
              <w:bottom w:val="single" w:sz="4" w:space="0" w:color="000000"/>
            </w:tcBorders>
            <w:shd w:color="auto" w:fill="FFFFFF" w:val="clear"/>
          </w:tcPr>
          <w:p>
            <w:pPr>
              <w:pStyle w:val="Normal"/>
              <w:widowControl w:val="false"/>
              <w:jc w:val="center"/>
              <w:rPr>
                <w:rFonts w:eastAsia="Calibri"/>
                <w:bCs/>
                <w:iCs/>
                <w:color w:val="000000"/>
                <w:sz w:val="24"/>
                <w:szCs w:val="24"/>
                <w:lang w:eastAsia="en-US"/>
              </w:rPr>
            </w:pPr>
            <w:r>
              <w:rPr>
                <w:rFonts w:eastAsia="Calibri"/>
                <w:bCs/>
                <w:iCs/>
                <w:color w:val="000000"/>
                <w:sz w:val="24"/>
                <w:szCs w:val="24"/>
                <w:lang w:eastAsia="en-US"/>
              </w:rPr>
            </w:r>
          </w:p>
        </w:tc>
        <w:tc>
          <w:tcPr>
            <w:tcW w:w="2124" w:type="dxa"/>
            <w:gridSpan w:val="4"/>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eastAsia="Calibri"/>
                <w:iCs/>
                <w:color w:val="000000"/>
                <w:sz w:val="24"/>
                <w:szCs w:val="24"/>
                <w:lang w:eastAsia="en-US"/>
              </w:rPr>
            </w:pPr>
            <w:r>
              <w:rPr>
                <w:rFonts w:eastAsia="Calibri"/>
                <w:iCs/>
                <w:color w:val="000000"/>
                <w:sz w:val="24"/>
                <w:szCs w:val="24"/>
                <w:lang w:eastAsia="en-US"/>
              </w:rPr>
            </w:r>
          </w:p>
        </w:tc>
      </w:tr>
    </w:tbl>
    <w:p>
      <w:pPr>
        <w:pStyle w:val="Normal"/>
        <w:jc w:val="both"/>
        <w:rPr>
          <w:rFonts w:eastAsia="Calibri"/>
          <w:bCs/>
          <w:sz w:val="24"/>
          <w:szCs w:val="24"/>
          <w:lang w:eastAsia="x-none"/>
        </w:rPr>
      </w:pPr>
      <w:r>
        <w:rPr>
          <w:rFonts w:eastAsia="Calibri"/>
          <w:bCs/>
          <w:sz w:val="24"/>
          <w:szCs w:val="24"/>
          <w:lang w:eastAsia="x-none"/>
        </w:rPr>
      </w:r>
    </w:p>
    <w:p>
      <w:pPr>
        <w:pStyle w:val="Heading1"/>
        <w:numPr>
          <w:ilvl w:val="0"/>
          <w:numId w:val="0"/>
        </w:numPr>
        <w:ind w:left="1080" w:hanging="0"/>
        <w:jc w:val="center"/>
        <w:rPr>
          <w:sz w:val="24"/>
          <w:szCs w:val="24"/>
        </w:rPr>
      </w:pPr>
      <w:bookmarkStart w:id="26" w:name="_Toc205981921"/>
      <w:r>
        <w:rPr>
          <w:color w:val="000000"/>
          <w:sz w:val="24"/>
          <w:szCs w:val="24"/>
        </w:rPr>
        <w:t>3. Требования к документации по ценообразованию на этапе закупки</w:t>
      </w:r>
      <w:bookmarkEnd w:id="26"/>
    </w:p>
    <w:p>
      <w:pPr>
        <w:pStyle w:val="ListParagraph"/>
        <w:ind w:left="720" w:hanging="0"/>
        <w:jc w:val="both"/>
        <w:rPr>
          <w:color w:val="000000"/>
          <w:sz w:val="24"/>
          <w:szCs w:val="24"/>
          <w:lang w:eastAsia="x-none"/>
        </w:rPr>
      </w:pPr>
      <w:r>
        <w:rPr>
          <w:color w:val="000000"/>
          <w:sz w:val="24"/>
          <w:szCs w:val="24"/>
          <w:lang w:eastAsia="x-none"/>
        </w:rPr>
        <w:t xml:space="preserve">3.1. В обоснование стоимости своей заявки Участник предоставляет Коммерческое предложение по форме </w:t>
      </w:r>
      <w:bookmarkStart w:id="27" w:name="_Hlk88325985"/>
      <w:r>
        <w:rPr>
          <w:color w:val="000000"/>
          <w:sz w:val="24"/>
          <w:szCs w:val="24"/>
          <w:lang w:eastAsia="x-none"/>
        </w:rPr>
        <w:t>(с учетом прилагаемой к ней инструкции по заполнению)</w:t>
      </w:r>
      <w:bookmarkEnd w:id="27"/>
      <w:r>
        <w:rPr>
          <w:color w:val="000000"/>
          <w:sz w:val="24"/>
          <w:szCs w:val="24"/>
          <w:lang w:eastAsia="x-none"/>
        </w:rPr>
        <w:t>, приведенной в Документации о закупке.</w:t>
      </w:r>
    </w:p>
    <w:p>
      <w:pPr>
        <w:pStyle w:val="ListParagraph"/>
        <w:ind w:left="720" w:hanging="0"/>
        <w:jc w:val="both"/>
        <w:rPr>
          <w:color w:val="000000"/>
          <w:sz w:val="24"/>
          <w:szCs w:val="24"/>
          <w:lang w:eastAsia="x-none"/>
        </w:rPr>
      </w:pPr>
      <w:r>
        <w:rPr>
          <w:color w:val="000000"/>
          <w:sz w:val="24"/>
          <w:szCs w:val="24"/>
          <w:lang w:eastAsia="x-none"/>
        </w:rPr>
        <w:t xml:space="preserve">3.2. </w:t>
      </w:r>
      <w:bookmarkStart w:id="28" w:name="_Hlk88327292"/>
      <w:r>
        <w:rPr>
          <w:color w:val="000000"/>
          <w:sz w:val="24"/>
          <w:szCs w:val="24"/>
          <w:lang w:eastAsia="x-none"/>
        </w:rPr>
        <w:t>Дополнительные документы по ценообразованию</w:t>
      </w:r>
      <w:bookmarkEnd w:id="28"/>
      <w:r>
        <w:rPr>
          <w:color w:val="000000"/>
          <w:sz w:val="24"/>
          <w:szCs w:val="24"/>
          <w:lang w:eastAsia="x-none"/>
        </w:rPr>
        <w:t xml:space="preserve"> в состав заявки не включаются.</w:t>
      </w:r>
    </w:p>
    <w:p>
      <w:pPr>
        <w:pStyle w:val="ListParagraph"/>
        <w:ind w:left="720" w:hanging="0"/>
        <w:jc w:val="both"/>
        <w:rPr>
          <w:color w:val="000000"/>
          <w:sz w:val="24"/>
          <w:szCs w:val="24"/>
          <w:lang w:eastAsia="x-none"/>
        </w:rPr>
      </w:pPr>
      <w:r>
        <w:rPr>
          <w:color w:val="000000"/>
          <w:sz w:val="24"/>
          <w:szCs w:val="24"/>
          <w:lang w:eastAsia="x-none"/>
        </w:rPr>
      </w:r>
    </w:p>
    <w:p>
      <w:pPr>
        <w:pStyle w:val="Normal"/>
        <w:suppressAutoHyphens w:val="false"/>
        <w:overflowPunct w:val="true"/>
        <w:rPr>
          <w:color w:val="000000"/>
          <w:sz w:val="24"/>
          <w:szCs w:val="24"/>
        </w:rPr>
      </w:pPr>
      <w:r>
        <w:rPr>
          <w:color w:val="000000"/>
          <w:sz w:val="24"/>
          <w:szCs w:val="24"/>
        </w:rPr>
      </w:r>
    </w:p>
    <w:p>
      <w:pPr>
        <w:pStyle w:val="Normal"/>
        <w:suppressAutoHyphens w:val="false"/>
        <w:overflowPunct w:val="true"/>
        <w:rPr>
          <w:color w:val="000000"/>
          <w:sz w:val="24"/>
          <w:szCs w:val="24"/>
        </w:rPr>
      </w:pPr>
      <w:r>
        <w:rPr>
          <w:color w:val="000000"/>
          <w:sz w:val="24"/>
          <w:szCs w:val="24"/>
        </w:rPr>
      </w:r>
    </w:p>
    <w:p>
      <w:pPr>
        <w:pStyle w:val="ListParagraph"/>
        <w:ind w:left="720" w:hanging="0"/>
        <w:jc w:val="both"/>
        <w:rPr>
          <w:color w:val="000000"/>
          <w:sz w:val="24"/>
          <w:szCs w:val="24"/>
          <w:lang w:eastAsia="x-none"/>
        </w:rPr>
      </w:pPr>
      <w:r>
        <w:rPr/>
      </w:r>
    </w:p>
    <w:sectPr>
      <w:headerReference w:type="default" r:id="rId8"/>
      <w:headerReference w:type="first" r:id="rId9"/>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1"/>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4"/>
        <w:sz w:val="24"/>
        <w:spacing w:val="0"/>
        <w:i w:val="false"/>
        <w:u w:val="none"/>
        <w:b/>
        <w:kern w:val="0"/>
        <w:effect w:val="none"/>
        <w:szCs w:val="28"/>
        <w:iCs w:val="false"/>
        <w:bCs w:val="false"/>
        <w:em w:val="none"/>
        <w:vanish w:val="false"/>
        <w:rFonts w:ascii="Times New Roman" w:hAnsi="Times New Roman" w:cs="Times New Roman"/>
        <w:color w:val="000000"/>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6"/>
      <w:lvlJc w:val="left"/>
      <w:pPr>
        <w:tabs>
          <w:tab w:val="num" w:pos="0"/>
        </w:tabs>
        <w:ind w:left="1134" w:hanging="0"/>
      </w:pPr>
      <w:rPr/>
    </w:lvl>
    <w:lvl w:ilvl="6">
      <w:start w:val="1"/>
      <w:numFmt w:val="none"/>
      <w:suff w:val="nothing"/>
      <w:lvlText w:val="%7"/>
      <w:lvlJc w:val="left"/>
      <w:pPr>
        <w:tabs>
          <w:tab w:val="num" w:pos="0"/>
        </w:tabs>
        <w:ind w:left="1701"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7">
    <w:lvl w:ilvl="0">
      <w:start w:val="3"/>
      <w:numFmt w:val="decimal"/>
      <w:lvlText w:val="%1."/>
      <w:lvlJc w:val="left"/>
      <w:pPr>
        <w:tabs>
          <w:tab w:val="num" w:pos="0"/>
        </w:tabs>
        <w:ind w:left="550" w:hanging="262"/>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
    <w:qFormat/>
    <w:pPr>
      <w:numPr>
        <w:ilvl w:val="0"/>
      </w:numPr>
      <w:outlineLvl w:val="0"/>
    </w:pPr>
    <w:rPr>
      <w:sz w:val="28"/>
      <w:szCs w:val="28"/>
    </w:rPr>
  </w:style>
  <w:style w:type="paragraph" w:styleId="Heading2">
    <w:name w:val="Heading 2"/>
    <w:basedOn w:val="Heading4"/>
    <w:next w:val="Normal"/>
    <w:link w:val="2"/>
    <w:qFormat/>
    <w:pPr>
      <w:outlineLvl w:val="1"/>
    </w:pPr>
    <w:rPr/>
  </w:style>
  <w:style w:type="paragraph" w:styleId="Heading3">
    <w:name w:val="Heading 3"/>
    <w:basedOn w:val="Normal"/>
    <w:next w:val="Normal"/>
    <w:link w:val="3"/>
    <w:autoRedefine/>
    <w:qFormat/>
    <w:pPr>
      <w:keepNext w:val="true"/>
      <w:numPr>
        <w:ilvl w:val="2"/>
        <w:numId w:val="3"/>
      </w:numPr>
      <w:spacing w:before="120" w:after="60"/>
      <w:outlineLvl w:val="2"/>
    </w:pPr>
    <w:rPr>
      <w:rFonts w:eastAsia="Calibri"/>
      <w:b/>
      <w:sz w:val="24"/>
      <w:szCs w:val="24"/>
      <w:lang w:val="x-none" w:eastAsia="x-none"/>
    </w:rPr>
  </w:style>
  <w:style w:type="paragraph" w:styleId="Heading4">
    <w:name w:val="Heading 4"/>
    <w:basedOn w:val="Heading3"/>
    <w:next w:val="Normal"/>
    <w:link w:val="4"/>
    <w:qFormat/>
    <w:pPr>
      <w:numPr>
        <w:ilvl w:val="0"/>
        <w:numId w:val="0"/>
      </w:numPr>
      <w:tabs>
        <w:tab w:val="clear" w:pos="708"/>
        <w:tab w:val="left" w:pos="0" w:leader="none"/>
      </w:tabs>
      <w:ind w:left="432" w:hanging="432"/>
      <w:outlineLvl w:val="3"/>
    </w:pPr>
    <w:rPr>
      <w:bCs/>
    </w:rPr>
  </w:style>
  <w:style w:type="paragraph" w:styleId="Heading5">
    <w:name w:val="Heading 5"/>
    <w:basedOn w:val="Normal"/>
    <w:next w:val="Normal"/>
    <w:link w:val="5"/>
    <w:qFormat/>
    <w:pPr>
      <w:spacing w:before="240" w:after="60"/>
      <w:outlineLvl w:val="4"/>
    </w:pPr>
    <w:rPr>
      <w:b/>
      <w:bCs/>
      <w:i/>
      <w:iCs/>
      <w:sz w:val="26"/>
      <w:szCs w:val="26"/>
      <w:lang w:val="x-none" w:eastAsia="x-none"/>
    </w:rPr>
  </w:style>
  <w:style w:type="paragraph" w:styleId="Heading6">
    <w:name w:val="Heading 6"/>
    <w:basedOn w:val="Normal"/>
    <w:next w:val="Normal"/>
    <w:link w:val="6"/>
    <w:qFormat/>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qFormat/>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qFormat/>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qFormat/>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Pr>
      <w:vertAlign w:val="superscript"/>
    </w:rPr>
  </w:style>
  <w:style w:type="character" w:styleId="FootnoteReference">
    <w:name w:val="Footnote Reference"/>
    <w:rPr>
      <w:vertAlign w:val="superscript"/>
    </w:rPr>
  </w:style>
  <w:style w:type="character" w:styleId="Pagenumber">
    <w:name w:val="page number"/>
    <w:basedOn w:val="DefaultParagraphFont"/>
    <w:qFormat/>
    <w:rPr/>
  </w:style>
  <w:style w:type="character" w:styleId="Hyperlink">
    <w:name w:val="Hyperlink"/>
    <w:uiPriority w:val="99"/>
    <w:rPr>
      <w:color w:val="0000FF"/>
      <w:u w:val="single"/>
    </w:rPr>
  </w:style>
  <w:style w:type="character" w:styleId="Annotationreference">
    <w:name w:val="annotation reference"/>
    <w:qFormat/>
    <w:rPr>
      <w:sz w:val="16"/>
      <w:szCs w:val="16"/>
    </w:rPr>
  </w:style>
  <w:style w:type="character" w:styleId="Strong">
    <w:name w:val="Strong"/>
    <w:uiPriority w:val="22"/>
    <w:qFormat/>
    <w:rPr>
      <w:b/>
      <w:bCs/>
    </w:rPr>
  </w:style>
  <w:style w:type="character" w:styleId="6" w:customStyle="1">
    <w:name w:val="Заголовок 6 Знак"/>
    <w:qFormat/>
    <w:rPr>
      <w:rFonts w:ascii="Cambria" w:hAnsi="Cambria"/>
      <w:i/>
      <w:iCs/>
      <w:color w:val="243F60"/>
      <w:lang w:val="x-none" w:eastAsia="x-none"/>
    </w:rPr>
  </w:style>
  <w:style w:type="character" w:styleId="7" w:customStyle="1">
    <w:name w:val="Заголовок 7 Знак"/>
    <w:qFormat/>
    <w:rPr>
      <w:rFonts w:ascii="Cambria" w:hAnsi="Cambria"/>
      <w:i/>
      <w:iCs/>
      <w:color w:val="404040"/>
      <w:lang w:val="x-none" w:eastAsia="x-none"/>
    </w:rPr>
  </w:style>
  <w:style w:type="character" w:styleId="8" w:customStyle="1">
    <w:name w:val="Заголовок 8 Знак"/>
    <w:qFormat/>
    <w:rPr>
      <w:rFonts w:ascii="Cambria" w:hAnsi="Cambria"/>
      <w:color w:val="4F81BD"/>
      <w:lang w:val="x-none" w:eastAsia="x-none"/>
    </w:rPr>
  </w:style>
  <w:style w:type="character" w:styleId="1" w:customStyle="1">
    <w:name w:val="Заголовок 1 Знак"/>
    <w:qFormat/>
    <w:rPr>
      <w:rFonts w:eastAsia="Calibri"/>
      <w:b/>
      <w:sz w:val="28"/>
      <w:szCs w:val="28"/>
      <w:lang w:val="x-none" w:eastAsia="x-none"/>
    </w:rPr>
  </w:style>
  <w:style w:type="character" w:styleId="2" w:customStyle="1">
    <w:name w:val="Заголовок 2 Знак"/>
    <w:qFormat/>
    <w:rPr>
      <w:rFonts w:eastAsia="Calibri"/>
      <w:b/>
      <w:bCs/>
      <w:sz w:val="24"/>
      <w:szCs w:val="24"/>
      <w:lang w:val="x-none" w:eastAsia="x-none"/>
    </w:rPr>
  </w:style>
  <w:style w:type="character" w:styleId="3" w:customStyle="1">
    <w:name w:val="Заголовок 3 Знак"/>
    <w:qFormat/>
    <w:rPr>
      <w:rFonts w:eastAsia="Calibri"/>
      <w:b/>
      <w:sz w:val="24"/>
      <w:szCs w:val="24"/>
      <w:lang w:val="x-none" w:eastAsia="x-none"/>
    </w:rPr>
  </w:style>
  <w:style w:type="character" w:styleId="4" w:customStyle="1">
    <w:name w:val="Заголовок 4 Знак"/>
    <w:qFormat/>
    <w:rPr>
      <w:rFonts w:eastAsia="Calibri"/>
      <w:b/>
      <w:bCs/>
      <w:sz w:val="24"/>
      <w:szCs w:val="24"/>
      <w:lang w:val="x-none" w:eastAsia="x-none"/>
    </w:rPr>
  </w:style>
  <w:style w:type="character" w:styleId="5" w:customStyle="1">
    <w:name w:val="Заголовок 5 Знак"/>
    <w:qFormat/>
    <w:rPr>
      <w:b/>
      <w:bCs/>
      <w:i/>
      <w:iCs/>
      <w:sz w:val="26"/>
      <w:szCs w:val="26"/>
    </w:rPr>
  </w:style>
  <w:style w:type="character" w:styleId="9" w:customStyle="1">
    <w:name w:val="Заголовок 9 Знак"/>
    <w:qFormat/>
    <w:rPr>
      <w:rFonts w:ascii="Arial" w:hAnsi="Arial" w:cs="Arial"/>
      <w:sz w:val="22"/>
      <w:szCs w:val="22"/>
    </w:rPr>
  </w:style>
  <w:style w:type="character" w:styleId="Style1" w:customStyle="1">
    <w:name w:val="Название Знак"/>
    <w:link w:val="15"/>
    <w:qFormat/>
    <w:rPr>
      <w:sz w:val="28"/>
    </w:rPr>
  </w:style>
  <w:style w:type="character" w:styleId="Style2" w:customStyle="1">
    <w:name w:val="Подзаголовок Знак"/>
    <w:qFormat/>
    <w:rPr>
      <w:rFonts w:ascii="Cambria" w:hAnsi="Cambria"/>
      <w:i/>
      <w:iCs/>
      <w:color w:val="4F81BD"/>
      <w:spacing w:val="15"/>
      <w:sz w:val="24"/>
      <w:szCs w:val="24"/>
      <w:lang w:val="x-none" w:eastAsia="x-none"/>
    </w:rPr>
  </w:style>
  <w:style w:type="character" w:styleId="Emphasis">
    <w:name w:val="Emphasis"/>
    <w:qFormat/>
    <w:rPr>
      <w:i/>
      <w:iCs/>
    </w:rPr>
  </w:style>
  <w:style w:type="character" w:styleId="21" w:customStyle="1">
    <w:name w:val="Цитата 2 Знак"/>
    <w:link w:val="Quote"/>
    <w:qFormat/>
    <w:rPr>
      <w:rFonts w:ascii="Calibri" w:hAnsi="Calibri" w:eastAsia="Calibri"/>
      <w:i/>
      <w:iCs/>
      <w:color w:val="000000"/>
      <w:lang w:val="x-none" w:eastAsia="x-none"/>
    </w:rPr>
  </w:style>
  <w:style w:type="character" w:styleId="Style3" w:customStyle="1">
    <w:name w:val="Выделенная цитата Знак"/>
    <w:link w:val="IntenseQuote"/>
    <w:qFormat/>
    <w:rPr>
      <w:rFonts w:ascii="Calibri" w:hAnsi="Calibri" w:eastAsia="Calibri"/>
      <w:b/>
      <w:bCs/>
      <w:i/>
      <w:iCs/>
      <w:color w:val="4F81BD"/>
      <w:lang w:val="x-none" w:eastAsia="x-none"/>
    </w:rPr>
  </w:style>
  <w:style w:type="character" w:styleId="SubtleEmphasis">
    <w:name w:val="Subtle Emphasis"/>
    <w:qFormat/>
    <w:rPr>
      <w:i/>
      <w:iCs/>
      <w:color w:val="808080"/>
    </w:rPr>
  </w:style>
  <w:style w:type="character" w:styleId="IntenseEmphasis">
    <w:name w:val="Intense Emphasis"/>
    <w:qFormat/>
    <w:rPr>
      <w:b/>
      <w:bCs/>
      <w:i/>
      <w:iCs/>
      <w:color w:val="4F81BD"/>
    </w:rPr>
  </w:style>
  <w:style w:type="character" w:styleId="SubtleReference">
    <w:name w:val="Subtle Reference"/>
    <w:qFormat/>
    <w:rPr>
      <w:smallCaps/>
      <w:color w:val="C0504D"/>
      <w:u w:val="single"/>
    </w:rPr>
  </w:style>
  <w:style w:type="character" w:styleId="IntenseReference">
    <w:name w:val="Intense Reference"/>
    <w:qFormat/>
    <w:rPr>
      <w:b/>
      <w:bCs/>
      <w:smallCaps/>
      <w:color w:val="C0504D"/>
      <w:spacing w:val="5"/>
      <w:u w:val="single"/>
    </w:rPr>
  </w:style>
  <w:style w:type="character" w:styleId="BookTitle">
    <w:name w:val="Book Title"/>
    <w:qFormat/>
    <w:rPr>
      <w:b/>
      <w:bCs/>
      <w:smallCaps/>
      <w:spacing w:val="5"/>
    </w:rPr>
  </w:style>
  <w:style w:type="character" w:styleId="Style4" w:customStyle="1">
    <w:name w:val="Электронная подпись Знак"/>
    <w:link w:val="E-mailSignature"/>
    <w:qFormat/>
    <w:rPr>
      <w:rFonts w:eastAsia="Calibri"/>
      <w:sz w:val="24"/>
      <w:szCs w:val="24"/>
    </w:rPr>
  </w:style>
  <w:style w:type="character" w:styleId="11" w:customStyle="1">
    <w:name w:val="Подпункт Знак1"/>
    <w:link w:val="Style21"/>
    <w:qFormat/>
    <w:rPr>
      <w:sz w:val="28"/>
    </w:rPr>
  </w:style>
  <w:style w:type="character" w:styleId="Style5" w:customStyle="1">
    <w:name w:val="Текст сноски Знак"/>
    <w:qFormat/>
    <w:rPr/>
  </w:style>
  <w:style w:type="character" w:styleId="Style6" w:customStyle="1">
    <w:name w:val="Основной текст Знак"/>
    <w:qFormat/>
    <w:rPr>
      <w:sz w:val="28"/>
      <w:szCs w:val="28"/>
    </w:rPr>
  </w:style>
  <w:style w:type="character" w:styleId="Blk" w:customStyle="1">
    <w:name w:val="blk"/>
    <w:qFormat/>
    <w:rPr/>
  </w:style>
  <w:style w:type="character" w:styleId="Style7" w:customStyle="1">
    <w:name w:val="Абзац списка Знак"/>
    <w:link w:val="ListParagraph"/>
    <w:qFormat/>
    <w:rPr>
      <w:rFonts w:eastAsia="Calibri"/>
      <w:sz w:val="24"/>
      <w:szCs w:val="24"/>
    </w:rPr>
  </w:style>
  <w:style w:type="character" w:styleId="Style8" w:customStyle="1">
    <w:name w:val="комментарий"/>
    <w:qFormat/>
    <w:rPr>
      <w:b/>
      <w:i/>
      <w:shd w:fill="FFFF99" w:val="clear"/>
    </w:rPr>
  </w:style>
  <w:style w:type="character" w:styleId="Style9" w:customStyle="1">
    <w:name w:val="Подподпункт Знак"/>
    <w:link w:val="Style29"/>
    <w:qFormat/>
    <w:rPr>
      <w:sz w:val="26"/>
      <w:szCs w:val="26"/>
    </w:rPr>
  </w:style>
  <w:style w:type="character" w:styleId="31" w:customStyle="1">
    <w:name w:val="УРОВЕНЬ_Абзац_тип3 Знак"/>
    <w:link w:val="36"/>
    <w:qFormat/>
    <w:rPr>
      <w:rFonts w:eastAsia="Calibri"/>
      <w:sz w:val="26"/>
      <w:szCs w:val="28"/>
      <w:lang w:eastAsia="en-US"/>
    </w:rPr>
  </w:style>
  <w:style w:type="character" w:styleId="Style10" w:customStyle="1">
    <w:name w:val="Верхний колонтитул Знак"/>
    <w:qFormat/>
    <w:rPr>
      <w:sz w:val="24"/>
      <w:szCs w:val="24"/>
    </w:rPr>
  </w:style>
  <w:style w:type="character" w:styleId="Style11" w:customStyle="1">
    <w:name w:val="Текст примечания Знак"/>
    <w:link w:val="Annotationtext"/>
    <w:qFormat/>
    <w:rPr/>
  </w:style>
  <w:style w:type="character" w:styleId="Style12" w:customStyle="1">
    <w:name w:val="Текст концевой сноски Знак"/>
    <w:basedOn w:val="DefaultParagraphFont"/>
    <w:qFormat/>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22" w:customStyle="1">
    <w:name w:val="Пункт2 Знак"/>
    <w:link w:val="24"/>
    <w:qFormat/>
    <w:rPr>
      <w:b/>
      <w:sz w:val="28"/>
    </w:rPr>
  </w:style>
  <w:style w:type="character" w:styleId="12" w:customStyle="1">
    <w:name w:val="УРОВЕНЬ_1. Знак"/>
    <w:link w:val="19"/>
    <w:qFormat/>
    <w:rPr>
      <w:rFonts w:eastAsia="Calibri"/>
      <w:caps/>
      <w:sz w:val="28"/>
      <w:szCs w:val="28"/>
      <w:lang w:eastAsia="en-US"/>
    </w:rPr>
  </w:style>
  <w:style w:type="character" w:styleId="13" w:customStyle="1">
    <w:name w:val="Неразрешенное упоминание1"/>
    <w:basedOn w:val="DefaultParagraphFont"/>
    <w:qFormat/>
    <w:rPr>
      <w:color w:val="605E5C"/>
      <w:shd w:fill="E1DFDD" w:val="clear"/>
    </w:rPr>
  </w:style>
  <w:style w:type="character" w:styleId="32" w:customStyle="1">
    <w:name w:val="Основной текст с отступом 3 Знак"/>
    <w:link w:val="BodyTextIndent3"/>
    <w:qFormat/>
    <w:rPr>
      <w:sz w:val="16"/>
      <w:szCs w:val="16"/>
    </w:rPr>
  </w:style>
  <w:style w:type="character" w:styleId="Style14" w:customStyle="1">
    <w:name w:val="Ссылка указателя"/>
    <w:qFormat/>
    <w:rPr/>
  </w:style>
  <w:style w:type="character" w:styleId="Vi-textxw0rd193" w:customStyle="1">
    <w:name w:val="_vi-text_xw0rd_193"/>
    <w:basedOn w:val="DefaultParagraphFont"/>
    <w:qFormat/>
    <w:rsid w:val="002a6df0"/>
    <w:rPr/>
  </w:style>
  <w:style w:type="paragraph" w:styleId="Style15">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6"/>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Style17" w:customStyle="1">
    <w:name w:val="Название раздела инструкции"/>
    <w:basedOn w:val="Normal"/>
    <w:autoRedefine/>
    <w:qFormat/>
    <w:pPr>
      <w:jc w:val="center"/>
    </w:pPr>
    <w:rPr>
      <w:b/>
    </w:rPr>
  </w:style>
  <w:style w:type="paragraph" w:styleId="Style18" w:customStyle="1">
    <w:name w:val="Раздел положения"/>
    <w:basedOn w:val="Normal"/>
    <w:autoRedefine/>
    <w:qFormat/>
    <w:pPr>
      <w:numPr>
        <w:ilvl w:val="0"/>
        <w:numId w:val="1"/>
      </w:numPr>
      <w:spacing w:before="80" w:after="80"/>
      <w:jc w:val="center"/>
    </w:pPr>
    <w:rPr>
      <w:b/>
      <w:sz w:val="32"/>
      <w:szCs w:val="32"/>
    </w:rPr>
  </w:style>
  <w:style w:type="paragraph" w:styleId="Style19" w:customStyle="1">
    <w:name w:val="Подраздел раздела положения"/>
    <w:basedOn w:val="Normal"/>
    <w:autoRedefine/>
    <w:qFormat/>
    <w:pPr>
      <w:numPr>
        <w:ilvl w:val="1"/>
        <w:numId w:val="1"/>
      </w:numPr>
      <w:spacing w:before="80" w:after="80"/>
      <w:jc w:val="both"/>
    </w:pPr>
    <w:rPr/>
  </w:style>
  <w:style w:type="paragraph" w:styleId="FootnoteText">
    <w:name w:val="Footnote Text"/>
    <w:basedOn w:val="Normal"/>
    <w:link w:val="Style5"/>
    <w:pPr/>
    <w:rPr>
      <w:sz w:val="20"/>
      <w:szCs w:val="20"/>
    </w:rPr>
  </w:style>
  <w:style w:type="paragraph" w:styleId="14" w:customStyle="1">
    <w:name w:val="Шапка 1"/>
    <w:basedOn w:val="Normal"/>
    <w:qFormat/>
    <w:pPr>
      <w:pBdr>
        <w:bottom w:val="thickThinSmallGap" w:sz="24" w:space="1" w:color="000000"/>
      </w:pBdr>
      <w:spacing w:before="0" w:after="240"/>
      <w:jc w:val="center"/>
    </w:pPr>
    <w:rPr>
      <w:sz w:val="22"/>
      <w:szCs w:val="22"/>
    </w:rPr>
  </w:style>
  <w:style w:type="paragraph" w:styleId="23" w:customStyle="1">
    <w:name w:val="Шапка 2"/>
    <w:basedOn w:val="Normal"/>
    <w:qFormat/>
    <w:pPr>
      <w:pBdr>
        <w:bottom w:val="thickThinSmallGap" w:sz="24" w:space="1" w:color="000000"/>
      </w:pBdr>
      <w:spacing w:before="0" w:after="120"/>
      <w:jc w:val="center"/>
    </w:pPr>
    <w:rPr>
      <w:b/>
      <w:sz w:val="22"/>
      <w:szCs w:val="22"/>
    </w:rPr>
  </w:style>
  <w:style w:type="paragraph" w:styleId="33" w:customStyle="1">
    <w:name w:val="Шапка 3"/>
    <w:basedOn w:val="Normal"/>
    <w:qFormat/>
    <w:pPr>
      <w:pBdr>
        <w:bottom w:val="thickThinSmallGap" w:sz="24" w:space="1" w:color="000000"/>
      </w:pBdr>
      <w:spacing w:before="240" w:after="360"/>
      <w:jc w:val="center"/>
    </w:pPr>
    <w:rPr>
      <w:b/>
      <w:sz w:val="24"/>
      <w:szCs w:val="24"/>
    </w:rPr>
  </w:style>
  <w:style w:type="paragraph" w:styleId="15" w:customStyle="1">
    <w:name w:val="Название1"/>
    <w:basedOn w:val="Normal"/>
    <w:link w:val="Style1"/>
    <w:qFormat/>
    <w:pPr>
      <w:jc w:val="center"/>
    </w:pPr>
    <w:rPr>
      <w:szCs w:val="20"/>
      <w:lang w:val="x-none" w:eastAsia="x-none"/>
    </w:rPr>
  </w:style>
  <w:style w:type="paragraph" w:styleId="Style20" w:customStyle="1">
    <w:name w:val="Колонтитул"/>
    <w:basedOn w:val="Normal"/>
    <w:qFormat/>
    <w:pPr/>
    <w:rPr/>
  </w:style>
  <w:style w:type="paragraph" w:styleId="Header">
    <w:name w:val="Header"/>
    <w:basedOn w:val="Normal"/>
    <w:link w:val="Style10"/>
    <w:pPr>
      <w:tabs>
        <w:tab w:val="clear" w:pos="708"/>
        <w:tab w:val="center" w:pos="4677" w:leader="none"/>
        <w:tab w:val="right" w:pos="9355" w:leader="none"/>
      </w:tabs>
    </w:pPr>
    <w:rPr>
      <w:sz w:val="24"/>
      <w:szCs w:val="24"/>
    </w:rPr>
  </w:style>
  <w:style w:type="paragraph" w:styleId="BodyTextIndent">
    <w:name w:val="Body Text Indent"/>
    <w:basedOn w:val="Normal"/>
    <w:pPr>
      <w:ind w:left="360" w:hanging="0"/>
    </w:pPr>
    <w:rPr>
      <w:sz w:val="24"/>
      <w:szCs w:val="24"/>
    </w:rPr>
  </w:style>
  <w:style w:type="paragraph" w:styleId="Footer">
    <w:name w:val="Footer"/>
    <w:basedOn w:val="Normal"/>
    <w:pPr>
      <w:tabs>
        <w:tab w:val="clear" w:pos="708"/>
        <w:tab w:val="center" w:pos="4677" w:leader="none"/>
        <w:tab w:val="right" w:pos="9355" w:leader="none"/>
      </w:tabs>
    </w:pPr>
    <w:rPr/>
  </w:style>
  <w:style w:type="paragraph" w:styleId="BodyTextIndent2">
    <w:name w:val="Body Text Indent 2"/>
    <w:basedOn w:val="Normal"/>
    <w:qFormat/>
    <w:pPr>
      <w:spacing w:lineRule="auto" w:line="480" w:before="0" w:after="120"/>
      <w:ind w:left="283" w:hanging="0"/>
    </w:pPr>
    <w:rPr/>
  </w:style>
  <w:style w:type="paragraph" w:styleId="BodyText3">
    <w:name w:val="Body Text 3"/>
    <w:basedOn w:val="Normal"/>
    <w:qFormat/>
    <w:pPr>
      <w:spacing w:before="0" w:after="120"/>
    </w:pPr>
    <w:rPr>
      <w:sz w:val="16"/>
      <w:szCs w:val="16"/>
    </w:rPr>
  </w:style>
  <w:style w:type="paragraph" w:styleId="BodyTextIndent3">
    <w:name w:val="Body Text Indent 3"/>
    <w:basedOn w:val="Normal"/>
    <w:link w:val="32"/>
    <w:qFormat/>
    <w:pPr>
      <w:spacing w:before="0" w:after="120"/>
      <w:ind w:left="283" w:hanging="0"/>
    </w:pPr>
    <w:rPr>
      <w:sz w:val="16"/>
      <w:szCs w:val="16"/>
    </w:rPr>
  </w:style>
  <w:style w:type="paragraph" w:styleId="BodyText2">
    <w:name w:val="Body Text 2"/>
    <w:basedOn w:val="Normal"/>
    <w:qFormat/>
    <w:pPr>
      <w:spacing w:lineRule="auto" w:line="480" w:before="0" w:after="120"/>
    </w:pPr>
    <w:rPr/>
  </w:style>
  <w:style w:type="paragraph" w:styleId="BlockText">
    <w:name w:val="Block Text"/>
    <w:basedOn w:val="Normal"/>
    <w:qFormat/>
    <w:pPr>
      <w:ind w:left="-567" w:right="-766" w:hanging="0"/>
      <w:jc w:val="center"/>
    </w:pPr>
    <w:rPr>
      <w:b/>
      <w:bCs/>
      <w:sz w:val="24"/>
      <w:szCs w:val="20"/>
    </w:rPr>
  </w:style>
  <w:style w:type="paragraph" w:styleId="Style21" w:customStyle="1">
    <w:name w:val="Подпункт"/>
    <w:basedOn w:val="Normal"/>
    <w:link w:val="11"/>
    <w:qFormat/>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pPr>
      <w:keepNext w:val="true"/>
      <w:tabs>
        <w:tab w:val="clear" w:pos="708"/>
        <w:tab w:val="left" w:pos="1134" w:leader="none"/>
      </w:tabs>
      <w:snapToGrid w:val="false"/>
      <w:spacing w:before="240" w:after="120"/>
      <w:ind w:left="1134" w:hanging="1134"/>
      <w:outlineLvl w:val="2"/>
    </w:pPr>
    <w:rPr>
      <w:b/>
      <w:szCs w:val="20"/>
    </w:rPr>
  </w:style>
  <w:style w:type="paragraph" w:styleId="TOC1">
    <w:name w:val="TOC 1"/>
    <w:basedOn w:val="Normal"/>
    <w:next w:val="Normal"/>
    <w:autoRedefine/>
    <w:uiPriority w:val="39"/>
    <w:pPr>
      <w:shd w:val="clear" w:color="auto" w:fill="FFFFFF"/>
      <w:spacing w:before="120" w:after="0"/>
    </w:pPr>
    <w:rPr>
      <w:rFonts w:cs="Calibri Light (Заголовки)"/>
      <w:b/>
      <w:bCs/>
      <w:sz w:val="24"/>
      <w:szCs w:val="24"/>
    </w:rPr>
  </w:style>
  <w:style w:type="paragraph" w:styleId="TOC3">
    <w:name w:val="TOC 3"/>
    <w:basedOn w:val="Normal"/>
    <w:next w:val="Normal"/>
    <w:autoRedefine/>
    <w:uiPriority w:val="39"/>
    <w:pPr>
      <w:ind w:left="280" w:hanging="0"/>
    </w:pPr>
    <w:rPr>
      <w:rFonts w:cs="Calibri"/>
      <w:sz w:val="20"/>
      <w:szCs w:val="20"/>
    </w:rPr>
  </w:style>
  <w:style w:type="paragraph" w:styleId="Style22" w:customStyle="1">
    <w:name w:val="Раздел регламента"/>
    <w:basedOn w:val="Normal"/>
    <w:qFormat/>
    <w:pPr/>
    <w:rPr/>
  </w:style>
  <w:style w:type="paragraph" w:styleId="Style23" w:customStyle="1">
    <w:name w:val="Приложение к регламенту"/>
    <w:basedOn w:val="Normal"/>
    <w:qFormat/>
    <w:pPr>
      <w:jc w:val="right"/>
    </w:pPr>
    <w:rPr/>
  </w:style>
  <w:style w:type="paragraph" w:styleId="TOC2">
    <w:name w:val="TOC 2"/>
    <w:basedOn w:val="Normal"/>
    <w:next w:val="Normal"/>
    <w:autoRedefine/>
    <w:uiPriority w:val="39"/>
    <w:pPr>
      <w:spacing w:before="240" w:after="0"/>
    </w:pPr>
    <w:rPr>
      <w:rFonts w:cs="Calibri"/>
      <w:b/>
      <w:bCs/>
      <w:sz w:val="20"/>
      <w:szCs w:val="20"/>
    </w:rPr>
  </w:style>
  <w:style w:type="paragraph" w:styleId="BalloonText">
    <w:name w:val="Balloon Text"/>
    <w:basedOn w:val="Normal"/>
    <w:qFormat/>
    <w:pPr/>
    <w:rPr>
      <w:rFonts w:ascii="Tahoma" w:hAnsi="Tahoma" w:cs="Tahoma"/>
      <w:sz w:val="16"/>
      <w:szCs w:val="16"/>
    </w:rPr>
  </w:style>
  <w:style w:type="paragraph" w:styleId="Annotationtext">
    <w:name w:val="annotation text"/>
    <w:basedOn w:val="Normal"/>
    <w:link w:val="Style11"/>
    <w:qFormat/>
    <w:pPr/>
    <w:rPr>
      <w:sz w:val="20"/>
      <w:szCs w:val="20"/>
    </w:rPr>
  </w:style>
  <w:style w:type="paragraph" w:styleId="Annotationsubject">
    <w:name w:val="annotation subject"/>
    <w:basedOn w:val="Annotationtext"/>
    <w:next w:val="Annotationtext"/>
    <w:qFormat/>
    <w:pPr/>
    <w:rPr>
      <w:b/>
      <w:bCs/>
    </w:rPr>
  </w:style>
  <w:style w:type="paragraph" w:styleId="16" w:customStyle="1">
    <w:name w:val="Обычный (веб)1"/>
    <w:basedOn w:val="Normal"/>
    <w:qFormat/>
    <w:pPr>
      <w:spacing w:before="280" w:after="280"/>
    </w:pPr>
    <w:rPr>
      <w:rFonts w:ascii="Arial Unicode MS" w:hAnsi="Arial Unicode MS" w:eastAsia="Arial Unicode MS" w:cs="Arial Unicode MS"/>
      <w:sz w:val="24"/>
      <w:szCs w:val="24"/>
    </w:rPr>
  </w:style>
  <w:style w:type="paragraph" w:styleId="TOC9">
    <w:name w:val="TOC 9"/>
    <w:basedOn w:val="Normal"/>
    <w:next w:val="Normal"/>
    <w:autoRedefine/>
    <w:pPr>
      <w:ind w:left="1960" w:hanging="0"/>
    </w:pPr>
    <w:rPr>
      <w:rFonts w:ascii="Calibri" w:hAnsi="Calibri" w:cs="Calibri"/>
      <w:sz w:val="20"/>
      <w:szCs w:val="20"/>
    </w:rPr>
  </w:style>
  <w:style w:type="paragraph" w:styleId="TOC5">
    <w:name w:val="TOC 5"/>
    <w:basedOn w:val="Normal"/>
    <w:next w:val="Normal"/>
    <w:autoRedefine/>
    <w:pPr>
      <w:ind w:left="840" w:hanging="0"/>
    </w:pPr>
    <w:rPr>
      <w:rFonts w:ascii="Calibri" w:hAnsi="Calibri" w:cs="Calibri"/>
      <w:sz w:val="20"/>
      <w:szCs w:val="20"/>
    </w:rPr>
  </w:style>
  <w:style w:type="paragraph" w:styleId="TOC4">
    <w:name w:val="TOC 4"/>
    <w:basedOn w:val="Normal"/>
    <w:next w:val="Normal"/>
    <w:autoRedefine/>
    <w:uiPriority w:val="39"/>
    <w:pPr>
      <w:ind w:left="560" w:hanging="0"/>
    </w:pPr>
    <w:rPr>
      <w:rFonts w:cs="Calibri"/>
      <w:sz w:val="20"/>
      <w:szCs w:val="20"/>
    </w:rPr>
  </w:style>
  <w:style w:type="paragraph" w:styleId="25" w:customStyle="1">
    <w:name w:val="Раздел положения 2"/>
    <w:basedOn w:val="Normal"/>
    <w:qFormat/>
    <w:pPr>
      <w:pageBreakBefore/>
      <w:jc w:val="both"/>
      <w:outlineLvl w:val="0"/>
    </w:pPr>
    <w:rPr>
      <w:b/>
    </w:rPr>
  </w:style>
  <w:style w:type="paragraph" w:styleId="Style24" w:customStyle="1">
    <w:name w:val="Знак Знак Знак Знак Знак Знак Знак Знак Знак"/>
    <w:basedOn w:val="Normal"/>
    <w:qFormat/>
    <w:pPr>
      <w:spacing w:lineRule="exact" w:line="240" w:before="0" w:after="160"/>
      <w:jc w:val="both"/>
    </w:pPr>
    <w:rPr>
      <w:rFonts w:ascii="Verdana" w:hAnsi="Verdana" w:cs="Verdana"/>
      <w:sz w:val="22"/>
      <w:szCs w:val="22"/>
      <w:lang w:val="en-US" w:eastAsia="en-US"/>
    </w:rPr>
  </w:style>
  <w:style w:type="paragraph" w:styleId="NoSpacing">
    <w:name w:val="No Spacing"/>
    <w:basedOn w:val="Normal"/>
    <w:qFormat/>
    <w:pPr>
      <w:spacing w:lineRule="auto" w:line="360"/>
    </w:pPr>
    <w:rPr>
      <w:rFonts w:eastAsia="Calibri"/>
      <w:sz w:val="24"/>
      <w:szCs w:val="24"/>
    </w:rPr>
  </w:style>
  <w:style w:type="paragraph" w:styleId="Caption11" w:customStyle="1">
    <w:name w:val="caption11"/>
    <w:basedOn w:val="Normal"/>
    <w:next w:val="Normal"/>
    <w:qFormat/>
    <w:pPr/>
    <w:rPr>
      <w:rFonts w:eastAsia="Calibri"/>
      <w:b/>
      <w:bCs/>
      <w:color w:val="4F81BD"/>
      <w:sz w:val="18"/>
      <w:szCs w:val="18"/>
    </w:rPr>
  </w:style>
  <w:style w:type="paragraph" w:styleId="Subtitle">
    <w:name w:val="Subtitle"/>
    <w:basedOn w:val="Normal"/>
    <w:next w:val="Normal"/>
    <w:link w:val="Style2"/>
    <w:qFormat/>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qFormat/>
    <w:pPr>
      <w:ind w:left="708" w:hanging="0"/>
    </w:pPr>
    <w:rPr/>
  </w:style>
  <w:style w:type="paragraph" w:styleId="Quote">
    <w:name w:val="Quote"/>
    <w:basedOn w:val="Normal"/>
    <w:next w:val="Normal"/>
    <w:link w:val="21"/>
    <w:qFormat/>
    <w:pPr/>
    <w:rPr>
      <w:rFonts w:ascii="Calibri" w:hAnsi="Calibri" w:eastAsia="Calibri"/>
      <w:i/>
      <w:iCs/>
      <w:color w:val="000000"/>
      <w:sz w:val="20"/>
      <w:szCs w:val="20"/>
      <w:lang w:val="x-none" w:eastAsia="x-none"/>
    </w:rPr>
  </w:style>
  <w:style w:type="paragraph" w:styleId="IntenseQuote">
    <w:name w:val="Intense Quote"/>
    <w:basedOn w:val="Normal"/>
    <w:next w:val="Normal"/>
    <w:link w:val="Style3"/>
    <w:qFormat/>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5"/>
    <w:pPr/>
    <w:rPr/>
  </w:style>
  <w:style w:type="paragraph" w:styleId="TOCHeading">
    <w:name w:val="TOC Heading"/>
    <w:basedOn w:val="Heading1"/>
    <w:next w:val="Normal"/>
    <w:qFormat/>
    <w:pPr>
      <w:keepLines/>
      <w:spacing w:before="480" w:after="60"/>
      <w:outlineLvl w:val="9"/>
    </w:pPr>
    <w:rPr>
      <w:rFonts w:ascii="Cambria" w:hAnsi="Cambria"/>
      <w:bCs/>
      <w:color w:val="365F91"/>
    </w:rPr>
  </w:style>
  <w:style w:type="paragraph" w:styleId="E-mailSignature">
    <w:name w:val="E-mail Signature"/>
    <w:basedOn w:val="Normal"/>
    <w:link w:val="Style4"/>
    <w:qFormat/>
    <w:pPr/>
    <w:rPr>
      <w:rFonts w:eastAsia="Calibri"/>
      <w:sz w:val="24"/>
      <w:szCs w:val="24"/>
      <w:lang w:val="x-none" w:eastAsia="x-none"/>
    </w:rPr>
  </w:style>
  <w:style w:type="paragraph" w:styleId="Style25" w:customStyle="1">
    <w:name w:val="Знак"/>
    <w:basedOn w:val="Normal"/>
    <w:qFormat/>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pPr>
      <w:numPr>
        <w:ilvl w:val="2"/>
        <w:numId w:val="2"/>
      </w:numPr>
      <w:jc w:val="both"/>
    </w:pPr>
    <w:rPr>
      <w:rFonts w:ascii="Garamond" w:hAnsi="Garamond"/>
      <w:sz w:val="24"/>
      <w:szCs w:val="20"/>
    </w:rPr>
  </w:style>
  <w:style w:type="paragraph" w:styleId="ListBullet4">
    <w:name w:val="List Bullet 4"/>
    <w:basedOn w:val="Normal"/>
    <w:qFormat/>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pPr>
      <w:numPr>
        <w:ilvl w:val="1"/>
        <w:numId w:val="2"/>
      </w:numPr>
      <w:spacing w:before="120" w:after="0"/>
      <w:jc w:val="both"/>
    </w:pPr>
    <w:rPr>
      <w:rFonts w:ascii="Garamond" w:hAnsi="Garamond"/>
      <w:sz w:val="24"/>
      <w:szCs w:val="20"/>
    </w:rPr>
  </w:style>
  <w:style w:type="paragraph" w:styleId="Revision">
    <w:name w:val="Revision"/>
    <w:qFormat/>
    <w:pPr>
      <w:widowControl/>
      <w:suppressAutoHyphens w:val="true"/>
      <w:overflowPunct w:val="fals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pPr>
      <w:widowControl w:val="false"/>
      <w:suppressAutoHyphens w:val="true"/>
      <w:overflowPunct w:val="fals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pPr>
      <w:spacing w:lineRule="exact" w:line="240" w:before="0" w:after="160"/>
      <w:jc w:val="both"/>
    </w:pPr>
    <w:rPr>
      <w:rFonts w:ascii="Verdana" w:hAnsi="Verdana" w:cs="Verdana"/>
      <w:sz w:val="22"/>
      <w:szCs w:val="22"/>
      <w:lang w:val="en-US" w:eastAsia="en-US"/>
    </w:rPr>
  </w:style>
  <w:style w:type="paragraph" w:styleId="Style26" w:customStyle="1">
    <w:name w:val="Пункт"/>
    <w:basedOn w:val="Normal"/>
    <w:qFormat/>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7" w:customStyle="1">
    <w:name w:val="Абзац списка1"/>
    <w:basedOn w:val="Normal"/>
    <w:qFormat/>
    <w:pPr>
      <w:spacing w:lineRule="auto" w:line="276" w:before="0" w:after="200"/>
      <w:ind w:left="720" w:hanging="0"/>
      <w:contextualSpacing/>
    </w:pPr>
    <w:rPr>
      <w:rFonts w:ascii="Calibri" w:hAnsi="Calibri"/>
      <w:sz w:val="22"/>
      <w:szCs w:val="22"/>
      <w:lang w:eastAsia="en-US"/>
    </w:rPr>
  </w:style>
  <w:style w:type="paragraph" w:styleId="Style27" w:customStyle="1">
    <w:name w:val="Таблица"/>
    <w:basedOn w:val="Normal"/>
    <w:qFormat/>
    <w:pPr>
      <w:keepNext w:val="true"/>
      <w:spacing w:before="60" w:after="60"/>
      <w:jc w:val="center"/>
    </w:pPr>
    <w:rPr>
      <w:rFonts w:eastAsia="Calibri"/>
      <w:b/>
      <w:sz w:val="24"/>
      <w:szCs w:val="24"/>
      <w:lang w:val="x-none" w:eastAsia="x-none"/>
    </w:rPr>
  </w:style>
  <w:style w:type="paragraph" w:styleId="Style28" w:customStyle="1">
    <w:name w:val="Таблица шапка"/>
    <w:basedOn w:val="Normal"/>
    <w:qFormat/>
    <w:pPr>
      <w:keepNext w:val="true"/>
      <w:spacing w:before="40" w:after="40"/>
      <w:ind w:left="57" w:right="57" w:hanging="0"/>
    </w:pPr>
    <w:rPr>
      <w:sz w:val="22"/>
      <w:szCs w:val="26"/>
    </w:rPr>
  </w:style>
  <w:style w:type="paragraph" w:styleId="Style29" w:customStyle="1">
    <w:name w:val="Подподпункт"/>
    <w:basedOn w:val="Style21"/>
    <w:link w:val="Style9"/>
    <w:qFormat/>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0" w:customStyle="1">
    <w:name w:val="УРОВЕНЬ_(а)"/>
    <w:basedOn w:val="ListParagraph"/>
    <w:qFormat/>
    <w:pPr>
      <w:numPr>
        <w:ilvl w:val="3"/>
        <w:numId w:val="4"/>
      </w:numPr>
      <w:spacing w:lineRule="exact" w:line="360" w:before="120" w:after="0"/>
      <w:jc w:val="both"/>
      <w:outlineLvl w:val="3"/>
    </w:pPr>
    <w:rPr>
      <w:sz w:val="26"/>
      <w:lang w:eastAsia="en-US"/>
    </w:rPr>
  </w:style>
  <w:style w:type="paragraph" w:styleId="-" w:customStyle="1">
    <w:name w:val="УРОВЕНЬ_-"/>
    <w:basedOn w:val="ListParagraph"/>
    <w:qFormat/>
    <w:pPr>
      <w:numPr>
        <w:ilvl w:val="4"/>
        <w:numId w:val="4"/>
      </w:numPr>
      <w:spacing w:lineRule="exact" w:line="360" w:before="120" w:after="0"/>
      <w:jc w:val="both"/>
      <w:outlineLvl w:val="4"/>
    </w:pPr>
    <w:rPr>
      <w:sz w:val="26"/>
      <w:lang w:eastAsia="en-US"/>
    </w:rPr>
  </w:style>
  <w:style w:type="paragraph" w:styleId="27" w:customStyle="1">
    <w:name w:val="УРОВЕНЬ_Абзац_тип2"/>
    <w:basedOn w:val="ListParagraph"/>
    <w:qFormat/>
    <w:pPr>
      <w:numPr>
        <w:ilvl w:val="6"/>
        <w:numId w:val="4"/>
      </w:numPr>
      <w:spacing w:lineRule="exact" w:line="360" w:before="120" w:after="0"/>
      <w:jc w:val="both"/>
    </w:pPr>
    <w:rPr>
      <w:sz w:val="26"/>
      <w:lang w:eastAsia="en-US"/>
    </w:rPr>
  </w:style>
  <w:style w:type="paragraph" w:styleId="36" w:customStyle="1">
    <w:name w:val="УРОВЕНЬ_Абзац_тип3"/>
    <w:basedOn w:val="ListParagraph"/>
    <w:link w:val="31"/>
    <w:qFormat/>
    <w:pPr>
      <w:numPr>
        <w:ilvl w:val="7"/>
        <w:numId w:val="4"/>
      </w:numPr>
      <w:spacing w:lineRule="exact" w:line="360" w:before="120" w:after="0"/>
      <w:jc w:val="both"/>
    </w:pPr>
    <w:rPr>
      <w:sz w:val="26"/>
      <w:lang w:eastAsia="en-US"/>
    </w:rPr>
  </w:style>
  <w:style w:type="paragraph" w:styleId="Style31" w:customStyle="1">
    <w:name w:val="УРОВЕНЬ_Подпись"/>
    <w:basedOn w:val="ListParagraph"/>
    <w:qFormat/>
    <w:pPr>
      <w:keepNext w:val="true"/>
      <w:numPr>
        <w:ilvl w:val="5"/>
        <w:numId w:val="4"/>
      </w:numPr>
      <w:spacing w:lineRule="exact" w:line="360" w:before="120" w:after="120"/>
      <w:jc w:val="right"/>
      <w:outlineLvl w:val="3"/>
    </w:pPr>
    <w:rPr>
      <w:sz w:val="26"/>
      <w:lang w:eastAsia="en-US"/>
    </w:rPr>
  </w:style>
  <w:style w:type="paragraph" w:styleId="18" w:customStyle="1">
    <w:name w:val="Стиль Заголовок 1 + по ширине"/>
    <w:basedOn w:val="Heading1"/>
    <w:qFormat/>
    <w:pPr>
      <w:keepLines/>
      <w:numPr>
        <w:ilvl w:val="0"/>
        <w:numId w:val="0"/>
      </w:numPr>
      <w:tabs>
        <w:tab w:val="clear" w:pos="708"/>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pPr/>
    <w:rPr>
      <w:sz w:val="20"/>
      <w:szCs w:val="20"/>
    </w:rPr>
  </w:style>
  <w:style w:type="paragraph" w:styleId="28" w:customStyle="1">
    <w:name w:val="Заголовок 2 КВВ"/>
    <w:basedOn w:val="Normal"/>
    <w:qFormat/>
    <w:pPr>
      <w:keepNext w:val="true"/>
      <w:numPr>
        <w:ilvl w:val="0"/>
        <w:numId w:val="5"/>
      </w:numPr>
      <w:spacing w:before="120" w:after="120"/>
      <w:jc w:val="both"/>
      <w:outlineLvl w:val="0"/>
    </w:pPr>
    <w:rPr>
      <w:b/>
      <w:kern w:val="2"/>
      <w:sz w:val="24"/>
      <w:szCs w:val="20"/>
      <w:lang w:eastAsia="x-none"/>
    </w:rPr>
  </w:style>
  <w:style w:type="paragraph" w:styleId="Style32" w:customStyle="1">
    <w:name w:val="Таблица текст"/>
    <w:basedOn w:val="Normal"/>
    <w:qFormat/>
    <w:pPr>
      <w:spacing w:before="40" w:after="40"/>
      <w:ind w:left="57" w:right="57" w:hanging="0"/>
    </w:pPr>
    <w:rPr>
      <w:sz w:val="24"/>
      <w:szCs w:val="26"/>
    </w:rPr>
  </w:style>
  <w:style w:type="paragraph" w:styleId="NormalWeb">
    <w:name w:val="Normal (Web)"/>
    <w:basedOn w:val="Normal"/>
    <w:uiPriority w:val="99"/>
    <w:qFormat/>
    <w:pPr>
      <w:spacing w:before="280" w:after="280"/>
    </w:pPr>
    <w:rPr>
      <w:sz w:val="24"/>
      <w:szCs w:val="24"/>
    </w:rPr>
  </w:style>
  <w:style w:type="paragraph" w:styleId="19" w:customStyle="1">
    <w:name w:val="УРОВЕНЬ_1."/>
    <w:basedOn w:val="ListParagraph"/>
    <w:link w:val="12"/>
    <w:qFormat/>
    <w:pPr>
      <w:keepNext w:val="true"/>
      <w:keepLines/>
      <w:spacing w:lineRule="auto" w:line="276" w:before="240" w:after="120"/>
      <w:ind w:left="0" w:hanging="0"/>
      <w:jc w:val="both"/>
      <w:outlineLvl w:val="0"/>
    </w:pPr>
    <w:rPr>
      <w:caps/>
      <w:lang w:eastAsia="en-US"/>
    </w:rPr>
  </w:style>
  <w:style w:type="paragraph" w:styleId="TOC6">
    <w:name w:val="TOC 6"/>
    <w:basedOn w:val="Normal"/>
    <w:next w:val="Normal"/>
    <w:autoRedefine/>
    <w:pPr>
      <w:ind w:left="1120" w:hanging="0"/>
    </w:pPr>
    <w:rPr>
      <w:rFonts w:ascii="Calibri" w:hAnsi="Calibri" w:cs="Calibri"/>
      <w:sz w:val="20"/>
      <w:szCs w:val="20"/>
    </w:rPr>
  </w:style>
  <w:style w:type="paragraph" w:styleId="TOC7">
    <w:name w:val="TOC 7"/>
    <w:basedOn w:val="Normal"/>
    <w:next w:val="Normal"/>
    <w:autoRedefine/>
    <w:pPr>
      <w:ind w:left="1400" w:hanging="0"/>
    </w:pPr>
    <w:rPr>
      <w:rFonts w:ascii="Calibri" w:hAnsi="Calibri" w:cs="Calibri"/>
      <w:sz w:val="20"/>
      <w:szCs w:val="20"/>
    </w:rPr>
  </w:style>
  <w:style w:type="paragraph" w:styleId="TOC8">
    <w:name w:val="TOC 8"/>
    <w:basedOn w:val="Normal"/>
    <w:next w:val="Normal"/>
    <w:autoRedefine/>
    <w:pPr>
      <w:ind w:left="1680" w:hanging="0"/>
    </w:pPr>
    <w:rPr>
      <w:rFonts w:ascii="Calibri" w:hAnsi="Calibri" w:cs="Calibri"/>
      <w:sz w:val="20"/>
      <w:szCs w:val="20"/>
    </w:rPr>
  </w:style>
  <w:style w:type="paragraph" w:styleId="Style33" w:customStyle="1">
    <w:name w:val="Содержимое врезки"/>
    <w:basedOn w:val="Normal"/>
    <w:qFormat/>
    <w:pPr/>
    <w:rPr/>
  </w:style>
  <w:style w:type="paragraph" w:styleId="Style34" w:customStyle="1">
    <w:name w:val="Содержимое таблицы"/>
    <w:basedOn w:val="Normal"/>
    <w:qFormat/>
    <w:pPr>
      <w:widowControl w:val="false"/>
      <w:suppressLineNumbers/>
    </w:pPr>
    <w:rPr/>
  </w:style>
  <w:style w:type="paragraph" w:styleId="Style35" w:customStyle="1">
    <w:name w:val="Заголовок таблицы"/>
    <w:basedOn w:val="Style34"/>
    <w:qFormat/>
    <w:pPr>
      <w:jc w:val="center"/>
    </w:pPr>
    <w:rPr>
      <w:b/>
      <w:bCs/>
    </w:rPr>
  </w:style>
  <w:style w:type="numbering" w:styleId="NoList" w:default="1">
    <w:name w:val="No List"/>
    <w:uiPriority w:val="99"/>
    <w:semiHidden/>
    <w:unhideWhenUsed/>
    <w:qFormat/>
  </w:style>
  <w:style w:type="numbering" w:styleId="110" w:customStyle="1">
    <w:name w:val="Стиль1"/>
    <w:qFormat/>
  </w:style>
  <w:style w:type="numbering" w:styleId="29" w:customStyle="1">
    <w:name w:val="Стиль2"/>
    <w:qFormat/>
  </w:style>
  <w:style w:type="table" w:default="1" w:styleId="a5">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yperlink" Target="https://gisp.gov.ru/pp719v2/pub/prod/rep/" TargetMode="Externa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F0A1C-8732-4EB9-81C1-7FC5DD760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1583</TotalTime>
  <Application>AlterOffice/2025.3.1.0$Linux_X86_64 LibreOffice_project/431cd1b79110582f53535c95ed0a2449aadc8bf9</Application>
  <AppVersion>15.0000</AppVersion>
  <Pages>10</Pages>
  <Words>2296</Words>
  <Characters>15279</Characters>
  <CharactersWithSpaces>17093</CharactersWithSpaces>
  <Paragraphs>510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2025-09-24T02:12:00Z</dcterms:created>
  <dc:creator>Быстров Олег Геннадьевич</dc:creator>
  <dc:description/>
  <dc:language>ru-RU</dc:language>
  <cp:lastModifiedBy>mokrousovsv@corp.gidroogk.com</cp:lastModifiedBy>
  <cp:lastPrinted>2025-08-13T09:27:00Z</cp:lastPrinted>
  <dcterms:modified xsi:type="dcterms:W3CDTF">2026-07-31T16:54:01Z</dcterms:modified>
  <cp:revision>183</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