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rPr>
          <w:sz w:val="24"/>
          <w:szCs w:val="24"/>
        </w:rPr>
      </w:pPr>
      <w:r>
        <w:rPr>
          <w:sz w:val="24"/>
          <w:szCs w:val="24"/>
        </w:rPr>
      </w:r>
    </w:p>
    <w:p>
      <w:pPr>
        <w:pStyle w:val="Normal"/>
        <w:keepNext w:val="true"/>
        <w:keepLines/>
        <w:jc w:val="center"/>
        <w:rPr>
          <w:sz w:val="24"/>
          <w:szCs w:val="24"/>
        </w:rPr>
      </w:pPr>
      <w:r>
        <w:rPr>
          <w:rFonts w:eastAsia="Calibri"/>
          <w:b/>
          <w:sz w:val="24"/>
          <w:szCs w:val="24"/>
        </w:rPr>
        <w:t>Технические требования</w:t>
      </w:r>
    </w:p>
    <w:p>
      <w:pPr>
        <w:pStyle w:val="Normal"/>
        <w:keepNext w:val="true"/>
        <w:keepLines/>
        <w:jc w:val="center"/>
        <w:rPr>
          <w:rFonts w:eastAsia="Calibri"/>
          <w:b/>
          <w:sz w:val="24"/>
          <w:szCs w:val="24"/>
        </w:rPr>
      </w:pPr>
      <w:r>
        <w:rPr>
          <w:rFonts w:eastAsia="Calibri"/>
          <w:b/>
          <w:sz w:val="24"/>
          <w:szCs w:val="24"/>
        </w:rPr>
      </w:r>
    </w:p>
    <w:p>
      <w:pPr>
        <w:pStyle w:val="Normal"/>
        <w:keepNext w:val="true"/>
        <w:keepLines/>
        <w:jc w:val="center"/>
        <w:rPr>
          <w:rFonts w:eastAsia="Calibri"/>
          <w:sz w:val="24"/>
          <w:szCs w:val="24"/>
        </w:rPr>
      </w:pPr>
      <w:r>
        <w:rPr>
          <w:rFonts w:eastAsia="Calibri"/>
          <w:sz w:val="24"/>
          <w:szCs w:val="24"/>
        </w:rPr>
      </w:r>
    </w:p>
    <w:p>
      <w:pPr>
        <w:pStyle w:val="Normal"/>
        <w:jc w:val="center"/>
        <w:rPr>
          <w:rFonts w:eastAsia="Calibri"/>
          <w:b/>
          <w:sz w:val="24"/>
          <w:szCs w:val="24"/>
          <w:highlight w:val="yellow"/>
        </w:rPr>
      </w:pPr>
      <w:r>
        <w:rPr>
          <w:rFonts w:eastAsia="Calibri"/>
          <w:b/>
          <w:sz w:val="24"/>
          <w:szCs w:val="24"/>
          <w:highlight w:val="yellow"/>
        </w:rPr>
        <w:t>ОКПД2 00.00.00</w:t>
      </w:r>
      <w:r>
        <w:rPr>
          <w:rFonts w:eastAsia="Calibri"/>
          <w:b/>
          <w:sz w:val="24"/>
          <w:szCs w:val="24"/>
        </w:rPr>
        <w:t xml:space="preserve"> Поставка </w:t>
      </w:r>
      <w:r>
        <w:rPr>
          <w:rFonts w:eastAsia="Calibri"/>
          <w:b/>
          <w:sz w:val="24"/>
          <w:szCs w:val="24"/>
          <w:highlight w:val="yellow"/>
        </w:rPr>
        <w:t>оборудования Болид</w:t>
      </w:r>
      <w:r>
        <w:rPr>
          <w:rFonts w:eastAsia="Calibri"/>
          <w:b/>
          <w:sz w:val="24"/>
          <w:szCs w:val="24"/>
        </w:rPr>
        <w:t xml:space="preserve"> для Новосибирской ГЭС</w:t>
      </w:r>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Heading2"/>
        <w:numPr>
          <w:ilvl w:val="0"/>
        </w:numPr>
        <w:spacing w:before="300" w:after="75"/>
        <w:ind w:left="432" w:hanging="432"/>
        <w:jc w:val="center"/>
        <w:rPr>
          <w:bCs w:val="false"/>
          <w:lang w:val="ru-RU" w:eastAsia="ru-RU"/>
        </w:rPr>
      </w:pPr>
      <w:bookmarkStart w:id="0" w:name="_Toc205981909"/>
      <w:r>
        <w:rPr>
          <w:bCs w:val="false"/>
          <w:lang w:val="ru-RU" w:eastAsia="ru-RU"/>
        </w:rPr>
        <w:t xml:space="preserve">Лот № </w:t>
      </w:r>
      <w:r>
        <w:rPr>
          <w:bCs w:val="false"/>
          <w:highlight w:val="yellow"/>
          <w:lang w:val="ru-RU" w:eastAsia="ru-RU"/>
        </w:rPr>
        <w:t>0000-ТПиР БЕЗОП ДОХ-2026-ГРВКК-СШФ</w:t>
      </w:r>
      <w:bookmarkEnd w:id="0"/>
    </w:p>
    <w:p>
      <w:pPr>
        <w:pStyle w:val="Heading1"/>
        <w:keepLines/>
        <w:numPr>
          <w:ilvl w:val="0"/>
          <w:numId w:val="3"/>
        </w:numPr>
        <w:ind w:left="357" w:hanging="357"/>
        <w:jc w:val="center"/>
        <w:rPr>
          <w:sz w:val="24"/>
          <w:szCs w:val="24"/>
        </w:rPr>
      </w:pPr>
      <w:bookmarkStart w:id="1" w:name="_Toc51339692"/>
      <w:bookmarkStart w:id="2" w:name="_Toc205981910"/>
      <w:r>
        <w:rPr>
          <w:sz w:val="24"/>
          <w:szCs w:val="24"/>
          <w:lang w:val="ru-RU"/>
        </w:rPr>
        <w:t>Общие сведения</w:t>
      </w:r>
      <w:bookmarkEnd w:id="1"/>
      <w:bookmarkEnd w:id="2"/>
    </w:p>
    <w:p>
      <w:pPr>
        <w:pStyle w:val="Normal"/>
        <w:ind w:left="357" w:hanging="357"/>
        <w:jc w:val="center"/>
        <w:rPr>
          <w:sz w:val="24"/>
          <w:szCs w:val="24"/>
        </w:rPr>
      </w:pPr>
      <w:r>
        <w:rPr>
          <w:sz w:val="24"/>
          <w:szCs w:val="24"/>
        </w:rPr>
      </w:r>
    </w:p>
    <w:p>
      <w:pPr>
        <w:pStyle w:val="Heading4"/>
        <w:numPr>
          <w:ilvl w:val="1"/>
          <w:numId w:val="3"/>
        </w:numPr>
        <w:rPr/>
      </w:pPr>
      <w:bookmarkStart w:id="3" w:name="_Toc46743506"/>
      <w:bookmarkStart w:id="4" w:name="_Toc205981911"/>
      <w:r>
        <w:rPr/>
        <w:t>Наименование закупаемой продукции</w:t>
      </w:r>
      <w:bookmarkEnd w:id="3"/>
      <w:bookmarkEnd w:id="4"/>
    </w:p>
    <w:p>
      <w:pPr>
        <w:pStyle w:val="Normal"/>
        <w:jc w:val="both"/>
        <w:rPr>
          <w:sz w:val="24"/>
          <w:szCs w:val="24"/>
        </w:rPr>
      </w:pPr>
      <w:r>
        <w:rPr>
          <w:rFonts w:eastAsia="Calibri"/>
          <w:sz w:val="24"/>
          <w:szCs w:val="24"/>
          <w:highlight w:val="yellow"/>
          <w:lang w:eastAsia="x-none"/>
        </w:rPr>
        <w:t>ОКПД2 00.00.00</w:t>
      </w:r>
      <w:r>
        <w:rPr>
          <w:rFonts w:eastAsia="Calibri"/>
          <w:sz w:val="24"/>
          <w:szCs w:val="24"/>
          <w:lang w:eastAsia="x-none"/>
        </w:rPr>
        <w:t xml:space="preserve"> Поставка </w:t>
      </w:r>
      <w:r>
        <w:rPr>
          <w:rFonts w:eastAsia="Calibri"/>
          <w:sz w:val="24"/>
          <w:szCs w:val="24"/>
          <w:highlight w:val="yellow"/>
          <w:lang w:eastAsia="x-none"/>
        </w:rPr>
        <w:t>оборудования Болид</w:t>
      </w:r>
      <w:r>
        <w:rPr>
          <w:rFonts w:eastAsia="Calibri"/>
          <w:sz w:val="24"/>
          <w:szCs w:val="24"/>
          <w:lang w:eastAsia="x-none"/>
        </w:rPr>
        <w:t xml:space="preserve"> для Новосибирской ГЭС (далее – продукция).</w:t>
      </w:r>
    </w:p>
    <w:p>
      <w:pPr>
        <w:pStyle w:val="Normal"/>
        <w:jc w:val="both"/>
        <w:rPr>
          <w:sz w:val="24"/>
          <w:szCs w:val="24"/>
        </w:rPr>
      </w:pPr>
      <w:r>
        <w:rPr>
          <w:sz w:val="24"/>
          <w:szCs w:val="24"/>
        </w:rPr>
      </w:r>
    </w:p>
    <w:p>
      <w:pPr>
        <w:pStyle w:val="Heading4"/>
        <w:numPr>
          <w:ilvl w:val="1"/>
          <w:numId w:val="3"/>
        </w:numPr>
        <w:spacing w:before="0" w:after="60"/>
        <w:ind w:left="431" w:hanging="431"/>
        <w:rPr/>
      </w:pPr>
      <w:bookmarkStart w:id="5" w:name="_Toc205981912"/>
      <w:bookmarkStart w:id="6" w:name="_Toc46743507"/>
      <w:r>
        <w:rPr/>
        <w:t xml:space="preserve">Цель </w:t>
      </w:r>
      <w:bookmarkEnd w:id="6"/>
      <w:r>
        <w:rPr>
          <w:lang w:val="ru-RU"/>
        </w:rPr>
        <w:t>использования закупаемой продукции</w:t>
      </w:r>
      <w:bookmarkEnd w:id="5"/>
    </w:p>
    <w:p>
      <w:pPr>
        <w:pStyle w:val="Normal"/>
        <w:suppressAutoHyphens w:val="false"/>
        <w:overflowPunct w:val="true"/>
        <w:rPr>
          <w:rStyle w:val="Style8"/>
          <w:b w:val="false"/>
          <w:i w:val="false"/>
          <w:i w:val="false"/>
          <w:sz w:val="24"/>
          <w:szCs w:val="24"/>
          <w:shd w:fill="auto" w:val="clear"/>
        </w:rPr>
      </w:pPr>
      <w:r>
        <w:rPr>
          <w:rStyle w:val="Style8"/>
          <w:b w:val="false"/>
          <w:i w:val="false"/>
          <w:sz w:val="24"/>
          <w:szCs w:val="24"/>
          <w:shd w:fill="auto" w:val="clear"/>
        </w:rPr>
        <w:t>Исполнение обязательств по договору подряда</w:t>
      </w:r>
      <w:r>
        <w:rPr>
          <w:rStyle w:val="Style8"/>
          <w:shd w:fill="auto" w:val="clear"/>
        </w:rPr>
        <w:t xml:space="preserve"> </w:t>
      </w:r>
      <w:r>
        <w:rPr>
          <w:rStyle w:val="Style8"/>
          <w:b w:val="false"/>
          <w:i w:val="false"/>
          <w:sz w:val="24"/>
          <w:szCs w:val="24"/>
          <w:shd w:fill="auto" w:val="clear"/>
        </w:rPr>
        <w:t>№2-ТПиР-Без-2026 от 18.05.2026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w:t>
      </w:r>
      <w:r>
        <w:rPr>
          <w:rStyle w:val="Style8"/>
          <w:i w:val="false"/>
          <w:sz w:val="24"/>
          <w:szCs w:val="24"/>
          <w:shd w:fill="auto" w:val="clear"/>
        </w:rPr>
        <w:t xml:space="preserve">, </w:t>
      </w:r>
      <w:r>
        <w:rPr>
          <w:rStyle w:val="Style8"/>
          <w:b w:val="false"/>
          <w:i w:val="false"/>
          <w:sz w:val="24"/>
          <w:szCs w:val="24"/>
          <w:shd w:fill="auto" w:val="clear"/>
        </w:rPr>
        <w:t>заключенного между филиалом ПАО «РусГидро» - «Новосибирская ГЭС» и Саяно-Шушенским филиалом АО «Гидроремонт-ВКК».</w:t>
      </w:r>
    </w:p>
    <w:p>
      <w:pPr>
        <w:pStyle w:val="Normal"/>
        <w:ind w:firstLine="708"/>
        <w:jc w:val="both"/>
        <w:rPr>
          <w:sz w:val="24"/>
          <w:szCs w:val="24"/>
        </w:rPr>
      </w:pPr>
      <w:r>
        <w:rPr>
          <w:sz w:val="24"/>
          <w:szCs w:val="24"/>
        </w:rPr>
      </w:r>
    </w:p>
    <w:p>
      <w:pPr>
        <w:pStyle w:val="Heading1"/>
        <w:keepLines/>
        <w:numPr>
          <w:ilvl w:val="0"/>
          <w:numId w:val="3"/>
        </w:numPr>
        <w:ind w:left="357" w:hanging="357"/>
        <w:jc w:val="center"/>
        <w:rPr>
          <w:sz w:val="24"/>
          <w:szCs w:val="24"/>
        </w:rPr>
      </w:pPr>
      <w:bookmarkStart w:id="7" w:name="_Toc51339693"/>
      <w:bookmarkStart w:id="8" w:name="_Toc205981913"/>
      <w:r>
        <w:rPr>
          <w:iCs/>
          <w:sz w:val="24"/>
          <w:szCs w:val="24"/>
        </w:rPr>
        <w:t>Требования к продукции</w:t>
      </w:r>
      <w:bookmarkEnd w:id="7"/>
      <w:bookmarkEnd w:id="8"/>
    </w:p>
    <w:p>
      <w:pPr>
        <w:pStyle w:val="Heading4"/>
        <w:numPr>
          <w:ilvl w:val="1"/>
          <w:numId w:val="3"/>
        </w:numPr>
        <w:rPr/>
      </w:pPr>
      <w:bookmarkStart w:id="9" w:name="_Toc205981914"/>
      <w:r>
        <w:rPr/>
        <w:t xml:space="preserve">Требования к объемам и срокам </w:t>
      </w:r>
      <w:r>
        <w:rPr>
          <w:lang w:val="ru-RU"/>
        </w:rPr>
        <w:t>поставки</w:t>
      </w:r>
      <w:bookmarkEnd w:id="9"/>
    </w:p>
    <w:p>
      <w:pPr>
        <w:pStyle w:val="Heading3"/>
        <w:numPr>
          <w:ilvl w:val="2"/>
          <w:numId w:val="3"/>
        </w:numPr>
        <w:rPr/>
      </w:pPr>
      <w:bookmarkStart w:id="10" w:name="_Toc205981915"/>
      <w:r>
        <w:rPr>
          <w:lang w:val="ru-RU"/>
        </w:rPr>
        <w:t>Перечень и объем закупаемой продукции</w:t>
      </w:r>
      <w:bookmarkEnd w:id="10"/>
    </w:p>
    <w:p>
      <w:pPr>
        <w:pStyle w:val="Heading1"/>
        <w:keepLines/>
        <w:numPr>
          <w:ilvl w:val="0"/>
          <w:numId w:val="0"/>
        </w:numPr>
        <w:spacing w:before="240" w:after="60"/>
        <w:ind w:left="0" w:hanging="0"/>
        <w:rPr>
          <w:sz w:val="24"/>
          <w:szCs w:val="24"/>
        </w:rPr>
      </w:pPr>
      <w:bookmarkStart w:id="11" w:name="_Toc205981916"/>
      <w:bookmarkStart w:id="12"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2"/>
      <w:r>
        <w:rPr>
          <w:sz w:val="24"/>
          <w:szCs w:val="24"/>
          <w:lang w:val="ru-RU"/>
        </w:rPr>
        <w:t>и объем закупаемой продукции</w:t>
      </w:r>
      <w:bookmarkEnd w:id="11"/>
    </w:p>
    <w:tbl>
      <w:tblPr>
        <w:tblW w:w="9915"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6406"/>
        <w:gridCol w:w="1310"/>
        <w:gridCol w:w="1523"/>
      </w:tblGrid>
      <w:tr>
        <w:trPr>
          <w:trHeight w:val="780"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w:t>
            </w:r>
          </w:p>
          <w:p>
            <w:pPr>
              <w:pStyle w:val="Normal"/>
              <w:keepNext w:val="true"/>
              <w:widowControl w:val="false"/>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Наименование продукции</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Единица измерения</w:t>
            </w:r>
          </w:p>
        </w:tc>
        <w:tc>
          <w:tcPr>
            <w:tcW w:w="1523"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sz w:val="24"/>
                <w:szCs w:val="24"/>
              </w:rPr>
              <w:t>Количество</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3</w:t>
            </w:r>
          </w:p>
        </w:tc>
        <w:tc>
          <w:tcPr>
            <w:tcW w:w="15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Proxy-6-USB-B Болид 347295 Считыватель бесконтактный настольный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2</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БРИЗ Блок разветвительно-изолирующий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23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Сигнал-20П исп.01 Блок приемно-контрольный охранно-пожарный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7</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C2000-Ethernet Преобразователь интерфейсов</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8</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5</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C2000-Ethernet Преобразователь интерфейсов RS-485/RS-232 в Ethernet</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8</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6</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ОПС-СКД512 исп.01 Сервер ОПС: 2U в стойку 19’. ПО: Сервер Орион, Оперативная задача исп.512, Администратор базы данных, Генератор отчетов, Учет рабочего времени</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1</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7</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С2000-2 Контроллер доступа</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57</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8</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С2000-ИК исп.03 Извещатель охранный объемный оптико-электронный адресный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43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9</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С2000-ИК исп.04 Извещатель охранный поверхностный оптико-электронный адресный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33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10</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С2000-КДЛ Контроллер двухпроводной линии связи</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11</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С2000-КТ Кнопка тревожная адресная</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12</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С2000М Пульт контроля и управления охранно-пожарный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3</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13</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С2000-ПИ Повторитель интерфейса с гальванической развязкой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14</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С2000-СМК исп.06 Извещатель магнитоконтактный адресный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35</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15</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С2000-СМК Эстет Извещатель магнитоконтактный адресный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16</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С2000-СТ исп.03 Извещатель охранный поверхностный звуковой адресный</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4</w:t>
            </w:r>
          </w:p>
        </w:tc>
      </w:tr>
      <w:tr>
        <w:trPr>
          <w:trHeight w:val="336" w:hRule="atLeast"/>
        </w:trPr>
        <w:tc>
          <w:tcPr>
            <w:tcW w:w="6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widowControl w:val="false"/>
              <w:ind w:left="0" w:hanging="0"/>
              <w:jc w:val="center"/>
              <w:rPr>
                <w:sz w:val="24"/>
                <w:szCs w:val="24"/>
                <w:lang w:val="en-US"/>
              </w:rPr>
            </w:pPr>
            <w:r>
              <w:rPr>
                <w:sz w:val="24"/>
                <w:szCs w:val="24"/>
                <w:lang w:val="en-US"/>
              </w:rPr>
              <w:t>17</w:t>
            </w:r>
          </w:p>
        </w:tc>
        <w:tc>
          <w:tcPr>
            <w:tcW w:w="64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both"/>
              <w:rPr>
                <w:color w:val="000000"/>
                <w:sz w:val="24"/>
                <w:szCs w:val="24"/>
              </w:rPr>
            </w:pPr>
            <w:r>
              <w:rPr>
                <w:color w:val="000000"/>
                <w:sz w:val="24"/>
                <w:szCs w:val="24"/>
              </w:rPr>
              <w:t>УРМ-ОРИОН исп.01 Удаленное рабочее место ОПС, СКУД. Системный блок, клавиатура, мышь. ПО - ОС, Монитор Орион Про, Администратор базы данных, Генератор отчетов, Учет рабочего времени - по лицензии на сервере</w:t>
            </w:r>
          </w:p>
        </w:tc>
        <w:tc>
          <w:tcPr>
            <w:tcW w:w="1310"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шт</w:t>
            </w:r>
          </w:p>
        </w:tc>
        <w:tc>
          <w:tcPr>
            <w:tcW w:w="1523" w:type="dxa"/>
            <w:tcBorders>
              <w:top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t>5</w:t>
            </w:r>
          </w:p>
        </w:tc>
      </w:tr>
    </w:tbl>
    <w:p>
      <w:pPr>
        <w:pStyle w:val="Normal"/>
        <w:rPr>
          <w:sz w:val="24"/>
          <w:szCs w:val="24"/>
          <w:lang w:eastAsia="x-none"/>
        </w:rPr>
      </w:pPr>
      <w:r>
        <w:rPr>
          <w:sz w:val="24"/>
          <w:szCs w:val="24"/>
          <w:lang w:eastAsia="x-none"/>
        </w:rPr>
      </w:r>
    </w:p>
    <w:p>
      <w:pPr>
        <w:pStyle w:val="Heading3"/>
        <w:numPr>
          <w:ilvl w:val="2"/>
          <w:numId w:val="3"/>
        </w:numPr>
        <w:rPr>
          <w:lang w:val="ru-RU"/>
        </w:rPr>
      </w:pPr>
      <w:bookmarkStart w:id="13" w:name="_Toc205981917"/>
      <w:r>
        <w:rPr>
          <w:lang w:val="ru-RU"/>
        </w:rPr>
        <w:t xml:space="preserve">Требования к срокам поставки продукции </w:t>
      </w:r>
      <w:bookmarkEnd w:id="13"/>
    </w:p>
    <w:p>
      <w:pPr>
        <w:pStyle w:val="Heading1"/>
        <w:keepLines/>
        <w:numPr>
          <w:ilvl w:val="0"/>
          <w:numId w:val="0"/>
        </w:numPr>
        <w:spacing w:before="240" w:after="60"/>
        <w:ind w:left="0" w:hanging="0"/>
        <w:rPr>
          <w:sz w:val="24"/>
          <w:szCs w:val="24"/>
        </w:rPr>
      </w:pPr>
      <w:bookmarkStart w:id="14" w:name="_Toc205981918"/>
      <w:bookmarkStart w:id="15" w:name="_Toc51339697"/>
      <w:bookmarkStart w:id="16" w:name="_Toc50125127"/>
      <w:bookmarkStart w:id="17" w:name="_Toc50125126_Копия_1"/>
      <w:bookmarkEnd w:id="17"/>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4"/>
      <w:r>
        <w:rPr>
          <w:sz w:val="24"/>
          <w:szCs w:val="24"/>
          <w:lang w:val="ru-RU"/>
        </w:rPr>
        <w:t xml:space="preserve"> </w:t>
      </w:r>
      <w:bookmarkStart w:id="19" w:name="_Toc46743511"/>
      <w:bookmarkEnd w:id="19"/>
    </w:p>
    <w:tbl>
      <w:tblPr>
        <w:tblW w:w="9916"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675"/>
        <w:gridCol w:w="5109"/>
        <w:gridCol w:w="2105"/>
        <w:gridCol w:w="2026"/>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 </w:t>
            </w:r>
            <w:r>
              <w:rPr>
                <w:sz w:val="24"/>
                <w:szCs w:val="24"/>
              </w:rPr>
              <w:t>п/п</w:t>
            </w:r>
          </w:p>
        </w:tc>
        <w:tc>
          <w:tcPr>
            <w:tcW w:w="5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Наименование продукции / партии продукции</w:t>
            </w:r>
          </w:p>
        </w:tc>
        <w:tc>
          <w:tcPr>
            <w:tcW w:w="2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b/>
                <w:sz w:val="24"/>
                <w:szCs w:val="24"/>
              </w:rPr>
              <w:t>2</w:t>
            </w:r>
          </w:p>
        </w:tc>
        <w:tc>
          <w:tcPr>
            <w:tcW w:w="2105"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026"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rHeight w:val="905"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ind w:left="0" w:hanging="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highlight w:val="yellow"/>
              </w:rPr>
              <w:t>ОКПД2 00.00.00</w:t>
            </w:r>
            <w:r>
              <w:rPr>
                <w:sz w:val="24"/>
                <w:szCs w:val="24"/>
              </w:rPr>
              <w:t xml:space="preserve"> Поставка </w:t>
            </w:r>
            <w:r>
              <w:rPr>
                <w:sz w:val="24"/>
                <w:szCs w:val="24"/>
                <w:highlight w:val="yellow"/>
              </w:rPr>
              <w:t>оборудования Болид</w:t>
            </w:r>
            <w:r>
              <w:rPr>
                <w:sz w:val="24"/>
                <w:szCs w:val="24"/>
              </w:rPr>
              <w:t xml:space="preserve"> для Новосибирской ГЭС</w:t>
            </w:r>
          </w:p>
        </w:tc>
        <w:tc>
          <w:tcPr>
            <w:tcW w:w="21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2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 xml:space="preserve">не позднее 29 </w:t>
            </w:r>
            <w:r>
              <w:rPr>
                <w:sz w:val="24"/>
                <w:szCs w:val="24"/>
                <w:lang w:val="en-US"/>
              </w:rPr>
              <w:t>января</w:t>
            </w:r>
            <w:r>
              <w:rPr>
                <w:sz w:val="24"/>
                <w:szCs w:val="24"/>
              </w:rPr>
              <w:t xml:space="preserve"> 2027 г.*</w:t>
            </w:r>
          </w:p>
        </w:tc>
      </w:tr>
    </w:tbl>
    <w:p>
      <w:pPr>
        <w:sectPr>
          <w:headerReference w:type="default" r:id="rId3"/>
          <w:headerReference w:type="first" r:id="rId4"/>
          <w:type w:val="nextPage"/>
          <w:pgSz w:w="11906" w:h="16838"/>
          <w:pgMar w:left="1134" w:right="1134" w:gutter="0" w:header="0" w:top="851" w:footer="0" w:bottom="1134"/>
          <w:pgNumType w:fmt="decimal"/>
          <w:formProt w:val="false"/>
          <w:textDirection w:val="lrTb"/>
          <w:docGrid w:type="default" w:linePitch="100" w:charSpace="0"/>
        </w:sectPr>
        <w:pStyle w:val="ListParagraph"/>
        <w:ind w:left="0" w:hanging="0"/>
        <w:jc w:val="both"/>
        <w:rPr>
          <w:i/>
          <w:i/>
          <w:sz w:val="24"/>
          <w:szCs w:val="24"/>
        </w:rPr>
      </w:pPr>
      <w:r>
        <w:rPr>
          <w:i/>
          <w:sz w:val="24"/>
          <w:szCs w:val="24"/>
        </w:rPr>
        <w:t>*В соответствии с календарным графиком поставки оборудования и выполнения работ по доходному договору №2-ТПиР-Без-2026 «Поставка оборудования, монтаж и наладка системы контроля и управления доступом, охранной сигнализации и охранного освещения Новосибирской ГЭС в рамках исполнения инвестиционного проекта К_T-1260-036»</w:t>
      </w:r>
    </w:p>
    <w:p>
      <w:pPr>
        <w:pStyle w:val="ListParagraph"/>
        <w:ind w:left="0" w:hanging="0"/>
        <w:jc w:val="both"/>
        <w:rPr>
          <w:i/>
          <w:i/>
          <w:szCs w:val="24"/>
        </w:rPr>
      </w:pPr>
      <w:r>
        <w:rPr>
          <w:i/>
          <w:szCs w:val="24"/>
        </w:rPr>
      </w:r>
    </w:p>
    <w:p>
      <w:pPr>
        <w:pStyle w:val="ListParagraph"/>
        <w:ind w:left="0" w:hanging="0"/>
        <w:jc w:val="both"/>
        <w:rPr>
          <w:i/>
          <w:i/>
          <w:szCs w:val="24"/>
        </w:rPr>
      </w:pPr>
      <w:r>
        <w:rPr>
          <w:i/>
          <w:szCs w:val="24"/>
        </w:rPr>
      </w:r>
    </w:p>
    <w:p>
      <w:pPr>
        <w:pStyle w:val="ListParagraph"/>
        <w:ind w:left="0" w:hanging="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pPr>
        <w:pStyle w:val="Heading4"/>
        <w:numPr>
          <w:ilvl w:val="0"/>
        </w:numPr>
        <w:tabs>
          <w:tab w:val="clear" w:pos="0"/>
        </w:tabs>
        <w:ind w:left="0" w:hanging="0"/>
        <w:rPr/>
      </w:pPr>
      <w:bookmarkStart w:id="20" w:name="_Toc75446582"/>
      <w:bookmarkStart w:id="21" w:name="_Toc205981920"/>
      <w:bookmarkStart w:id="22" w:name="_Toc51339698"/>
      <w:r>
        <w:rPr/>
        <w:t>Таблица </w:t>
      </w:r>
      <w:r>
        <w:rPr>
          <w:lang w:val="ru-RU"/>
        </w:rPr>
        <w:t>3</w:t>
      </w:r>
      <w:r>
        <w:rPr/>
        <w:t xml:space="preserve">. Требования к </w:t>
      </w:r>
      <w:r>
        <w:rPr>
          <w:lang w:val="ru-RU"/>
        </w:rPr>
        <w:t>продукции</w:t>
      </w:r>
      <w:bookmarkEnd w:id="20"/>
      <w:bookmarkEnd w:id="21"/>
      <w:bookmarkEnd w:id="22"/>
    </w:p>
    <w:tbl>
      <w:tblPr>
        <w:tblW w:w="15871"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704"/>
        <w:gridCol w:w="997"/>
        <w:gridCol w:w="1555"/>
        <w:gridCol w:w="29"/>
        <w:gridCol w:w="2522"/>
        <w:gridCol w:w="4394"/>
        <w:gridCol w:w="1845"/>
        <w:gridCol w:w="1699"/>
        <w:gridCol w:w="2094"/>
        <w:gridCol w:w="8"/>
        <w:gridCol w:w="14"/>
        <w:gridCol w:w="8"/>
      </w:tblGrid>
      <w:tr>
        <w:trPr>
          <w:trHeight w:val="20" w:hRule="atLeast"/>
        </w:trPr>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4160" w:type="dxa"/>
            <w:gridSpan w:val="9"/>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eastAsia="Calibri"/>
                <w:sz w:val="24"/>
                <w:szCs w:val="24"/>
                <w:lang w:eastAsia="x-none"/>
              </w:rPr>
            </w:pPr>
            <w:r>
              <w:rPr>
                <w:b/>
                <w:bCs/>
                <w:color w:val="000000"/>
                <w:sz w:val="24"/>
                <w:szCs w:val="24"/>
              </w:rPr>
              <w:t>Наименование продукции (позиции № 1.1-1.17 (Таблицы 1.1): согласно Таблицы 1.1 «Перечень и объем закупаемой продукции</w:t>
            </w:r>
          </w:p>
        </w:tc>
        <w:tc>
          <w:tcPr>
            <w:tcW w:w="8" w:type="dxa"/>
            <w:tcBorders/>
          </w:tcPr>
          <w:p>
            <w:pPr>
              <w:pStyle w:val="Normal"/>
              <w:widowControl w:val="false"/>
              <w:rPr/>
            </w:pPr>
            <w:r>
              <w:rPr/>
            </w:r>
          </w:p>
        </w:tc>
      </w:tr>
      <w:tr>
        <w:trPr>
          <w:trHeight w:val="2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 xml:space="preserve">№ </w:t>
            </w:r>
            <w:r>
              <w:rPr>
                <w:b/>
                <w:color w:val="000000"/>
                <w:sz w:val="24"/>
                <w:szCs w:val="24"/>
              </w:rPr>
              <w:t>п/п</w:t>
            </w:r>
          </w:p>
        </w:tc>
        <w:tc>
          <w:tcPr>
            <w:tcW w:w="2581" w:type="dxa"/>
            <w:gridSpan w:val="3"/>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Наименование продукции</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Наименование параметра</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Требование заказчика</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4"/>
                <w:szCs w:val="24"/>
              </w:rPr>
            </w:pPr>
            <w:r>
              <w:rPr>
                <w:rFonts w:eastAsia="DotumChe"/>
                <w:b/>
                <w:color w:val="000000"/>
                <w:sz w:val="24"/>
                <w:szCs w:val="24"/>
              </w:rPr>
              <w:t>Соответствие стандартам</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4"/>
                <w:szCs w:val="24"/>
              </w:rPr>
            </w:pPr>
            <w:r>
              <w:rPr>
                <w:b/>
                <w:bCs/>
                <w:color w:val="000000"/>
                <w:sz w:val="24"/>
                <w:szCs w:val="24"/>
              </w:rPr>
              <w:t>Способ подтверждения участником соответствия требованиям</w:t>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81" w:type="dxa"/>
            <w:gridSpan w:val="3"/>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2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43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1845" w:type="dxa"/>
            <w:vMerge w:val="continue"/>
            <w:tcBorders>
              <w:left w:val="single" w:sz="4" w:space="0" w:color="000000"/>
              <w:bottom w:val="single" w:sz="4" w:space="0" w:color="000000"/>
              <w:right w:val="single" w:sz="4" w:space="0" w:color="000000"/>
            </w:tcBorders>
          </w:tcPr>
          <w:p>
            <w:pPr>
              <w:pStyle w:val="Normal"/>
              <w:widowControl w:val="false"/>
              <w:jc w:val="center"/>
              <w:rPr>
                <w:b/>
                <w:bCs/>
                <w:color w:val="000000"/>
                <w:sz w:val="24"/>
                <w:szCs w:val="24"/>
              </w:rPr>
            </w:pPr>
            <w:r>
              <w:rPr>
                <w:b/>
                <w:bCs/>
                <w:color w:val="000000"/>
                <w:sz w:val="24"/>
                <w:szCs w:val="24"/>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Согласие с требованием/ указание характеристик</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bCs/>
                <w:color w:val="000000"/>
                <w:sz w:val="24"/>
                <w:szCs w:val="24"/>
              </w:rPr>
              <w:t>Предоставление подтверждающего документа или иной способ подтверждения</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1</w:t>
            </w:r>
          </w:p>
        </w:tc>
        <w:tc>
          <w:tcPr>
            <w:tcW w:w="2581"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2</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
                <w:color w:val="000000"/>
                <w:sz w:val="24"/>
                <w:szCs w:val="24"/>
              </w:rPr>
              <w:t>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rPr>
              <w:t>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DotumChe"/>
                <w:b/>
                <w:color w:val="000000"/>
                <w:sz w:val="24"/>
                <w:szCs w:val="24"/>
                <w:lang w:val="en-US"/>
              </w:rPr>
            </w:pPr>
            <w:r>
              <w:rPr>
                <w:rFonts w:eastAsia="DotumChe"/>
                <w:b/>
                <w:color w:val="000000"/>
                <w:sz w:val="24"/>
                <w:szCs w:val="24"/>
                <w:lang w:val="en-US"/>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rFonts w:eastAsia="DotumChe"/>
                <w:b/>
                <w:color w:val="000000"/>
                <w:sz w:val="24"/>
                <w:szCs w:val="24"/>
                <w:lang w:val="en-US"/>
              </w:rPr>
              <w:t>5</w:t>
            </w:r>
          </w:p>
        </w:tc>
        <w:tc>
          <w:tcPr>
            <w:tcW w:w="20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rFonts w:eastAsia="DotumChe"/>
                <w:b/>
                <w:color w:val="000000"/>
                <w:sz w:val="24"/>
                <w:szCs w:val="24"/>
                <w:lang w:val="en-US"/>
              </w:rPr>
              <w:t>6</w:t>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0"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000000"/>
                <w:sz w:val="24"/>
                <w:szCs w:val="24"/>
              </w:rPr>
            </w:pPr>
            <w:r>
              <w:rPr>
                <w:b/>
                <w:color w:val="000000"/>
                <w:sz w:val="24"/>
                <w:szCs w:val="24"/>
              </w:rPr>
              <w:t>1.</w:t>
            </w:r>
          </w:p>
        </w:tc>
        <w:tc>
          <w:tcPr>
            <w:tcW w:w="15157"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c>
          <w:tcPr>
            <w:tcW w:w="8" w:type="dxa"/>
            <w:tcBorders/>
          </w:tcPr>
          <w:p>
            <w:pPr>
              <w:pStyle w:val="Normal"/>
              <w:widowControl w:val="false"/>
              <w:rPr/>
            </w:pPr>
            <w:r>
              <w:rPr/>
            </w:r>
          </w:p>
        </w:tc>
      </w:tr>
      <w:tr>
        <w:trPr>
          <w:trHeight w:val="70"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Считыватель бесконтактный настольный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Proxy-6-USB-B</w:t>
            </w:r>
          </w:p>
        </w:tc>
        <w:tc>
          <w:tcPr>
            <w:tcW w:w="1845" w:type="dxa"/>
            <w:vMerge w:val="restart"/>
            <w:tcBorders>
              <w:top w:val="single" w:sz="4" w:space="0" w:color="000000"/>
              <w:left w:val="single" w:sz="4" w:space="0" w:color="000000"/>
              <w:right w:val="single" w:sz="4" w:space="0" w:color="000000"/>
            </w:tcBorders>
            <w:shd w:color="auto" w:fill="auto" w:val="clear"/>
          </w:tcPr>
          <w:p>
            <w:pPr>
              <w:pStyle w:val="Normal"/>
              <w:widowControl w:val="false"/>
              <w:suppressAutoHyphens w:val="false"/>
              <w:overflowPunct w:val="true"/>
              <w:jc w:val="center"/>
              <w:rPr>
                <w:color w:val="000000"/>
                <w:sz w:val="24"/>
                <w:szCs w:val="24"/>
              </w:rPr>
            </w:pPr>
            <w:r>
              <w:rPr>
                <w:color w:val="000000"/>
                <w:sz w:val="24"/>
                <w:szCs w:val="24"/>
              </w:rPr>
              <w:t>Спецификация оборудования, Приложение №2</w:t>
            </w:r>
          </w:p>
          <w:p>
            <w:pPr>
              <w:pStyle w:val="Normal"/>
              <w:widowControl w:val="false"/>
              <w:suppressAutoHyphens w:val="false"/>
              <w:overflowPunct w:val="true"/>
              <w:jc w:val="center"/>
              <w:rPr>
                <w:color w:val="000000"/>
                <w:sz w:val="24"/>
                <w:szCs w:val="24"/>
              </w:rPr>
            </w:pPr>
            <w:r>
              <w:rPr>
                <w:color w:val="000000"/>
                <w:sz w:val="24"/>
                <w:szCs w:val="24"/>
              </w:rPr>
              <w:t>к договору подряда</w:t>
            </w:r>
          </w:p>
          <w:p>
            <w:pPr>
              <w:pStyle w:val="Normal"/>
              <w:widowControl w:val="false"/>
              <w:jc w:val="center"/>
              <w:rPr>
                <w:rFonts w:eastAsia="DotumChe"/>
                <w:sz w:val="24"/>
                <w:szCs w:val="24"/>
                <w:lang w:val="en-US"/>
              </w:rPr>
            </w:pPr>
            <w:r>
              <w:rPr>
                <w:color w:val="000000"/>
                <w:sz w:val="24"/>
                <w:szCs w:val="24"/>
              </w:rPr>
              <w:t xml:space="preserve">№ </w:t>
            </w:r>
            <w:r>
              <w:rPr>
                <w:color w:val="000000"/>
                <w:sz w:val="24"/>
                <w:szCs w:val="24"/>
              </w:rPr>
              <w:t>2-ТПиР-Без-2026</w:t>
            </w:r>
            <w:r>
              <w:rPr>
                <w:color w:val="000000"/>
                <w:sz w:val="24"/>
                <w:szCs w:val="24"/>
                <w:lang w:val="en-US"/>
              </w:rPr>
              <w:t xml:space="preserve"> от 18.05.2026</w:t>
            </w:r>
          </w:p>
        </w:tc>
        <w:tc>
          <w:tcPr>
            <w:tcW w:w="1699" w:type="dxa"/>
            <w:vMerge w:val="restart"/>
            <w:tcBorders>
              <w:left w:val="single" w:sz="4" w:space="0" w:color="000000"/>
              <w:right w:val="single" w:sz="4" w:space="0" w:color="000000"/>
            </w:tcBorders>
            <w:vAlign w:val="center"/>
          </w:tcPr>
          <w:p>
            <w:pPr>
              <w:pStyle w:val="Normal"/>
              <w:widowControl w:val="false"/>
              <w:jc w:val="center"/>
              <w:rPr>
                <w:rFonts w:eastAsia="DotumChe"/>
                <w:sz w:val="24"/>
                <w:szCs w:val="24"/>
              </w:rPr>
            </w:pPr>
            <w:r>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094" w:type="dxa"/>
            <w:vMerge w:val="restart"/>
            <w:tcBorders>
              <w:left w:val="single" w:sz="4" w:space="0" w:color="000000"/>
              <w:right w:val="single" w:sz="4" w:space="0" w:color="000000"/>
            </w:tcBorders>
            <w:vAlign w:val="center"/>
          </w:tcPr>
          <w:p>
            <w:pPr>
              <w:pStyle w:val="Normal"/>
              <w:widowControl w:val="false"/>
              <w:overflowPunct w:val="true"/>
              <w:jc w:val="center"/>
              <w:rPr>
                <w:sz w:val="24"/>
                <w:szCs w:val="24"/>
              </w:rPr>
            </w:pPr>
            <w:r>
              <w:rPr>
                <w:sz w:val="24"/>
                <w:szCs w:val="24"/>
              </w:rPr>
              <w:t>-//-</w:t>
            </w:r>
          </w:p>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Код</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347295</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Питание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USB-порта ПК</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 В постоянного тока</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180 мА</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Параметры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разъём Mini-USB, кабель Mini-USB↔USB A</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lang w:val="en-US"/>
              </w:rPr>
            </w:pPr>
            <w:r>
              <w:rPr>
                <w:rFonts w:eastAsia="DotumChe"/>
                <w:sz w:val="24"/>
                <w:szCs w:val="24"/>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lang w:val="en-US"/>
              </w:rPr>
            </w:pPr>
            <w:r>
              <w:rPr>
                <w:color w:val="000000"/>
                <w:sz w:val="24"/>
                <w:szCs w:val="24"/>
                <w:highlight w:val="yellow"/>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подключения к ПК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rPr>
            </w:pPr>
            <w:r>
              <w:rPr>
                <w:color w:val="000000"/>
                <w:sz w:val="24"/>
                <w:szCs w:val="24"/>
                <w:lang w:val="en-US"/>
              </w:rPr>
              <w:t>USB</w:t>
            </w:r>
            <w:r>
              <w:rPr>
                <w:color w:val="000000"/>
                <w:sz w:val="24"/>
                <w:szCs w:val="24"/>
              </w:rPr>
              <w:t xml:space="preserve"> клавиатура, виртуальный </w:t>
            </w:r>
            <w:r>
              <w:rPr>
                <w:color w:val="000000"/>
                <w:sz w:val="24"/>
                <w:szCs w:val="24"/>
                <w:lang w:val="en-US"/>
              </w:rPr>
              <w:t>COM</w:t>
            </w:r>
            <w:r>
              <w:rPr>
                <w:color w:val="000000"/>
                <w:sz w:val="24"/>
                <w:szCs w:val="24"/>
              </w:rPr>
              <w:t>-порт</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 считывателя к работе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 с</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Рабочая частота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0,125 МГц</w:t>
              <w:br/>
              <w:t>13,56 МГц</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Максимальная дистанция считывания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Em-Marin, HID до 10 см</w:t>
            </w:r>
          </w:p>
          <w:p>
            <w:pPr>
              <w:pStyle w:val="Normal"/>
              <w:widowControl w:val="false"/>
              <w:tabs>
                <w:tab w:val="clear" w:pos="708"/>
                <w:tab w:val="left" w:pos="426" w:leader="none"/>
              </w:tabs>
              <w:rPr>
                <w:color w:val="000000"/>
                <w:sz w:val="24"/>
                <w:szCs w:val="24"/>
                <w:lang w:val="en-US"/>
              </w:rPr>
            </w:pPr>
            <w:r>
              <w:rPr>
                <w:color w:val="000000"/>
                <w:sz w:val="24"/>
                <w:szCs w:val="24"/>
                <w:lang w:val="en-US"/>
              </w:rPr>
              <w:t>MIFARE до 5 см</w:t>
            </w:r>
          </w:p>
          <w:p>
            <w:pPr>
              <w:pStyle w:val="Normal"/>
              <w:widowControl w:val="false"/>
              <w:tabs>
                <w:tab w:val="clear" w:pos="708"/>
                <w:tab w:val="left" w:pos="426" w:leader="none"/>
              </w:tabs>
              <w:rPr>
                <w:color w:val="000000"/>
                <w:sz w:val="24"/>
                <w:szCs w:val="24"/>
                <w:lang w:val="en-US"/>
              </w:rPr>
            </w:pPr>
            <w:r>
              <w:rPr>
                <w:color w:val="000000"/>
                <w:sz w:val="24"/>
                <w:szCs w:val="24"/>
                <w:lang w:val="en-US"/>
              </w:rPr>
              <w:t>Смартфон (вер.1.10 и выше) до 2 см</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оболочки по ГОСТ 14254-2015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IP40</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85,3х85,3х24,2 мм</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4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непрерывной работы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круглосуточно</w:t>
            </w:r>
          </w:p>
        </w:tc>
        <w:tc>
          <w:tcPr>
            <w:tcW w:w="1845" w:type="dxa"/>
            <w:vMerge w:val="continue"/>
            <w:tcBorders>
              <w:left w:val="single" w:sz="4" w:space="0" w:color="000000"/>
              <w:right w:val="single" w:sz="4" w:space="0" w:color="000000"/>
            </w:tcBorders>
            <w:shd w:color="auto" w:fill="auto" w:val="clear"/>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1.2</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Блок разветвительно-изолирующий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БРИЗ</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включаемых в ДПЛС блоков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до 40 шт. без дополнительных расчётов, максимально до 127 шт. – методика расчёта приведена в этикетке на «БРИЗ»</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блоком ток,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40 мкА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срабатывания блока,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200 мс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30 до +55°C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8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IP20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56x38x20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1.3</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Блок приемно-контрольный охранно-пожарный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 xml:space="preserve">Сигнал-20П </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highlight w:val="yellow"/>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highlight w:val="yellow"/>
              </w:rPr>
            </w:pPr>
            <w:r>
              <w:rPr>
                <w:color w:val="000000"/>
                <w:sz w:val="24"/>
                <w:szCs w:val="24"/>
              </w:rPr>
              <w:t>исп.01</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радиальных неадресных шлейфов сигнализации (ШС)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20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 сопротивление проводов ШС без учета оконечного сопротивления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1 кОм для охранных ШС</w:t>
              <w:br/>
              <w:t>100 Ом для пожарных ШС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Допустимое сопротивление утечки между проводами ШС или каждым проводом и "землёй"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20 кОм для охранных ШС</w:t>
              <w:br/>
              <w:t>50 кОм для пожарных ШС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на каждом входе ШС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19 В ÷ 24 В при установке оконечного резистора 4,7 кОм± 5% и токе потребления извещателей 0 ÷ 3 мА,</w:t>
              <w:br/>
              <w:t>27 ± 0,5 В при обрыве ШС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Ограничение тока в короткозамкнутом ШС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26,5 мА (не более 20 мА через сработавший извещатель, при напряжении на извещателе более 6,8 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Энергонезависимый буфер событий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4096 сообщения</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RS-485, протокол "Орион", "Орион 2.1"</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10,2 ÷ 28,0 В постоянного тока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подключаемых считывателей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Dallas Touch Memory, iButton</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от -30 до +50 °C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overflowPunct w:val="true"/>
              <w:rPr>
                <w:color w:val="000000"/>
                <w:sz w:val="24"/>
                <w:szCs w:val="24"/>
                <w:lang w:val="en-US"/>
              </w:rPr>
            </w:pPr>
            <w:r>
              <w:rPr>
                <w:color w:val="000000"/>
                <w:sz w:val="24"/>
                <w:szCs w:val="24"/>
                <w:lang w:val="en-US"/>
              </w:rPr>
              <w:br/>
              <w:t>IР20</w:t>
            </w:r>
          </w:p>
          <w:p>
            <w:pPr>
              <w:pStyle w:val="Normal"/>
              <w:widowControl w:val="false"/>
              <w:tabs>
                <w:tab w:val="clear" w:pos="708"/>
                <w:tab w:val="left" w:pos="2175"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Материал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металл</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229х136х41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C2000-Ethernet</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76"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1.4</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Преобразователь интерфейсов</w:t>
            </w:r>
          </w:p>
        </w:tc>
        <w:tc>
          <w:tcPr>
            <w:tcW w:w="2522"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r>
          </w:p>
        </w:tc>
        <w:tc>
          <w:tcPr>
            <w:tcW w:w="4394" w:type="dxa"/>
            <w:vMerge w:val="continue"/>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Параметры работы по локальной сети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скорость передачи 10/100 Мбит/с</w:t>
            </w:r>
          </w:p>
          <w:p>
            <w:pPr>
              <w:pStyle w:val="Normal"/>
              <w:widowControl w:val="false"/>
              <w:tabs>
                <w:tab w:val="clear" w:pos="708"/>
                <w:tab w:val="left" w:pos="426" w:leader="none"/>
              </w:tabs>
              <w:rPr>
                <w:color w:val="000000"/>
                <w:sz w:val="24"/>
                <w:szCs w:val="24"/>
                <w:lang w:val="en-US"/>
              </w:rPr>
            </w:pPr>
            <w:r>
              <w:rPr>
                <w:color w:val="000000"/>
                <w:sz w:val="24"/>
                <w:szCs w:val="24"/>
                <w:lang w:val="en-US"/>
              </w:rPr>
              <w:t>используемые протоколы UDP, ICMP, ARP, DNS, DHCP-клиент</w:t>
            </w:r>
          </w:p>
          <w:p>
            <w:pPr>
              <w:pStyle w:val="Normal"/>
              <w:widowControl w:val="false"/>
              <w:tabs>
                <w:tab w:val="clear" w:pos="708"/>
                <w:tab w:val="left" w:pos="426" w:leader="none"/>
              </w:tabs>
              <w:rPr>
                <w:color w:val="000000"/>
                <w:sz w:val="24"/>
                <w:szCs w:val="24"/>
                <w:lang w:val="en-US"/>
              </w:rPr>
            </w:pPr>
            <w:r>
              <w:rPr>
                <w:color w:val="000000"/>
                <w:sz w:val="24"/>
                <w:szCs w:val="24"/>
                <w:lang w:val="en-US"/>
              </w:rPr>
              <w:t>поддерживаемые способы адресации IP-пакетов: прием/передача единичных пакетов</w:t>
              <w:br/>
              <w:t>прием широковещательных пакетов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количество аналогичных устройств (IP-адресов), на которые осуществляется ретрансляция данных по Ethernet-каналу от одного "C2000-Ethernet"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Параметры работы интерфейсов RS-485/RS-232</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скорость передачи данных для работы с приборами "Орион" – 9600 бит/с</w:t>
              <w:br/>
              <w:t>для работы с пультом "С2000М" – 9600, 19200, 38400, 57600, 115200 бит/с</w:t>
              <w:br/>
              <w:t>для сторонних протоколов – 1200, 2400, 4800, 9600, 19200, 38400, 57600, 115200 бит/с</w:t>
            </w:r>
          </w:p>
          <w:p>
            <w:pPr>
              <w:pStyle w:val="Normal"/>
              <w:widowControl w:val="false"/>
              <w:tabs>
                <w:tab w:val="clear" w:pos="708"/>
                <w:tab w:val="left" w:pos="426" w:leader="none"/>
              </w:tabs>
              <w:rPr>
                <w:color w:val="000000"/>
                <w:sz w:val="24"/>
                <w:szCs w:val="24"/>
                <w:lang w:val="en-US"/>
              </w:rPr>
            </w:pPr>
            <w:r>
              <w:rPr>
                <w:color w:val="000000"/>
                <w:sz w:val="24"/>
                <w:szCs w:val="24"/>
                <w:lang w:val="en-US"/>
              </w:rPr>
              <w:t>режим полудуплекс</w:t>
            </w:r>
          </w:p>
          <w:p>
            <w:pPr>
              <w:pStyle w:val="Normal"/>
              <w:widowControl w:val="false"/>
              <w:tabs>
                <w:tab w:val="clear" w:pos="708"/>
                <w:tab w:val="left" w:pos="426" w:leader="none"/>
              </w:tabs>
              <w:rPr>
                <w:color w:val="000000"/>
                <w:sz w:val="24"/>
                <w:szCs w:val="24"/>
                <w:lang w:val="en-US"/>
              </w:rPr>
            </w:pPr>
            <w:r>
              <w:rPr>
                <w:color w:val="000000"/>
                <w:sz w:val="24"/>
                <w:szCs w:val="24"/>
                <w:lang w:val="en-US"/>
              </w:rPr>
              <w:t>параметры работы в RS 8 бит данных, 1 стоповый</w:t>
              <w:br/>
              <w:t>8 бит данных, 1 стоповый, чёт</w:t>
              <w:br/>
              <w:t>8 бит данных, 1 стоповый, нечет</w:t>
              <w:br/>
              <w:t>8 бит данных, 2 стоповый</w:t>
              <w:br/>
              <w:t>8 бит данных, 2 стоповый, чёт</w:t>
              <w:br/>
              <w:t>8 бит данных, 2 стоповый, нечет</w:t>
              <w:br/>
              <w:t>9 бит данных, 1 стоповый</w:t>
              <w:br/>
              <w:t>9 бит данных, 2 стоповый</w:t>
            </w:r>
          </w:p>
          <w:p>
            <w:pPr>
              <w:pStyle w:val="Normal"/>
              <w:widowControl w:val="false"/>
              <w:tabs>
                <w:tab w:val="clear" w:pos="708"/>
                <w:tab w:val="left" w:pos="426" w:leader="none"/>
              </w:tabs>
              <w:rPr>
                <w:color w:val="000000"/>
                <w:sz w:val="24"/>
                <w:szCs w:val="24"/>
                <w:lang w:val="en-US"/>
              </w:rPr>
            </w:pPr>
            <w:r>
              <w:rPr>
                <w:color w:val="000000"/>
                <w:sz w:val="24"/>
                <w:szCs w:val="24"/>
                <w:lang w:val="en-US"/>
              </w:rPr>
              <w:t>максимальная длина пакета 511 байт</w:t>
            </w:r>
          </w:p>
          <w:p>
            <w:pPr>
              <w:pStyle w:val="Normal"/>
              <w:widowControl w:val="false"/>
              <w:tabs>
                <w:tab w:val="clear" w:pos="708"/>
                <w:tab w:val="left" w:pos="426" w:leader="none"/>
              </w:tabs>
              <w:rPr>
                <w:color w:val="000000"/>
                <w:sz w:val="24"/>
                <w:szCs w:val="24"/>
                <w:lang w:val="en-US"/>
              </w:rPr>
            </w:pPr>
            <w:r>
              <w:rPr>
                <w:color w:val="000000"/>
                <w:sz w:val="24"/>
                <w:szCs w:val="24"/>
                <w:lang w:val="en-US"/>
              </w:rPr>
              <w:t>длина линии связи RS-485 не более 1500 м</w:t>
            </w:r>
          </w:p>
          <w:p>
            <w:pPr>
              <w:pStyle w:val="Normal"/>
              <w:widowControl w:val="false"/>
              <w:tabs>
                <w:tab w:val="clear" w:pos="708"/>
                <w:tab w:val="left" w:pos="426" w:leader="none"/>
              </w:tabs>
              <w:rPr>
                <w:color w:val="000000"/>
                <w:sz w:val="24"/>
                <w:szCs w:val="24"/>
                <w:lang w:val="en-US"/>
              </w:rPr>
            </w:pPr>
            <w:r>
              <w:rPr>
                <w:color w:val="000000"/>
                <w:sz w:val="24"/>
                <w:szCs w:val="24"/>
                <w:lang w:val="en-US"/>
              </w:rPr>
              <w:t>длина линии связи RS-232</w:t>
            </w:r>
          </w:p>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20 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12 ÷ 24 В постоянного тока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rPr>
            </w:pPr>
            <w:r>
              <w:rPr>
                <w:color w:val="000000"/>
                <w:sz w:val="24"/>
                <w:szCs w:val="24"/>
              </w:rPr>
              <w:t>не более 90 мА - при напряжении питания 12 В</w:t>
              <w:br/>
              <w:t>не более 50 мА - при напряжении питания 24 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Готовность к работе после включения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10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IР30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102×107×39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Программирование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программой UPROG по Ethernet или RS-485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1.5</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 xml:space="preserve">Преобразователь интерфейсов </w:t>
            </w:r>
            <w:r>
              <w:rPr>
                <w:color w:val="000000"/>
                <w:sz w:val="24"/>
                <w:szCs w:val="24"/>
                <w:lang w:val="en-US"/>
              </w:rPr>
              <w:t>RS</w:t>
            </w:r>
            <w:r>
              <w:rPr>
                <w:color w:val="000000"/>
                <w:sz w:val="24"/>
                <w:szCs w:val="24"/>
              </w:rPr>
              <w:t>-485/</w:t>
            </w:r>
            <w:r>
              <w:rPr>
                <w:color w:val="000000"/>
                <w:sz w:val="24"/>
                <w:szCs w:val="24"/>
                <w:lang w:val="en-US"/>
              </w:rPr>
              <w:t>RS</w:t>
            </w:r>
            <w:r>
              <w:rPr>
                <w:color w:val="000000"/>
                <w:sz w:val="24"/>
                <w:szCs w:val="24"/>
              </w:rPr>
              <w:t xml:space="preserve">-232 в </w:t>
            </w:r>
            <w:r>
              <w:rPr>
                <w:color w:val="000000"/>
                <w:sz w:val="24"/>
                <w:szCs w:val="24"/>
                <w:lang w:val="en-US"/>
              </w:rPr>
              <w:t>Ethernet</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C2000-Ethernet </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suppressAutoHyphens w:val="false"/>
              <w:overflowPunct w:val="true"/>
              <w:jc w:val="center"/>
              <w:rPr>
                <w:color w:val="000000"/>
                <w:sz w:val="24"/>
                <w:szCs w:val="24"/>
                <w:lang w:val="en-US"/>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bookmarkStart w:id="23" w:name="_GoBack"/>
            <w:bookmarkStart w:id="24" w:name="_GoBack"/>
            <w:bookmarkEnd w:id="24"/>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Параметры работы по локальной сети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скорость передачи 10/100 Мбит/с</w:t>
            </w:r>
          </w:p>
          <w:p>
            <w:pPr>
              <w:pStyle w:val="Normal"/>
              <w:widowControl w:val="false"/>
              <w:tabs>
                <w:tab w:val="clear" w:pos="708"/>
                <w:tab w:val="left" w:pos="426" w:leader="none"/>
              </w:tabs>
              <w:rPr>
                <w:color w:val="000000"/>
                <w:sz w:val="24"/>
                <w:szCs w:val="24"/>
              </w:rPr>
            </w:pPr>
            <w:r>
              <w:rPr>
                <w:color w:val="000000"/>
                <w:sz w:val="24"/>
                <w:szCs w:val="24"/>
              </w:rPr>
              <w:t xml:space="preserve">используемые протоколы </w:t>
            </w:r>
            <w:r>
              <w:rPr>
                <w:color w:val="000000"/>
                <w:sz w:val="24"/>
                <w:szCs w:val="24"/>
                <w:lang w:val="en-US"/>
              </w:rPr>
              <w:t>UDP</w:t>
            </w:r>
            <w:r>
              <w:rPr>
                <w:color w:val="000000"/>
                <w:sz w:val="24"/>
                <w:szCs w:val="24"/>
              </w:rPr>
              <w:t xml:space="preserve">, </w:t>
            </w:r>
            <w:r>
              <w:rPr>
                <w:color w:val="000000"/>
                <w:sz w:val="24"/>
                <w:szCs w:val="24"/>
                <w:lang w:val="en-US"/>
              </w:rPr>
              <w:t>ICMP</w:t>
            </w:r>
            <w:r>
              <w:rPr>
                <w:color w:val="000000"/>
                <w:sz w:val="24"/>
                <w:szCs w:val="24"/>
              </w:rPr>
              <w:t xml:space="preserve">, </w:t>
            </w:r>
            <w:r>
              <w:rPr>
                <w:color w:val="000000"/>
                <w:sz w:val="24"/>
                <w:szCs w:val="24"/>
                <w:lang w:val="en-US"/>
              </w:rPr>
              <w:t>ARP</w:t>
            </w:r>
            <w:r>
              <w:rPr>
                <w:color w:val="000000"/>
                <w:sz w:val="24"/>
                <w:szCs w:val="24"/>
              </w:rPr>
              <w:t xml:space="preserve">, </w:t>
            </w:r>
            <w:r>
              <w:rPr>
                <w:color w:val="000000"/>
                <w:sz w:val="24"/>
                <w:szCs w:val="24"/>
                <w:lang w:val="en-US"/>
              </w:rPr>
              <w:t>DNS</w:t>
            </w:r>
            <w:r>
              <w:rPr>
                <w:color w:val="000000"/>
                <w:sz w:val="24"/>
                <w:szCs w:val="24"/>
              </w:rPr>
              <w:t xml:space="preserve">, </w:t>
            </w:r>
            <w:r>
              <w:rPr>
                <w:color w:val="000000"/>
                <w:sz w:val="24"/>
                <w:szCs w:val="24"/>
                <w:lang w:val="en-US"/>
              </w:rPr>
              <w:t>DHCP</w:t>
            </w:r>
            <w:r>
              <w:rPr>
                <w:color w:val="000000"/>
                <w:sz w:val="24"/>
                <w:szCs w:val="24"/>
              </w:rPr>
              <w:t>-клиент</w:t>
            </w:r>
          </w:p>
          <w:p>
            <w:pPr>
              <w:pStyle w:val="Normal"/>
              <w:widowControl w:val="false"/>
              <w:tabs>
                <w:tab w:val="clear" w:pos="708"/>
                <w:tab w:val="left" w:pos="426" w:leader="none"/>
              </w:tabs>
              <w:rPr>
                <w:color w:val="000000"/>
                <w:sz w:val="24"/>
                <w:szCs w:val="24"/>
              </w:rPr>
            </w:pPr>
            <w:r>
              <w:rPr>
                <w:color w:val="000000"/>
                <w:sz w:val="24"/>
                <w:szCs w:val="24"/>
              </w:rPr>
              <w:t xml:space="preserve">поддерживаемые способы адресации </w:t>
            </w:r>
            <w:r>
              <w:rPr>
                <w:color w:val="000000"/>
                <w:sz w:val="24"/>
                <w:szCs w:val="24"/>
                <w:lang w:val="en-US"/>
              </w:rPr>
              <w:t>IP</w:t>
            </w:r>
            <w:r>
              <w:rPr>
                <w:color w:val="000000"/>
                <w:sz w:val="24"/>
                <w:szCs w:val="24"/>
              </w:rPr>
              <w:t>-пакетов: прием/передача единичных пакетов</w:t>
              <w:br/>
              <w:t>прием широковещательных пакетов</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bookmarkStart w:id="25" w:name="_GoBack_Копия_1"/>
            <w:bookmarkStart w:id="26" w:name="_GoBack_Копия_1"/>
            <w:bookmarkEnd w:id="26"/>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максимальное количество аналогичных устройств (</w:t>
            </w:r>
            <w:r>
              <w:rPr>
                <w:color w:val="000000"/>
                <w:sz w:val="24"/>
                <w:szCs w:val="24"/>
                <w:lang w:val="en-US"/>
              </w:rPr>
              <w:t>IP</w:t>
            </w:r>
            <w:r>
              <w:rPr>
                <w:color w:val="000000"/>
                <w:sz w:val="24"/>
                <w:szCs w:val="24"/>
              </w:rPr>
              <w:t xml:space="preserve">-адресов), на которые осуществляется ретрансляция данных по </w:t>
            </w:r>
            <w:r>
              <w:rPr>
                <w:color w:val="000000"/>
                <w:sz w:val="24"/>
                <w:szCs w:val="24"/>
                <w:lang w:val="en-US"/>
              </w:rPr>
              <w:t>Ethernet</w:t>
            </w:r>
            <w:r>
              <w:rPr>
                <w:color w:val="000000"/>
                <w:sz w:val="24"/>
                <w:szCs w:val="24"/>
              </w:rPr>
              <w:t>-каналу от одного "</w:t>
            </w:r>
            <w:r>
              <w:rPr>
                <w:color w:val="000000"/>
                <w:sz w:val="24"/>
                <w:szCs w:val="24"/>
                <w:lang w:val="en-US"/>
              </w:rPr>
              <w:t>C</w:t>
            </w:r>
            <w:r>
              <w:rPr>
                <w:color w:val="000000"/>
                <w:sz w:val="24"/>
                <w:szCs w:val="24"/>
              </w:rPr>
              <w:t>2000-</w:t>
            </w:r>
            <w:r>
              <w:rPr>
                <w:color w:val="000000"/>
                <w:sz w:val="24"/>
                <w:szCs w:val="24"/>
                <w:lang w:val="en-US"/>
              </w:rPr>
              <w:t>Ethernet</w:t>
            </w:r>
            <w:r>
              <w:rPr>
                <w:color w:val="000000"/>
                <w:sz w:val="24"/>
                <w:szCs w:val="24"/>
              </w:rPr>
              <w:t>"</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15</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 xml:space="preserve">Параметры работы интерфейсов </w:t>
            </w:r>
            <w:r>
              <w:rPr>
                <w:color w:val="000000"/>
                <w:sz w:val="24"/>
                <w:szCs w:val="24"/>
                <w:lang w:val="en-US"/>
              </w:rPr>
              <w:t>RS</w:t>
            </w:r>
            <w:r>
              <w:rPr>
                <w:color w:val="000000"/>
                <w:sz w:val="24"/>
                <w:szCs w:val="24"/>
              </w:rPr>
              <w:t>-485/</w:t>
            </w:r>
            <w:r>
              <w:rPr>
                <w:color w:val="000000"/>
                <w:sz w:val="24"/>
                <w:szCs w:val="24"/>
                <w:lang w:val="en-US"/>
              </w:rPr>
              <w:t>RS</w:t>
            </w:r>
            <w:r>
              <w:rPr>
                <w:color w:val="000000"/>
                <w:sz w:val="24"/>
                <w:szCs w:val="24"/>
              </w:rPr>
              <w:t>-232</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скорость передачи данных для работы с приборами "Орион" – 9600 бит/с</w:t>
              <w:br/>
              <w:t>для работы с пультом "С2000М" – 9600, 19200, 38400, 57600, 115200 бит/с</w:t>
              <w:br/>
              <w:t>для сторонних протоколов – 1200, 2400, 4800, 9600, 19200, 38400, 57600, 115200 бит/с</w:t>
            </w:r>
          </w:p>
          <w:p>
            <w:pPr>
              <w:pStyle w:val="Normal"/>
              <w:widowControl w:val="false"/>
              <w:tabs>
                <w:tab w:val="clear" w:pos="708"/>
                <w:tab w:val="left" w:pos="426" w:leader="none"/>
              </w:tabs>
              <w:rPr>
                <w:color w:val="000000"/>
                <w:sz w:val="24"/>
                <w:szCs w:val="24"/>
              </w:rPr>
            </w:pPr>
            <w:r>
              <w:rPr>
                <w:color w:val="000000"/>
                <w:sz w:val="24"/>
                <w:szCs w:val="24"/>
              </w:rPr>
              <w:t>режим полудуплекс</w:t>
            </w:r>
          </w:p>
          <w:p>
            <w:pPr>
              <w:pStyle w:val="Normal"/>
              <w:widowControl w:val="false"/>
              <w:tabs>
                <w:tab w:val="clear" w:pos="708"/>
                <w:tab w:val="left" w:pos="426" w:leader="none"/>
              </w:tabs>
              <w:rPr>
                <w:color w:val="000000"/>
                <w:sz w:val="24"/>
                <w:szCs w:val="24"/>
              </w:rPr>
            </w:pPr>
            <w:r>
              <w:rPr>
                <w:color w:val="000000"/>
                <w:sz w:val="24"/>
                <w:szCs w:val="24"/>
              </w:rPr>
              <w:t xml:space="preserve">параметры работы в </w:t>
            </w:r>
            <w:r>
              <w:rPr>
                <w:color w:val="000000"/>
                <w:sz w:val="24"/>
                <w:szCs w:val="24"/>
                <w:lang w:val="en-US"/>
              </w:rPr>
              <w:t>RS</w:t>
            </w:r>
            <w:r>
              <w:rPr>
                <w:color w:val="000000"/>
                <w:sz w:val="24"/>
                <w:szCs w:val="24"/>
              </w:rPr>
              <w:t xml:space="preserve"> 8 бит данных, 1 стоповый</w:t>
              <w:br/>
              <w:t>8 бит данных, 1 стоповый, чёт</w:t>
              <w:br/>
              <w:t>8 бит данных, 1 стоповый, нечет</w:t>
              <w:br/>
              <w:t>8 бит данных, 2 стоповый</w:t>
              <w:br/>
              <w:t>8 бит данных, 2 стоповый, чёт</w:t>
              <w:br/>
              <w:t>8 бит данных, 2 стоповый, нечет</w:t>
              <w:br/>
              <w:t>9 бит данных, 1 стоповый</w:t>
              <w:br/>
              <w:t>9 бит данных, 2 стоповый</w:t>
            </w:r>
          </w:p>
          <w:p>
            <w:pPr>
              <w:pStyle w:val="Normal"/>
              <w:widowControl w:val="false"/>
              <w:tabs>
                <w:tab w:val="clear" w:pos="708"/>
                <w:tab w:val="left" w:pos="426" w:leader="none"/>
              </w:tabs>
              <w:rPr>
                <w:color w:val="000000"/>
                <w:sz w:val="24"/>
                <w:szCs w:val="24"/>
              </w:rPr>
            </w:pPr>
            <w:r>
              <w:rPr>
                <w:color w:val="000000"/>
                <w:sz w:val="24"/>
                <w:szCs w:val="24"/>
              </w:rPr>
              <w:t>максимальная длина пакета 511 байт</w:t>
            </w:r>
          </w:p>
          <w:p>
            <w:pPr>
              <w:pStyle w:val="Normal"/>
              <w:widowControl w:val="false"/>
              <w:tabs>
                <w:tab w:val="clear" w:pos="708"/>
                <w:tab w:val="left" w:pos="426" w:leader="none"/>
              </w:tabs>
              <w:rPr>
                <w:color w:val="000000"/>
                <w:sz w:val="24"/>
                <w:szCs w:val="24"/>
              </w:rPr>
            </w:pPr>
            <w:r>
              <w:rPr>
                <w:color w:val="000000"/>
                <w:sz w:val="24"/>
                <w:szCs w:val="24"/>
              </w:rPr>
              <w:t xml:space="preserve">длина линии связи </w:t>
            </w:r>
            <w:r>
              <w:rPr>
                <w:color w:val="000000"/>
                <w:sz w:val="24"/>
                <w:szCs w:val="24"/>
                <w:lang w:val="en-US"/>
              </w:rPr>
              <w:t>RS</w:t>
            </w:r>
            <w:r>
              <w:rPr>
                <w:color w:val="000000"/>
                <w:sz w:val="24"/>
                <w:szCs w:val="24"/>
              </w:rPr>
              <w:t>-485 не более 1500 м</w:t>
            </w:r>
          </w:p>
          <w:p>
            <w:pPr>
              <w:pStyle w:val="Normal"/>
              <w:widowControl w:val="false"/>
              <w:tabs>
                <w:tab w:val="clear" w:pos="708"/>
                <w:tab w:val="left" w:pos="426" w:leader="none"/>
              </w:tabs>
              <w:rPr>
                <w:color w:val="000000"/>
                <w:sz w:val="24"/>
                <w:szCs w:val="24"/>
              </w:rPr>
            </w:pPr>
            <w:r>
              <w:rPr>
                <w:color w:val="000000"/>
                <w:sz w:val="24"/>
                <w:szCs w:val="24"/>
              </w:rPr>
              <w:t xml:space="preserve">длина линии связи </w:t>
            </w:r>
            <w:r>
              <w:rPr>
                <w:color w:val="000000"/>
                <w:sz w:val="24"/>
                <w:szCs w:val="24"/>
                <w:lang w:val="en-US"/>
              </w:rPr>
              <w:t>RS</w:t>
            </w:r>
            <w:r>
              <w:rPr>
                <w:color w:val="000000"/>
                <w:sz w:val="24"/>
                <w:szCs w:val="24"/>
              </w:rPr>
              <w:t>-232</w:t>
            </w:r>
          </w:p>
          <w:p>
            <w:pPr>
              <w:pStyle w:val="Normal"/>
              <w:widowControl w:val="false"/>
              <w:tabs>
                <w:tab w:val="clear" w:pos="708"/>
                <w:tab w:val="left" w:pos="426" w:leader="none"/>
              </w:tabs>
              <w:rPr>
                <w:color w:val="000000"/>
                <w:sz w:val="24"/>
                <w:szCs w:val="24"/>
              </w:rPr>
            </w:pPr>
            <w:r>
              <w:rPr>
                <w:color w:val="000000"/>
                <w:sz w:val="24"/>
                <w:szCs w:val="24"/>
              </w:rPr>
              <w:t>не более 20 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12 ÷ 24 В постоянного тока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не более 90 мА - при напряжении питания 12 В</w:t>
              <w:br/>
              <w:t>не более 50 мА - при напряжении питания 24 В</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Готовность к работе после включения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не более 10 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IР30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lang w:val="en-US"/>
              </w:rPr>
              <w:t>102×107×39 мм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Программирование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программой </w:t>
            </w:r>
            <w:r>
              <w:rPr>
                <w:color w:val="000000"/>
                <w:sz w:val="24"/>
                <w:szCs w:val="24"/>
                <w:lang w:val="en-US"/>
              </w:rPr>
              <w:t>UPROG</w:t>
            </w:r>
            <w:r>
              <w:rPr>
                <w:color w:val="000000"/>
                <w:sz w:val="24"/>
                <w:szCs w:val="24"/>
              </w:rPr>
              <w:t xml:space="preserve"> по </w:t>
            </w:r>
            <w:r>
              <w:rPr>
                <w:color w:val="000000"/>
                <w:sz w:val="24"/>
                <w:szCs w:val="24"/>
                <w:lang w:val="en-US"/>
              </w:rPr>
              <w:t>Ethernet</w:t>
            </w:r>
            <w:r>
              <w:rPr>
                <w:color w:val="000000"/>
                <w:sz w:val="24"/>
                <w:szCs w:val="24"/>
              </w:rPr>
              <w:t xml:space="preserve"> или </w:t>
            </w:r>
            <w:r>
              <w:rPr>
                <w:color w:val="000000"/>
                <w:sz w:val="24"/>
                <w:szCs w:val="24"/>
                <w:lang w:val="en-US"/>
              </w:rPr>
              <w:t>RS</w:t>
            </w:r>
            <w:r>
              <w:rPr>
                <w:color w:val="000000"/>
                <w:sz w:val="24"/>
                <w:szCs w:val="24"/>
              </w:rPr>
              <w:t>-485</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1.6</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t>Сервер ОПС</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ОПС-СКД512 </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suppressAutoHyphens w:val="false"/>
              <w:overflowPunct w:val="true"/>
              <w:jc w:val="center"/>
              <w:rPr>
                <w:color w:val="000000"/>
                <w:sz w:val="24"/>
                <w:szCs w:val="24"/>
                <w:lang w:val="en-US"/>
              </w:rPr>
            </w:pPr>
            <w:r>
              <w:rPr>
                <w:color w:val="000000"/>
                <w:sz w:val="24"/>
                <w:szCs w:val="24"/>
              </w:rPr>
              <w:t>«Р005-НС/0923-</w:t>
            </w:r>
            <w:r>
              <w:rPr>
                <w:color w:val="000000"/>
                <w:sz w:val="24"/>
                <w:szCs w:val="24"/>
                <w:lang w:val="en-US"/>
              </w:rPr>
              <w:t>СКУД</w:t>
            </w:r>
          </w:p>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исп.01</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Форм-фактор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2U в стойку 19’</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количество извещателей ИСО "Орион"</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30000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количество считывателей ИСО "Орион"</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150</w:t>
            </w:r>
          </w:p>
          <w:p>
            <w:pPr>
              <w:pStyle w:val="Normal"/>
              <w:widowControl w:val="false"/>
              <w:tabs>
                <w:tab w:val="clear" w:pos="708"/>
                <w:tab w:val="left" w:pos="426"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число сотрудников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6000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Процессор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Intel® Processors</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Оперативная память RAM</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32 Gb</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Сетевые интерфейсы RJ-45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x2 1000 Мбит\сек</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HDD</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RAID 1 (x2 1 TB)</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SSD</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240 Gb</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подключения мониторов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VGA</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подключаемых мониторов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х1 (Full HD)</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Форм фактор системного блока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2U в стойку 19’</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RS-232</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х2 COM Port</w:t>
            </w:r>
          </w:p>
          <w:p>
            <w:pPr>
              <w:pStyle w:val="Normal"/>
              <w:widowControl w:val="false"/>
              <w:overflowPunct w:val="true"/>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220 В 50 Гц</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Потребляемая мощность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Не более 281 Вт</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Класс защиты от поражения электрическим током по ГОСТ 12.2.007.0-75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класс I</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От +10 °C до +30 °C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системного блока (ширина х высота х глубина)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430х88х457 мм</w:t>
            </w:r>
          </w:p>
          <w:p>
            <w:pPr>
              <w:pStyle w:val="Normal"/>
              <w:widowControl w:val="false"/>
              <w:overflowPunct w:val="true"/>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Предустановлено ПО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Сервер Орион</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Предустановлено ПО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Оперативная задача исп.512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Предустановлено ПО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Администратор базы данных</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Предустановлено ПО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Генератор отчетов</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Предустановлено ПО</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Учет рабочего времени</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restart"/>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restart"/>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094"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1.7</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Контроллер доступа</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С2000-2</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внешних считывателей электронных идентификаторов (ЭИ)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подключаемых считывателей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Touch Memory, Wiegand, ABA TRACK II</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lang w:val="en-US"/>
              </w:rPr>
            </w:pPr>
            <w:r>
              <w:rPr>
                <w:color w:val="000000"/>
                <w:sz w:val="24"/>
                <w:szCs w:val="24"/>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Управление светодиодами считывателя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двумя светодиодами (зеленым и красным).</w:t>
              <w:br/>
              <w:t>сигнал управления "+5В КМОП" с ограничением тока при прямом подключении светодиодов на уровне 10 мА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Управление звуковым сигнализатором считывателя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есть.</w:t>
              <w:br/>
              <w:t>сигнал управления "+5В КМОП"</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Объем памяти ЭИ (ключей Touch Memory или Proximity-карт)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32768</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уровней доступа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100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окон времени (временных графиков)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выходов (электромагнитные реле)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Максимальный коммутируемый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коммутируемое напряжение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30 В</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10,2 ÷ 15,0 В постоянного тока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120 мА</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Подключение к ПК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через интерфейс RS-485 с помощью преобразователя интерфейсов</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-30 до +50 С</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IP30</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156х107х39 мм</w:t>
            </w:r>
          </w:p>
        </w:tc>
        <w:tc>
          <w:tcPr>
            <w:tcW w:w="1845" w:type="dxa"/>
            <w:vMerge w:val="continue"/>
            <w:tcBorders>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1.8</w:t>
            </w:r>
          </w:p>
        </w:tc>
        <w:tc>
          <w:tcPr>
            <w:tcW w:w="2581" w:type="dxa"/>
            <w:gridSpan w:val="3"/>
            <w:vMerge w:val="restart"/>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Извещатель охранный объемный оптико-электронный адресный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С2000-ИК</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Источник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ДПЛС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Средний ток потребления, мкА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450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 извещателя к работе, c</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15</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Рабочая дальность действия извещателя, 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0,3…12</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скоростей обнаружения извещателя, м/с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0,3…3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Устойчивость к внешней засветке, люкс,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6500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оболочки по ГОСТ 14254-2015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IP41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Устойчивость к механическим воздействиям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категория размещения 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 xml:space="preserve">Вибрационные нагрузки: </w:t>
            </w:r>
          </w:p>
          <w:p>
            <w:pPr>
              <w:pStyle w:val="Normal"/>
              <w:widowControl w:val="false"/>
              <w:tabs>
                <w:tab w:val="clear" w:pos="708"/>
                <w:tab w:val="left" w:pos="2175" w:leader="none"/>
              </w:tabs>
              <w:rPr>
                <w:color w:val="000000"/>
                <w:sz w:val="24"/>
                <w:szCs w:val="24"/>
                <w:lang w:val="en-US"/>
              </w:rPr>
            </w:pPr>
            <w:r>
              <w:rPr>
                <w:color w:val="000000"/>
                <w:sz w:val="24"/>
                <w:szCs w:val="24"/>
                <w:lang w:val="en-US"/>
              </w:rPr>
              <w:t xml:space="preserve">- диапазон частот, Гц </w:t>
            </w:r>
          </w:p>
          <w:p>
            <w:pPr>
              <w:pStyle w:val="Normal"/>
              <w:widowControl w:val="false"/>
              <w:tabs>
                <w:tab w:val="clear" w:pos="708"/>
                <w:tab w:val="left" w:pos="2175" w:leader="none"/>
              </w:tabs>
              <w:rPr>
                <w:color w:val="000000"/>
                <w:sz w:val="24"/>
                <w:szCs w:val="24"/>
                <w:lang w:val="en-US"/>
              </w:rPr>
            </w:pPr>
            <w:r>
              <w:rPr>
                <w:color w:val="000000"/>
                <w:sz w:val="24"/>
                <w:szCs w:val="24"/>
                <w:lang w:val="en-US"/>
              </w:rPr>
              <w:t>- максимальное ускорение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r>
          </w:p>
          <w:p>
            <w:pPr>
              <w:pStyle w:val="Normal"/>
              <w:widowControl w:val="false"/>
              <w:tabs>
                <w:tab w:val="clear" w:pos="708"/>
                <w:tab w:val="left" w:pos="426" w:leader="none"/>
              </w:tabs>
              <w:rPr>
                <w:color w:val="000000"/>
                <w:sz w:val="24"/>
                <w:szCs w:val="24"/>
                <w:lang w:val="en-US"/>
              </w:rPr>
            </w:pPr>
            <w:r>
              <w:rPr>
                <w:color w:val="000000"/>
                <w:sz w:val="24"/>
                <w:szCs w:val="24"/>
                <w:lang w:val="en-US"/>
              </w:rPr>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- 1-35; </w:t>
            </w:r>
          </w:p>
          <w:p>
            <w:pPr>
              <w:pStyle w:val="Normal"/>
              <w:widowControl w:val="false"/>
              <w:tabs>
                <w:tab w:val="clear" w:pos="708"/>
                <w:tab w:val="left" w:pos="426" w:leader="none"/>
              </w:tabs>
              <w:rPr>
                <w:color w:val="000000"/>
                <w:sz w:val="24"/>
                <w:szCs w:val="24"/>
                <w:lang w:val="en-US"/>
              </w:rPr>
            </w:pPr>
            <w:r>
              <w:rPr>
                <w:color w:val="000000"/>
                <w:sz w:val="24"/>
                <w:szCs w:val="24"/>
                <w:lang w:val="en-US"/>
              </w:rPr>
              <w:t>- 0,5g</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Климатическое исполнение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- 30 до +40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извещателя,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68×94×43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1.9</w:t>
            </w:r>
          </w:p>
        </w:tc>
        <w:tc>
          <w:tcPr>
            <w:tcW w:w="2581" w:type="dxa"/>
            <w:gridSpan w:val="3"/>
            <w:vMerge w:val="restart"/>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Извещатель охранный поверхностный оптико-электронный адресный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С2000-ИК</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1"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исп.04</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Угол обзора зоны обнаружения в горизонтальной плоскости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6°</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Рабочая дальность действия извещателя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0,3 до 10 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скоростей обнаружения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0,3 до 3 м/с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Устойчивость к внешней засветке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более 6500 лк</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 извещателя к работе после включения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60 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0,5 мА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30 до +50°C</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IP41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68х93х41 мм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1.10</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Контроллер двухпроводной линии связи</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С2000-КДЛ</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подключаемых АУ</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127</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Длина двухпроводной линии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1200 метров при сечении 1,5 мм²</w:t>
              <w:br/>
              <w:t>600 метров при сечении 0,75 мм²</w:t>
              <w:br/>
              <w:t>400 метров при сечении 0,5 мм²</w:t>
              <w:br/>
              <w:t>160 метров при сечении 0,2 мм²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10,2 В до 28,4 В постоянного тока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 (без учёта потребления АУ),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12 В 80 мА</w:t>
            </w:r>
          </w:p>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24 В 40 мА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 в дежурном режиме (подключены 127 АУ с током потребления 0,5мА каждое),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12 В 160 мА</w:t>
            </w:r>
          </w:p>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24 В 80 мА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Внешний считыватель электронных идентификаторов (ЭИ)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 вход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подключаемых считывателей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Dallas Touch Memory(1-Wire, µ-LAN), Wiegand и ABA-Track II</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lang w:val="en-US"/>
              </w:rPr>
            </w:pPr>
            <w:r>
              <w:rPr>
                <w:color w:val="000000"/>
                <w:sz w:val="24"/>
                <w:szCs w:val="24"/>
                <w:lang w:val="en-US"/>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lang w:val="en-US"/>
              </w:rPr>
            </w:pPr>
            <w:r>
              <w:rPr>
                <w:rFonts w:eastAsia="DotumChe"/>
                <w:sz w:val="24"/>
                <w:szCs w:val="24"/>
                <w:lang w:val="en-US"/>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lang w:val="en-US"/>
              </w:rPr>
            </w:pPr>
            <w:r>
              <w:rPr>
                <w:color w:val="000000"/>
                <w:sz w:val="24"/>
                <w:szCs w:val="24"/>
                <w:lang w:val="en-US"/>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Объем памяти ключей Touch Memory(iButton), карт или кодов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512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Энергонезависимый буфер событий</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512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Коммуникационный порт (для работы в ИСО «Орион»)</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RS-485, протокол Орион</w:t>
            </w:r>
          </w:p>
          <w:p>
            <w:pPr>
              <w:pStyle w:val="Normal"/>
              <w:widowControl w:val="false"/>
              <w:tabs>
                <w:tab w:val="clear" w:pos="708"/>
                <w:tab w:val="left" w:pos="426"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30 до +55°C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IР40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156×107×39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Подключение к ПК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через интерфейс RS-485 с помощью преобразователя интерфейсов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71"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1.11</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Кнопка тревожная адресная</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С2000-КТ</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фиксации нарушения зоны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не более 300 мс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0,5 мА</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6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не более 15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30 до +50°C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IР30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100х55х28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1.12</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Пульт контроля и управления охранно-пожарный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С2000М</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Разделы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«Р005-НС/0923-СОС» и</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 постоянного тока,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10,2 до 28,4</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 в дежурном режиме, среднее значение, мА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12 В 60</w:t>
            </w:r>
          </w:p>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24 В 35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 в тревожном режиме, максимальное значение, мА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12 В 120</w:t>
            </w:r>
          </w:p>
          <w:p>
            <w:pPr>
              <w:pStyle w:val="Normal"/>
              <w:widowControl w:val="false"/>
              <w:tabs>
                <w:tab w:val="clear" w:pos="708"/>
                <w:tab w:val="left" w:pos="426" w:leader="none"/>
              </w:tabs>
              <w:rPr>
                <w:color w:val="000000"/>
                <w:sz w:val="24"/>
                <w:szCs w:val="24"/>
                <w:lang w:val="en-US"/>
              </w:rPr>
            </w:pPr>
            <w:r>
              <w:rPr>
                <w:color w:val="000000"/>
                <w:sz w:val="24"/>
                <w:szCs w:val="24"/>
                <w:lang w:val="en-US"/>
              </w:rPr>
              <w:t>при напряжении питания 24 В 65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входов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Питание часов реального времени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элемент CR2032</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Жидкокристаллический индикатор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 строки х 16 символов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контролируемых элементов (входов, выходов),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2048</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разделов (защищаемых зон),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511</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групп разделов,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128</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выходов, управляемых стандартными программами,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256</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элементов, управляемых сценарием,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255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сценариев управления,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255 (меньше для сложных сценариев)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кодов пользователей,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2047</w:t>
            </w:r>
          </w:p>
          <w:p>
            <w:pPr>
              <w:pStyle w:val="Normal"/>
              <w:widowControl w:val="false"/>
              <w:tabs>
                <w:tab w:val="clear" w:pos="708"/>
                <w:tab w:val="left" w:pos="426"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Объём журнала событий, не менее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32000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оболочкой по ГОСТ 14254-2015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IP30 (при креплении на стену)</w:t>
            </w:r>
          </w:p>
          <w:p>
            <w:pPr>
              <w:pStyle w:val="Normal"/>
              <w:widowControl w:val="false"/>
              <w:tabs>
                <w:tab w:val="clear" w:pos="708"/>
                <w:tab w:val="left" w:pos="426"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Устойчивость к механическим воздействиям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категория размещения 4</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Климатическое исполнение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О4</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10 до + 55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прибора, мм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140×114×25</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1.13</w:t>
            </w:r>
          </w:p>
        </w:tc>
        <w:tc>
          <w:tcPr>
            <w:tcW w:w="2581" w:type="dxa"/>
            <w:gridSpan w:val="3"/>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Повторитель интерфейса с гальванической развязкой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С2000-ПИ</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Разделы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suppressAutoHyphens w:val="false"/>
              <w:overflowPunct w:val="true"/>
              <w:jc w:val="center"/>
              <w:rPr>
                <w:color w:val="000000"/>
                <w:sz w:val="24"/>
                <w:szCs w:val="24"/>
              </w:rPr>
            </w:pPr>
            <w:r>
              <w:rPr>
                <w:color w:val="000000"/>
                <w:sz w:val="24"/>
                <w:szCs w:val="24"/>
              </w:rPr>
              <w:t>«Р005-НС/0923-СОС» и</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Подключение к ПК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кабель подключения пульта "С2000" к ПЭВМ, поставляется отдельно</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Тип подключения RS-485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клеммная колодка под винт, провод 0,2 до 2 кв.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Расстояние от "С2000-ПИ" до приборов ИСО "Орион" (во всех режимах работы)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при скорости передачи данных 115200 бит/с - до 1 км,</w:t>
              <w:br/>
              <w:t>при скорости 9600 бит/с – до 1,5 км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Индикация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rPr>
            </w:pPr>
            <w:r>
              <w:rPr>
                <w:color w:val="000000"/>
                <w:sz w:val="24"/>
                <w:szCs w:val="24"/>
              </w:rPr>
              <w:t>1 индикатор режимов работы,</w:t>
              <w:br/>
              <w:t>3 индикатора приема/передачи данных по интерфейсам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Питание прибора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вар. 1 - от USB-порт компьютера по кабелю из комплекта поставки</w:t>
              <w:br/>
              <w:t>вар. 2 - от внешнего источника постоянного тока напряжением от +10,0 до +28,0 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160 мА при питании от компьютера</w:t>
              <w:br/>
              <w:t>не более 120 мА при питании от источника +12 В</w:t>
              <w:br/>
              <w:t>не более 60 мА при питании от источника +24 В</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Тип обмена данными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полудуплексный</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Скорость передачи данных</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t>300, 600, 1200, 2400, 4800, 9600, 19200, 38400, 57600, 115200 бит/с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Электрическая прочность изоляции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rPr>
            </w:pPr>
            <w:r>
              <w:rPr>
                <w:color w:val="000000"/>
                <w:sz w:val="24"/>
                <w:szCs w:val="24"/>
              </w:rPr>
              <w:t>до 1600 В в течение 1 минуты или до 2000 В в течение 1 с</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минус 40 до +55 °C</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102x107x39 мм</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rPr>
            </w:pPr>
            <w:r>
              <w:rPr>
                <w:color w:val="000000"/>
                <w:sz w:val="24"/>
                <w:szCs w:val="24"/>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IP40</w:t>
            </w:r>
          </w:p>
        </w:tc>
        <w:tc>
          <w:tcPr>
            <w:tcW w:w="1845" w:type="dxa"/>
            <w:vMerge w:val="continue"/>
            <w:tcBorders>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1.14</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Извещатель магнитоконтактный адресный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С2000-СМК</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color w:val="000000"/>
                <w:sz w:val="24"/>
                <w:szCs w:val="24"/>
                <w:lang w:val="en-US"/>
              </w:rPr>
            </w:pPr>
            <w:r>
              <w:rPr>
                <w:color w:val="000000"/>
                <w:sz w:val="24"/>
                <w:szCs w:val="24"/>
              </w:rPr>
              <w:t>«Р005-НС/0923-</w:t>
            </w:r>
            <w:r>
              <w:rPr>
                <w:color w:val="000000"/>
                <w:sz w:val="24"/>
                <w:szCs w:val="24"/>
                <w:lang w:val="en-US"/>
              </w:rPr>
              <w:t>СОС</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исп.06</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Расстояние срабатывания (до ответной части)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 мм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0,5 мА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15 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Рабочий диапазон температур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- 30 до +50°С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IР40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47"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71х13х14 мм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1.15</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Извещатель магнитоконтактный адресный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С2000-СМК</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color w:val="000000"/>
                <w:sz w:val="24"/>
                <w:szCs w:val="24"/>
                <w:lang w:val="en-US"/>
              </w:rPr>
            </w:pPr>
            <w:r>
              <w:rPr>
                <w:color w:val="000000"/>
                <w:sz w:val="24"/>
                <w:szCs w:val="24"/>
              </w:rPr>
              <w:t>«Р005-НС/0923-</w:t>
            </w:r>
            <w:r>
              <w:rPr>
                <w:color w:val="000000"/>
                <w:sz w:val="24"/>
                <w:szCs w:val="24"/>
                <w:lang w:val="en-US"/>
              </w:rPr>
              <w:t>СОС</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2"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 xml:space="preserve">Модификация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Эстет</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источника питания (ДПЛС), 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от 8 до 11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Ток потребления, мА,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0,5</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подключаемых извещателей в ДПЛС, шт</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до 127</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Максимальное активное сопротивление проводов ДПЛС, Ом, не более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100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Минимальное сопротивление изоляции между проводами ДПЛС, кОм, не менее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50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оболочки по ГОСТ 14254-2015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IP41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Устойчивость к механическим воздействиям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категория размещения 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Климатическое исполнение по ОСТ 25 1099-83</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О3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Диапазон рабочих температур, °С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- 30 до + 50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9"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извещателя:</w:t>
            </w:r>
          </w:p>
          <w:p>
            <w:pPr>
              <w:pStyle w:val="Normal"/>
              <w:widowControl w:val="false"/>
              <w:tabs>
                <w:tab w:val="clear" w:pos="708"/>
                <w:tab w:val="left" w:pos="2175" w:leader="none"/>
              </w:tabs>
              <w:rPr>
                <w:color w:val="000000"/>
                <w:sz w:val="24"/>
                <w:szCs w:val="24"/>
                <w:lang w:val="en-US"/>
              </w:rPr>
            </w:pPr>
            <w:r>
              <w:rPr>
                <w:color w:val="000000"/>
                <w:sz w:val="24"/>
                <w:szCs w:val="24"/>
                <w:lang w:val="en-US"/>
              </w:rPr>
              <w:t xml:space="preserve"> </w:t>
            </w:r>
          </w:p>
          <w:p>
            <w:pPr>
              <w:pStyle w:val="Normal"/>
              <w:widowControl w:val="false"/>
              <w:tabs>
                <w:tab w:val="clear" w:pos="708"/>
                <w:tab w:val="left" w:pos="2175" w:leader="none"/>
              </w:tabs>
              <w:rPr>
                <w:color w:val="000000"/>
                <w:sz w:val="24"/>
                <w:szCs w:val="24"/>
              </w:rPr>
            </w:pPr>
            <w:r>
              <w:rPr>
                <w:color w:val="000000"/>
                <w:sz w:val="24"/>
                <w:szCs w:val="24"/>
              </w:rPr>
              <w:t xml:space="preserve">• </w:t>
            </w:r>
            <w:r>
              <w:rPr>
                <w:color w:val="000000"/>
                <w:sz w:val="24"/>
                <w:szCs w:val="24"/>
              </w:rPr>
              <w:t xml:space="preserve">блок обработки, мм, не более </w:t>
            </w:r>
          </w:p>
          <w:p>
            <w:pPr>
              <w:pStyle w:val="Normal"/>
              <w:widowControl w:val="false"/>
              <w:tabs>
                <w:tab w:val="clear" w:pos="708"/>
                <w:tab w:val="left" w:pos="2175" w:leader="none"/>
              </w:tabs>
              <w:rPr>
                <w:color w:val="000000"/>
                <w:sz w:val="24"/>
                <w:szCs w:val="24"/>
              </w:rPr>
            </w:pPr>
            <w:r>
              <w:rPr>
                <w:color w:val="000000"/>
                <w:sz w:val="24"/>
                <w:szCs w:val="24"/>
              </w:rPr>
            </w:r>
          </w:p>
          <w:p>
            <w:pPr>
              <w:pStyle w:val="Normal"/>
              <w:widowControl w:val="false"/>
              <w:tabs>
                <w:tab w:val="clear" w:pos="708"/>
                <w:tab w:val="left" w:pos="2175" w:leader="none"/>
              </w:tabs>
              <w:rPr>
                <w:color w:val="000000"/>
                <w:sz w:val="24"/>
                <w:szCs w:val="24"/>
              </w:rPr>
            </w:pPr>
            <w:r>
              <w:rPr>
                <w:color w:val="000000"/>
                <w:sz w:val="24"/>
                <w:szCs w:val="24"/>
              </w:rPr>
              <w:t xml:space="preserve">• </w:t>
            </w:r>
            <w:r>
              <w:rPr>
                <w:color w:val="000000"/>
                <w:sz w:val="24"/>
                <w:szCs w:val="24"/>
              </w:rPr>
              <w:t xml:space="preserve">магнит, мм, не более </w:t>
            </w:r>
          </w:p>
          <w:p>
            <w:pPr>
              <w:pStyle w:val="Normal"/>
              <w:widowControl w:val="false"/>
              <w:tabs>
                <w:tab w:val="clear" w:pos="708"/>
                <w:tab w:val="left" w:pos="2175" w:leader="none"/>
              </w:tabs>
              <w:rPr>
                <w:color w:val="000000"/>
                <w:sz w:val="24"/>
                <w:szCs w:val="24"/>
              </w:rPr>
            </w:pPr>
            <w:r>
              <w:rPr>
                <w:color w:val="000000"/>
                <w:sz w:val="24"/>
                <w:szCs w:val="24"/>
              </w:rPr>
            </w:r>
          </w:p>
          <w:p>
            <w:pPr>
              <w:pStyle w:val="Normal"/>
              <w:widowControl w:val="false"/>
              <w:tabs>
                <w:tab w:val="clear" w:pos="708"/>
                <w:tab w:val="left" w:pos="2175" w:leader="none"/>
              </w:tabs>
              <w:rPr>
                <w:color w:val="000000"/>
                <w:sz w:val="24"/>
                <w:szCs w:val="24"/>
              </w:rPr>
            </w:pPr>
            <w:r>
              <w:rPr>
                <w:color w:val="000000"/>
                <w:sz w:val="24"/>
                <w:szCs w:val="24"/>
              </w:rPr>
              <w:t xml:space="preserve">• </w:t>
            </w:r>
            <w:r>
              <w:rPr>
                <w:color w:val="000000"/>
                <w:sz w:val="24"/>
                <w:szCs w:val="24"/>
              </w:rPr>
              <w:t>длина провода, м</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r>
          </w:p>
          <w:p>
            <w:pPr>
              <w:pStyle w:val="Normal"/>
              <w:widowControl w:val="false"/>
              <w:tabs>
                <w:tab w:val="clear" w:pos="708"/>
                <w:tab w:val="left" w:pos="426" w:leader="none"/>
              </w:tabs>
              <w:rPr>
                <w:color w:val="000000"/>
                <w:sz w:val="24"/>
                <w:szCs w:val="24"/>
              </w:rPr>
            </w:pPr>
            <w:r>
              <w:rPr>
                <w:color w:val="000000"/>
                <w:sz w:val="24"/>
                <w:szCs w:val="24"/>
              </w:rPr>
            </w:r>
          </w:p>
          <w:p>
            <w:pPr>
              <w:pStyle w:val="Normal"/>
              <w:widowControl w:val="false"/>
              <w:tabs>
                <w:tab w:val="clear" w:pos="708"/>
                <w:tab w:val="left" w:pos="426" w:leader="none"/>
              </w:tabs>
              <w:rPr>
                <w:color w:val="000000"/>
                <w:sz w:val="24"/>
                <w:szCs w:val="24"/>
              </w:rPr>
            </w:pPr>
            <w:r>
              <w:rPr>
                <w:color w:val="000000"/>
                <w:sz w:val="24"/>
                <w:szCs w:val="24"/>
              </w:rPr>
            </w:r>
          </w:p>
          <w:p>
            <w:pPr>
              <w:pStyle w:val="Normal"/>
              <w:widowControl w:val="false"/>
              <w:tabs>
                <w:tab w:val="clear" w:pos="708"/>
                <w:tab w:val="left" w:pos="426" w:leader="none"/>
              </w:tabs>
              <w:rPr>
                <w:color w:val="000000"/>
                <w:sz w:val="24"/>
                <w:szCs w:val="24"/>
                <w:lang w:val="en-US"/>
              </w:rPr>
            </w:pPr>
            <w:r>
              <w:rPr>
                <w:color w:val="000000"/>
                <w:sz w:val="24"/>
                <w:szCs w:val="24"/>
                <w:lang w:val="en-US"/>
              </w:rPr>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45×13×10 </w:t>
            </w:r>
          </w:p>
          <w:p>
            <w:pPr>
              <w:pStyle w:val="Normal"/>
              <w:widowControl w:val="false"/>
              <w:tabs>
                <w:tab w:val="clear" w:pos="708"/>
                <w:tab w:val="left" w:pos="426" w:leader="none"/>
              </w:tabs>
              <w:rPr>
                <w:color w:val="000000"/>
                <w:sz w:val="24"/>
                <w:szCs w:val="24"/>
                <w:lang w:val="en-US"/>
              </w:rPr>
            </w:pPr>
            <w:r>
              <w:rPr>
                <w:color w:val="000000"/>
                <w:sz w:val="24"/>
                <w:szCs w:val="24"/>
                <w:lang w:val="en-US"/>
              </w:rPr>
            </w:r>
          </w:p>
          <w:p>
            <w:pPr>
              <w:pStyle w:val="Normal"/>
              <w:widowControl w:val="false"/>
              <w:tabs>
                <w:tab w:val="clear" w:pos="708"/>
                <w:tab w:val="left" w:pos="426" w:leader="none"/>
              </w:tabs>
              <w:rPr>
                <w:color w:val="000000"/>
                <w:sz w:val="24"/>
                <w:szCs w:val="24"/>
                <w:lang w:val="en-US"/>
              </w:rPr>
            </w:pPr>
            <w:r>
              <w:rPr>
                <w:color w:val="000000"/>
                <w:sz w:val="24"/>
                <w:szCs w:val="24"/>
                <w:lang w:val="en-US"/>
              </w:rPr>
              <w:t xml:space="preserve">45×13×10 </w:t>
            </w:r>
          </w:p>
          <w:p>
            <w:pPr>
              <w:pStyle w:val="Normal"/>
              <w:widowControl w:val="false"/>
              <w:tabs>
                <w:tab w:val="clear" w:pos="708"/>
                <w:tab w:val="left" w:pos="426" w:leader="none"/>
              </w:tabs>
              <w:rPr>
                <w:color w:val="000000"/>
                <w:sz w:val="24"/>
                <w:szCs w:val="24"/>
                <w:lang w:val="en-US"/>
              </w:rPr>
            </w:pPr>
            <w:r>
              <w:rPr>
                <w:color w:val="000000"/>
                <w:sz w:val="24"/>
                <w:szCs w:val="24"/>
                <w:lang w:val="en-US"/>
              </w:rPr>
            </w:r>
          </w:p>
          <w:p>
            <w:pPr>
              <w:pStyle w:val="Normal"/>
              <w:widowControl w:val="false"/>
              <w:tabs>
                <w:tab w:val="clear" w:pos="708"/>
                <w:tab w:val="left" w:pos="426" w:leader="none"/>
              </w:tabs>
              <w:rPr>
                <w:color w:val="000000"/>
                <w:sz w:val="24"/>
                <w:szCs w:val="24"/>
                <w:lang w:val="en-US"/>
              </w:rPr>
            </w:pPr>
            <w:r>
              <w:rPr>
                <w:color w:val="000000"/>
                <w:sz w:val="24"/>
                <w:szCs w:val="24"/>
                <w:lang w:val="en-US"/>
              </w:rPr>
              <w:t>0,2</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0"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1.16</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Извещатель охранный поверхностный звуковой адресный</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С2000-СТ </w:t>
            </w:r>
          </w:p>
        </w:tc>
        <w:tc>
          <w:tcPr>
            <w:tcW w:w="1845" w:type="dxa"/>
            <w:vMerge w:val="restart"/>
            <w:tcBorders>
              <w:top w:val="single" w:sz="4" w:space="0" w:color="000000"/>
              <w:left w:val="single" w:sz="4" w:space="0" w:color="000000"/>
              <w:right w:val="single" w:sz="4" w:space="0" w:color="000000"/>
            </w:tcBorders>
          </w:tcPr>
          <w:p>
            <w:pPr>
              <w:pStyle w:val="Normal"/>
              <w:widowControl w:val="false"/>
              <w:suppressAutoHyphens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охранной сигнализации помещений», шифр:</w:t>
            </w:r>
          </w:p>
          <w:p>
            <w:pPr>
              <w:pStyle w:val="Normal"/>
              <w:widowControl w:val="false"/>
              <w:jc w:val="center"/>
              <w:rPr>
                <w:color w:val="000000"/>
                <w:sz w:val="24"/>
                <w:szCs w:val="24"/>
              </w:rPr>
            </w:pPr>
            <w:r>
              <w:rPr>
                <w:color w:val="000000"/>
                <w:sz w:val="24"/>
                <w:szCs w:val="24"/>
              </w:rPr>
              <w:t>«Р005-НС/0923-</w:t>
            </w:r>
            <w:r>
              <w:rPr>
                <w:color w:val="000000"/>
                <w:sz w:val="24"/>
                <w:szCs w:val="24"/>
                <w:lang w:val="en-US"/>
              </w:rPr>
              <w:t>СОС</w:t>
            </w:r>
            <w:r>
              <w:rPr>
                <w:color w:val="000000"/>
                <w:sz w:val="24"/>
                <w:szCs w:val="24"/>
              </w:rPr>
              <w:t>»</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696"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исп.03</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Максимальная рабочая дальность действия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менее 6 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фиксации нарушения зоны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300 мс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Потребляемый ток в дежурном режиме</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 мА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Время технической готовности</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10 с</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Степень защиты корпуса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IР30</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75х65х25 мм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restart"/>
            <w:tcBorders>
              <w:top w:val="single" w:sz="4" w:space="0" w:color="000000"/>
              <w:left w:val="single" w:sz="4" w:space="0" w:color="000000"/>
              <w:right w:val="single" w:sz="4" w:space="0" w:color="000000"/>
            </w:tcBorders>
            <w:vAlign w:val="center"/>
          </w:tcPr>
          <w:p>
            <w:pPr>
              <w:pStyle w:val="Normal"/>
              <w:widowControl w:val="false"/>
              <w:jc w:val="center"/>
              <w:rPr>
                <w:sz w:val="24"/>
                <w:szCs w:val="24"/>
                <w:lang w:val="en-US"/>
              </w:rPr>
            </w:pPr>
            <w:r>
              <w:rPr>
                <w:sz w:val="24"/>
                <w:szCs w:val="24"/>
                <w:lang w:val="en-US"/>
              </w:rPr>
              <w:t>1.17</w:t>
            </w:r>
          </w:p>
        </w:tc>
        <w:tc>
          <w:tcPr>
            <w:tcW w:w="2581"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rPr>
              <w:t>Удаленное рабочее место ОПС, СКУД</w:t>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lang w:val="en-US"/>
              </w:rPr>
              <w:t>Модель, тип, марка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УРМ-ОРИОН </w:t>
            </w:r>
          </w:p>
        </w:tc>
        <w:tc>
          <w:tcPr>
            <w:tcW w:w="1845" w:type="dxa"/>
            <w:vMerge w:val="restart"/>
            <w:tcBorders>
              <w:top w:val="single" w:sz="4" w:space="0" w:color="000000"/>
              <w:left w:val="single" w:sz="4" w:space="0" w:color="000000"/>
              <w:right w:val="single" w:sz="4" w:space="0" w:color="000000"/>
            </w:tcBorders>
          </w:tcPr>
          <w:p>
            <w:pPr>
              <w:pStyle w:val="Normal"/>
              <w:widowControl w:val="false"/>
              <w:overflowPunct w:val="true"/>
              <w:jc w:val="center"/>
              <w:rPr>
                <w:color w:val="000000"/>
                <w:sz w:val="24"/>
                <w:szCs w:val="24"/>
              </w:rPr>
            </w:pPr>
            <w:r>
              <w:rPr>
                <w:color w:val="000000"/>
                <w:sz w:val="24"/>
                <w:szCs w:val="24"/>
              </w:rPr>
              <w:t>Раздел РД:</w:t>
            </w:r>
          </w:p>
          <w:p>
            <w:pPr>
              <w:pStyle w:val="Normal"/>
              <w:widowControl w:val="false"/>
              <w:overflowPunct w:val="true"/>
              <w:jc w:val="center"/>
              <w:rPr>
                <w:color w:val="000000"/>
                <w:sz w:val="24"/>
                <w:szCs w:val="24"/>
              </w:rPr>
            </w:pPr>
            <w:r>
              <w:rPr>
                <w:color w:val="000000"/>
                <w:sz w:val="24"/>
                <w:szCs w:val="24"/>
              </w:rPr>
              <w:t>«Система контроля и управления доступом», шифр:</w:t>
            </w:r>
          </w:p>
          <w:p>
            <w:pPr>
              <w:pStyle w:val="Normal"/>
              <w:widowControl w:val="false"/>
              <w:jc w:val="center"/>
              <w:rPr>
                <w:rFonts w:eastAsia="DotumChe"/>
                <w:sz w:val="24"/>
                <w:szCs w:val="24"/>
              </w:rPr>
            </w:pPr>
            <w:r>
              <w:rPr>
                <w:color w:val="000000"/>
                <w:sz w:val="24"/>
                <w:szCs w:val="24"/>
              </w:rPr>
              <w:t>«Р005-НС/0923-</w:t>
            </w:r>
            <w:r>
              <w:rPr>
                <w:color w:val="000000"/>
                <w:sz w:val="24"/>
                <w:szCs w:val="24"/>
                <w:lang w:val="en-US"/>
              </w:rPr>
              <w:t>СКУД</w:t>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Исполнение устройства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исп.01</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Производитель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ЗАО НВП «Болид»</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Процессор</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Intel® Processors</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Оперативная память RAM</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8 Gb</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Сетевые интерфейсы RJ-45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x1 1000 Мбит\сек</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Твердотельный накопитель SSD</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120 Gb</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Интерфейс подключения мониторов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overflowPunct w:val="true"/>
              <w:rPr>
                <w:color w:val="000000"/>
                <w:sz w:val="24"/>
                <w:szCs w:val="24"/>
                <w:lang w:val="en-US"/>
              </w:rPr>
            </w:pPr>
            <w:r>
              <w:rPr>
                <w:color w:val="000000"/>
                <w:sz w:val="24"/>
                <w:szCs w:val="24"/>
                <w:lang w:val="en-US"/>
              </w:rPr>
              <w:br/>
              <w:t>VGA, HDMI, DVI, DisplayPort</w:t>
            </w:r>
          </w:p>
          <w:p>
            <w:pPr>
              <w:pStyle w:val="Normal"/>
              <w:widowControl w:val="false"/>
              <w:tabs>
                <w:tab w:val="clear" w:pos="708"/>
                <w:tab w:val="left" w:pos="426" w:leader="none"/>
              </w:tabs>
              <w:rPr>
                <w:color w:val="000000"/>
                <w:sz w:val="24"/>
                <w:szCs w:val="24"/>
                <w:lang w:val="en-US"/>
              </w:rPr>
            </w:pPr>
            <w:r>
              <w:rPr>
                <w:color w:val="000000"/>
                <w:sz w:val="24"/>
                <w:szCs w:val="24"/>
                <w:lang w:val="en-US"/>
              </w:rPr>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Количество подключаемых мониторов</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х2 (Full HD 1080p)</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Форм фактор системного блока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Mini-Tower</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Напряжение питания</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220 В 50 Гц</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Потребляемая мощность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Не более 226 Вт</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Класс защиты от поражения электрическим током по ГОСТ 12.2.007.0-75</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класс I</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Габаритные размеры системного блока (ширина х высота х глубина)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193x378x406 мм</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rPr>
            </w:pPr>
            <w:r>
              <w:rPr>
                <w:color w:val="000000"/>
                <w:sz w:val="24"/>
                <w:szCs w:val="24"/>
              </w:rPr>
              <w:t>Системный блок</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Клавиатура</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Мышь</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lang w:val="en-US"/>
              </w:rPr>
            </w:pPr>
            <w:r>
              <w:rPr>
                <w:color w:val="000000"/>
                <w:sz w:val="24"/>
                <w:szCs w:val="24"/>
                <w:lang w:val="en-US"/>
              </w:rPr>
              <w:t>Да</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Предустановленное</w:t>
            </w:r>
          </w:p>
          <w:p>
            <w:pPr>
              <w:pStyle w:val="Normal"/>
              <w:widowControl w:val="false"/>
              <w:tabs>
                <w:tab w:val="clear" w:pos="708"/>
                <w:tab w:val="left" w:pos="2175" w:leader="none"/>
              </w:tabs>
              <w:rPr>
                <w:color w:val="000000"/>
                <w:sz w:val="24"/>
                <w:szCs w:val="24"/>
              </w:rPr>
            </w:pPr>
            <w:r>
              <w:rPr>
                <w:color w:val="000000"/>
                <w:sz w:val="24"/>
                <w:szCs w:val="24"/>
              </w:rPr>
              <w:t>ПО - ОС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Монитор Орион Про </w:t>
            </w:r>
          </w:p>
          <w:p>
            <w:pPr>
              <w:pStyle w:val="Normal"/>
              <w:widowControl w:val="false"/>
              <w:tabs>
                <w:tab w:val="clear" w:pos="708"/>
                <w:tab w:val="left" w:pos="426" w:leader="none"/>
              </w:tabs>
              <w:rPr>
                <w:color w:val="000000"/>
                <w:sz w:val="24"/>
                <w:szCs w:val="24"/>
              </w:rPr>
            </w:pPr>
            <w:r>
              <w:rPr>
                <w:color w:val="000000"/>
                <w:sz w:val="24"/>
                <w:szCs w:val="24"/>
              </w:rPr>
              <w:t>(по лицензии на каждом из 5 серверов)</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Предустановленное</w:t>
            </w:r>
          </w:p>
          <w:p>
            <w:pPr>
              <w:pStyle w:val="Normal"/>
              <w:widowControl w:val="false"/>
              <w:tabs>
                <w:tab w:val="clear" w:pos="708"/>
                <w:tab w:val="left" w:pos="2175" w:leader="none"/>
              </w:tabs>
              <w:rPr>
                <w:color w:val="000000"/>
                <w:sz w:val="24"/>
                <w:szCs w:val="24"/>
              </w:rPr>
            </w:pPr>
            <w:r>
              <w:rPr>
                <w:color w:val="000000"/>
                <w:sz w:val="24"/>
                <w:szCs w:val="24"/>
              </w:rPr>
              <w:t>ПО - ОС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Администратор базы данных </w:t>
            </w:r>
          </w:p>
          <w:p>
            <w:pPr>
              <w:pStyle w:val="Normal"/>
              <w:widowControl w:val="false"/>
              <w:tabs>
                <w:tab w:val="clear" w:pos="708"/>
                <w:tab w:val="left" w:pos="426" w:leader="none"/>
              </w:tabs>
              <w:rPr>
                <w:color w:val="000000"/>
                <w:sz w:val="24"/>
                <w:szCs w:val="24"/>
              </w:rPr>
            </w:pPr>
            <w:r>
              <w:rPr>
                <w:color w:val="000000"/>
                <w:sz w:val="24"/>
                <w:szCs w:val="24"/>
              </w:rPr>
              <w:t>(по лицензии на каждом из 5 серверов)</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Предустановленное</w:t>
            </w:r>
          </w:p>
          <w:p>
            <w:pPr>
              <w:pStyle w:val="Normal"/>
              <w:widowControl w:val="false"/>
              <w:tabs>
                <w:tab w:val="clear" w:pos="708"/>
                <w:tab w:val="left" w:pos="2175" w:leader="none"/>
              </w:tabs>
              <w:rPr>
                <w:color w:val="000000"/>
                <w:sz w:val="24"/>
                <w:szCs w:val="24"/>
              </w:rPr>
            </w:pPr>
            <w:r>
              <w:rPr>
                <w:color w:val="000000"/>
                <w:sz w:val="24"/>
                <w:szCs w:val="24"/>
              </w:rPr>
              <w:t>ПО - ОС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Генератор отчетов </w:t>
            </w:r>
          </w:p>
          <w:p>
            <w:pPr>
              <w:pStyle w:val="Normal"/>
              <w:widowControl w:val="false"/>
              <w:tabs>
                <w:tab w:val="clear" w:pos="708"/>
                <w:tab w:val="left" w:pos="426" w:leader="none"/>
              </w:tabs>
              <w:rPr>
                <w:color w:val="000000"/>
                <w:sz w:val="24"/>
                <w:szCs w:val="24"/>
              </w:rPr>
            </w:pPr>
            <w:r>
              <w:rPr>
                <w:color w:val="000000"/>
                <w:sz w:val="24"/>
                <w:szCs w:val="24"/>
              </w:rPr>
              <w:t>(по лицензии на каждом из 5 серверов)</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213" w:hRule="atLeast"/>
        </w:trPr>
        <w:tc>
          <w:tcPr>
            <w:tcW w:w="704" w:type="dxa"/>
            <w:vMerge w:val="continue"/>
            <w:tcBorders>
              <w:top w:val="single" w:sz="4" w:space="0" w:color="000000"/>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2581" w:type="dxa"/>
            <w:gridSpan w:val="3"/>
            <w:vMerge w:val="continue"/>
            <w:tcBorders>
              <w:top w:val="single" w:sz="4" w:space="0" w:color="000000"/>
              <w:left w:val="single" w:sz="4" w:space="0" w:color="000000"/>
              <w:right w:val="single" w:sz="4" w:space="0" w:color="000000"/>
            </w:tcBorders>
            <w:shd w:color="auto" w:fill="auto" w:val="clear"/>
            <w:vAlign w:val="center"/>
          </w:tcPr>
          <w:p>
            <w:pPr>
              <w:pStyle w:val="Normal"/>
              <w:widowControl w:val="false"/>
              <w:overflowPunct w:val="true"/>
              <w:jc w:val="center"/>
              <w:rPr>
                <w:color w:val="000000"/>
                <w:sz w:val="24"/>
                <w:szCs w:val="24"/>
                <w:highlight w:val="yellow"/>
              </w:rPr>
            </w:pPr>
            <w:r>
              <w:rPr>
                <w:color w:val="000000"/>
                <w:sz w:val="24"/>
                <w:szCs w:val="24"/>
                <w:highlight w:val="yellow"/>
              </w:rPr>
            </w:r>
          </w:p>
        </w:tc>
        <w:tc>
          <w:tcPr>
            <w:tcW w:w="25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2175" w:leader="none"/>
              </w:tabs>
              <w:rPr>
                <w:color w:val="000000"/>
                <w:sz w:val="24"/>
                <w:szCs w:val="24"/>
                <w:lang w:val="en-US"/>
              </w:rPr>
            </w:pPr>
            <w:r>
              <w:rPr>
                <w:color w:val="000000"/>
                <w:sz w:val="24"/>
                <w:szCs w:val="24"/>
                <w:lang w:val="en-US"/>
              </w:rPr>
              <w:t>Предустановленное</w:t>
            </w:r>
          </w:p>
          <w:p>
            <w:pPr>
              <w:pStyle w:val="Normal"/>
              <w:widowControl w:val="false"/>
              <w:tabs>
                <w:tab w:val="clear" w:pos="708"/>
                <w:tab w:val="left" w:pos="2175" w:leader="none"/>
              </w:tabs>
              <w:rPr>
                <w:color w:val="000000"/>
                <w:sz w:val="24"/>
                <w:szCs w:val="24"/>
              </w:rPr>
            </w:pPr>
            <w:r>
              <w:rPr>
                <w:color w:val="000000"/>
                <w:sz w:val="24"/>
                <w:szCs w:val="24"/>
              </w:rPr>
              <w:t>ПО - ОС</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rPr>
                <w:color w:val="000000"/>
                <w:sz w:val="24"/>
                <w:szCs w:val="24"/>
              </w:rPr>
            </w:pPr>
            <w:r>
              <w:rPr>
                <w:color w:val="000000"/>
                <w:sz w:val="24"/>
                <w:szCs w:val="24"/>
              </w:rPr>
              <w:t xml:space="preserve">Учет рабочего времени </w:t>
            </w:r>
          </w:p>
          <w:p>
            <w:pPr>
              <w:pStyle w:val="Normal"/>
              <w:widowControl w:val="false"/>
              <w:tabs>
                <w:tab w:val="clear" w:pos="708"/>
                <w:tab w:val="left" w:pos="426" w:leader="none"/>
              </w:tabs>
              <w:rPr>
                <w:color w:val="000000"/>
                <w:sz w:val="24"/>
                <w:szCs w:val="24"/>
              </w:rPr>
            </w:pPr>
            <w:r>
              <w:rPr>
                <w:color w:val="000000"/>
                <w:sz w:val="24"/>
                <w:szCs w:val="24"/>
              </w:rPr>
              <w:t>(по лицензии на каждом из 5 серверов)</w:t>
            </w:r>
          </w:p>
        </w:tc>
        <w:tc>
          <w:tcPr>
            <w:tcW w:w="1845" w:type="dxa"/>
            <w:vMerge w:val="continue"/>
            <w:tcBorders>
              <w:left w:val="single" w:sz="4" w:space="0" w:color="000000"/>
              <w:right w:val="single" w:sz="4" w:space="0" w:color="000000"/>
            </w:tcBorders>
          </w:tcPr>
          <w:p>
            <w:pPr>
              <w:pStyle w:val="Normal"/>
              <w:widowControl w:val="false"/>
              <w:rPr>
                <w:rFonts w:eastAsia="DotumChe"/>
                <w:sz w:val="24"/>
                <w:szCs w:val="24"/>
              </w:rPr>
            </w:pPr>
            <w:r>
              <w:rPr>
                <w:rFonts w:eastAsia="DotumChe"/>
                <w:sz w:val="24"/>
                <w:szCs w:val="24"/>
              </w:rPr>
            </w:r>
          </w:p>
        </w:tc>
        <w:tc>
          <w:tcPr>
            <w:tcW w:w="1699" w:type="dxa"/>
            <w:vMerge w:val="continue"/>
            <w:tcBorders>
              <w:left w:val="single" w:sz="4" w:space="0" w:color="000000"/>
              <w:right w:val="single" w:sz="4" w:space="0" w:color="000000"/>
            </w:tcBorders>
            <w:vAlign w:val="center"/>
          </w:tcPr>
          <w:p>
            <w:pPr>
              <w:pStyle w:val="Normal"/>
              <w:widowControl w:val="false"/>
              <w:jc w:val="center"/>
              <w:rPr>
                <w:rFonts w:eastAsia="DotumChe"/>
                <w:sz w:val="24"/>
                <w:szCs w:val="24"/>
              </w:rPr>
            </w:pPr>
            <w:r>
              <w:rPr>
                <w:rFonts w:eastAsia="DotumChe"/>
                <w:sz w:val="24"/>
                <w:szCs w:val="24"/>
              </w:rPr>
            </w:r>
          </w:p>
        </w:tc>
        <w:tc>
          <w:tcPr>
            <w:tcW w:w="2094" w:type="dxa"/>
            <w:vMerge w:val="continue"/>
            <w:tcBorders>
              <w:left w:val="single" w:sz="4" w:space="0" w:color="000000"/>
              <w:right w:val="single" w:sz="4" w:space="0" w:color="000000"/>
            </w:tcBorders>
            <w:vAlign w:val="center"/>
          </w:tcPr>
          <w:p>
            <w:pPr>
              <w:pStyle w:val="Normal"/>
              <w:widowControl w:val="false"/>
              <w:jc w:val="center"/>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6"/>
              </w:numPr>
              <w:jc w:val="center"/>
              <w:rPr>
                <w:color w:val="000000"/>
                <w:sz w:val="24"/>
                <w:szCs w:val="24"/>
              </w:rPr>
            </w:pPr>
            <w:r>
              <w:rPr>
                <w:color w:val="000000"/>
                <w:sz w:val="24"/>
                <w:szCs w:val="24"/>
              </w:rPr>
              <w:t>2.</w:t>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8" w:type="dxa"/>
            <w:tcBorders/>
          </w:tcPr>
          <w:p>
            <w:pPr>
              <w:pStyle w:val="Normal"/>
              <w:widowControl w:val="false"/>
              <w:rPr/>
            </w:pPr>
            <w:r>
              <w:rPr/>
            </w:r>
          </w:p>
        </w:tc>
      </w:tr>
      <w:tr>
        <w:trPr>
          <w:trHeight w:val="7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2.1.</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Место поставки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Производственный участок в г. Новосибирск Саяно-Шушенского филиала АО «Гидроремонт-ВКК» в п. Черёмушки. 630056, Российская Федерация, Новосибирская область, г. Новосибирск, ул.Новоморская дом 4/1.</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1699" w:type="dxa"/>
            <w:vMerge w:val="restart"/>
            <w:tcBorders>
              <w:top w:val="single" w:sz="4" w:space="0" w:color="000000"/>
              <w:left w:val="single" w:sz="4" w:space="0" w:color="000000"/>
              <w:bottom w:val="single" w:sz="4" w:space="0" w:color="000000"/>
            </w:tcBorders>
            <w:vAlign w:val="center"/>
          </w:tcPr>
          <w:p>
            <w:pPr>
              <w:pStyle w:val="Normal"/>
              <w:widowControl w:val="false"/>
              <w:jc w:val="center"/>
              <w:rPr>
                <w:sz w:val="24"/>
                <w:szCs w:val="24"/>
              </w:rPr>
            </w:pPr>
            <w:r>
              <w:rPr>
                <w:sz w:val="24"/>
                <w:szCs w:val="24"/>
              </w:rPr>
            </w:r>
          </w:p>
        </w:tc>
        <w:tc>
          <w:tcPr>
            <w:tcW w:w="209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color w:val="000000"/>
                <w:sz w:val="24"/>
                <w:szCs w:val="24"/>
              </w:rPr>
            </w:pPr>
            <w:r>
              <w:rPr>
                <w:rFonts w:eastAsia="Calibri"/>
                <w:color w:val="000000"/>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color w:val="000000"/>
                <w:sz w:val="24"/>
                <w:szCs w:val="24"/>
              </w:rPr>
            </w:pPr>
            <w:r>
              <w:rPr>
                <w:sz w:val="24"/>
                <w:szCs w:val="24"/>
                <w:lang w:val="en-US"/>
              </w:rPr>
              <w:t>2</w:t>
            </w:r>
            <w:r>
              <w:rPr>
                <w:sz w:val="24"/>
                <w:szCs w:val="24"/>
              </w:rPr>
              <w:t>.2.</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Приемка продукции</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78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lang w:val="en-US"/>
              </w:rPr>
              <w:t>2</w:t>
            </w:r>
            <w:r>
              <w:rPr>
                <w:sz w:val="24"/>
                <w:szCs w:val="24"/>
              </w:rPr>
              <w:t>.</w:t>
            </w:r>
            <w:r>
              <w:rPr>
                <w:sz w:val="24"/>
                <w:szCs w:val="24"/>
                <w:lang w:val="en-US"/>
              </w:rPr>
              <w:t>3</w:t>
            </w:r>
            <w:r>
              <w:rPr>
                <w:sz w:val="24"/>
                <w:szCs w:val="24"/>
              </w:rPr>
              <w:t>.</w:t>
            </w:r>
          </w:p>
        </w:tc>
        <w:tc>
          <w:tcPr>
            <w:tcW w:w="2581" w:type="dxa"/>
            <w:gridSpan w:val="3"/>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lang w:eastAsia="x-none"/>
              </w:rPr>
            </w:pPr>
            <w:r>
              <w:rPr>
                <w:sz w:val="24"/>
                <w:szCs w:val="24"/>
                <w:lang w:val="en-US" w:eastAsia="x-none"/>
              </w:rPr>
              <w:t>Упаковка</w:t>
            </w:r>
          </w:p>
        </w:tc>
        <w:tc>
          <w:tcPr>
            <w:tcW w:w="6916" w:type="dxa"/>
            <w:gridSpan w:val="2"/>
            <w:tcBorders>
              <w:top w:val="single" w:sz="4" w:space="0" w:color="000000"/>
              <w:left w:val="single" w:sz="4" w:space="0" w:color="000000"/>
              <w:bottom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930"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57" w:hanging="0"/>
              <w:jc w:val="center"/>
              <w:rPr>
                <w:sz w:val="24"/>
                <w:szCs w:val="24"/>
              </w:rPr>
            </w:pPr>
            <w:r>
              <w:rPr>
                <w:sz w:val="24"/>
                <w:szCs w:val="24"/>
              </w:rPr>
              <w:t>2.</w:t>
            </w:r>
            <w:r>
              <w:rPr>
                <w:sz w:val="24"/>
                <w:szCs w:val="24"/>
                <w:lang w:val="en-US"/>
              </w:rPr>
              <w:t>4</w:t>
            </w:r>
            <w:r>
              <w:rPr>
                <w:sz w:val="24"/>
                <w:szCs w:val="24"/>
              </w:rPr>
              <w:t>.</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rPr>
                <w:sz w:val="24"/>
                <w:szCs w:val="24"/>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699" w:type="dxa"/>
            <w:vMerge w:val="continue"/>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rPr>
            </w:r>
          </w:p>
        </w:tc>
        <w:tc>
          <w:tcPr>
            <w:tcW w:w="209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c>
          <w:tcPr>
            <w:tcW w:w="8" w:type="dxa"/>
            <w:tcBorders/>
          </w:tcPr>
          <w:p>
            <w:pPr>
              <w:pStyle w:val="Normal"/>
              <w:widowControl w:val="false"/>
              <w:rPr/>
            </w:pPr>
            <w:r>
              <w:rPr/>
            </w:r>
          </w:p>
        </w:tc>
        <w:tc>
          <w:tcPr>
            <w:tcW w:w="14" w:type="dxa"/>
            <w:tcBorders/>
          </w:tcPr>
          <w:p>
            <w:pPr>
              <w:pStyle w:val="Normal"/>
              <w:widowControl w:val="false"/>
              <w:rPr/>
            </w:pPr>
            <w:r>
              <w:rPr/>
            </w:r>
          </w:p>
        </w:tc>
        <w:tc>
          <w:tcPr>
            <w:tcW w:w="8" w:type="dxa"/>
            <w:tcBorders/>
          </w:tcPr>
          <w:p>
            <w:pPr>
              <w:pStyle w:val="Normal"/>
              <w:widowControl w:val="false"/>
              <w:rPr/>
            </w:pPr>
            <w:r>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numPr>
                <w:ilvl w:val="0"/>
                <w:numId w:val="7"/>
              </w:numPr>
              <w:jc w:val="center"/>
              <w:rPr>
                <w:color w:val="000000"/>
                <w:sz w:val="24"/>
                <w:szCs w:val="24"/>
              </w:rPr>
            </w:pPr>
            <w:r>
              <w:rPr>
                <w:color w:val="000000"/>
                <w:sz w:val="24"/>
                <w:szCs w:val="24"/>
              </w:rPr>
            </w:r>
          </w:p>
        </w:tc>
        <w:tc>
          <w:tcPr>
            <w:tcW w:w="15157" w:type="dxa"/>
            <w:gridSpan w:val="10"/>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Требования к гарантиям, гарантийному и послегарантийному обслуживанию</w:t>
            </w:r>
          </w:p>
        </w:tc>
        <w:tc>
          <w:tcPr>
            <w:tcW w:w="8" w:type="dxa"/>
            <w:tcBorders/>
          </w:tcPr>
          <w:p>
            <w:pPr>
              <w:pStyle w:val="Normal"/>
              <w:widowControl w:val="false"/>
              <w:rPr/>
            </w:pPr>
            <w:r>
              <w:rPr/>
            </w:r>
          </w:p>
        </w:tc>
      </w:tr>
      <w:tr>
        <w:trPr>
          <w:trHeight w:val="2407"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rPr>
                <w:sz w:val="24"/>
                <w:szCs w:val="24"/>
              </w:rPr>
            </w:pPr>
            <w:r>
              <w:rPr>
                <w:color w:val="000000"/>
                <w:sz w:val="24"/>
                <w:szCs w:val="24"/>
                <w:lang w:val="en-US"/>
              </w:rPr>
              <w:t>3.1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Сроки гарантии</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overflowPunct w:val="true"/>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pPr>
              <w:pStyle w:val="Normal"/>
              <w:widowControl w:val="false"/>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4.</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b/>
                <w:sz w:val="24"/>
                <w:szCs w:val="24"/>
              </w:rPr>
            </w:pPr>
            <w:r>
              <w:rPr>
                <w:b/>
                <w:sz w:val="24"/>
                <w:szCs w:val="24"/>
              </w:rPr>
              <w:t>Требования к комплектации и документам, поставляемым вместе с продукцией</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4.1</w:t>
            </w:r>
          </w:p>
        </w:tc>
        <w:tc>
          <w:tcPr>
            <w:tcW w:w="2552" w:type="dxa"/>
            <w:gridSpan w:val="2"/>
            <w:tcBorders>
              <w:top w:val="single" w:sz="4" w:space="0" w:color="000000"/>
              <w:left w:val="single" w:sz="4" w:space="0" w:color="000000"/>
              <w:bottom w:val="single" w:sz="4" w:space="0" w:color="000000"/>
            </w:tcBorders>
            <w:shd w:color="auto" w:fill="FFFFFF" w:val="clear"/>
            <w:vAlign w:val="center"/>
          </w:tcPr>
          <w:p>
            <w:pPr>
              <w:pStyle w:val="Normal"/>
              <w:widowControl w:val="false"/>
              <w:jc w:val="center"/>
              <w:rPr>
                <w:sz w:val="24"/>
                <w:szCs w:val="24"/>
              </w:rPr>
            </w:pPr>
            <w:r>
              <w:rPr>
                <w:sz w:val="24"/>
                <w:szCs w:val="24"/>
                <w:lang w:eastAsia="x-none"/>
              </w:rPr>
              <w:t>Документы, передаваемые вместе с продукцией</w:t>
            </w:r>
          </w:p>
        </w:tc>
        <w:tc>
          <w:tcPr>
            <w:tcW w:w="6945" w:type="dxa"/>
            <w:gridSpan w:val="3"/>
            <w:tcBorders>
              <w:top w:val="single" w:sz="4" w:space="0" w:color="000000"/>
              <w:left w:val="single" w:sz="4" w:space="0" w:color="000000"/>
              <w:bottom w:val="single" w:sz="4" w:space="0" w:color="000000"/>
            </w:tcBorders>
            <w:vAlign w:val="center"/>
          </w:tcPr>
          <w:p>
            <w:pPr>
              <w:pStyle w:val="Normal"/>
              <w:widowControl w:val="false"/>
              <w:rPr>
                <w:sz w:val="24"/>
                <w:szCs w:val="24"/>
              </w:rPr>
            </w:pPr>
            <w:r>
              <w:rPr>
                <w:sz w:val="24"/>
                <w:szCs w:val="24"/>
                <w:lang w:eastAsia="x-none"/>
              </w:rPr>
              <w:t>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84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lang w:eastAsia="x-none"/>
              </w:rPr>
            </w:pPr>
            <w:r>
              <w:rPr>
                <w:sz w:val="24"/>
                <w:szCs w:val="24"/>
                <w:lang w:eastAsia="x-none"/>
              </w:rPr>
            </w:r>
          </w:p>
        </w:tc>
        <w:tc>
          <w:tcPr>
            <w:tcW w:w="1699" w:type="dxa"/>
            <w:tcBorders>
              <w:top w:val="single" w:sz="4" w:space="0" w:color="000000"/>
              <w:left w:val="single" w:sz="4" w:space="0" w:color="000000"/>
              <w:bottom w:val="single" w:sz="4" w:space="0" w:color="000000"/>
            </w:tcBorders>
            <w:vAlign w:val="center"/>
          </w:tcPr>
          <w:p>
            <w:pPr>
              <w:pStyle w:val="Normal"/>
              <w:widowControl w:val="false"/>
              <w:jc w:val="center"/>
              <w:rPr>
                <w:sz w:val="24"/>
                <w:szCs w:val="24"/>
                <w:lang w:eastAsia="x-none"/>
              </w:rPr>
            </w:pPr>
            <w:r>
              <w:rPr>
                <w:sz w:val="24"/>
                <w:szCs w:val="24"/>
                <w:lang w:eastAsia="x-none"/>
              </w:rPr>
            </w:r>
          </w:p>
        </w:tc>
        <w:tc>
          <w:tcPr>
            <w:tcW w:w="212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rPr>
            </w:pPr>
            <w:r>
              <w:rPr>
                <w:sz w:val="24"/>
                <w:szCs w:val="24"/>
              </w:rPr>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b/>
                <w:color w:val="000000"/>
                <w:sz w:val="24"/>
                <w:szCs w:val="24"/>
                <w:lang w:val="en-US"/>
              </w:rPr>
            </w:pPr>
            <w:r>
              <w:rPr>
                <w:b/>
                <w:color w:val="000000"/>
                <w:sz w:val="24"/>
                <w:szCs w:val="24"/>
                <w:lang w:val="en-US"/>
              </w:rPr>
              <w:t>5.</w:t>
            </w:r>
          </w:p>
        </w:tc>
        <w:tc>
          <w:tcPr>
            <w:tcW w:w="15165" w:type="dxa"/>
            <w:gridSpan w:val="11"/>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DotumChe"/>
                <w:color w:val="000000"/>
                <w:sz w:val="24"/>
                <w:szCs w:val="24"/>
              </w:rPr>
            </w:pPr>
            <w:r>
              <w:rPr>
                <w:b/>
                <w:sz w:val="24"/>
                <w:szCs w:val="24"/>
              </w:rPr>
              <w:t>Прочие (дополнительные) требования к продукции</w:t>
            </w:r>
          </w:p>
        </w:tc>
      </w:tr>
      <w:tr>
        <w:trPr>
          <w:trHeight w:val="151" w:hRule="atLeast"/>
        </w:trPr>
        <w:tc>
          <w:tcPr>
            <w:tcW w:w="704" w:type="dxa"/>
            <w:tcBorders>
              <w:top w:val="single" w:sz="4" w:space="0" w:color="000000"/>
              <w:left w:val="single" w:sz="4" w:space="0" w:color="000000"/>
              <w:bottom w:val="single" w:sz="4" w:space="0" w:color="000000"/>
            </w:tcBorders>
            <w:vAlign w:val="center"/>
          </w:tcPr>
          <w:p>
            <w:pPr>
              <w:pStyle w:val="Normal"/>
              <w:widowControl w:val="false"/>
              <w:ind w:left="113" w:hanging="0"/>
              <w:jc w:val="center"/>
              <w:rPr>
                <w:sz w:val="24"/>
                <w:szCs w:val="24"/>
              </w:rPr>
            </w:pPr>
            <w:r>
              <w:rPr>
                <w:color w:val="000000"/>
                <w:sz w:val="24"/>
                <w:szCs w:val="24"/>
                <w:lang w:val="en-US"/>
              </w:rPr>
              <w:t>5.1</w:t>
            </w:r>
          </w:p>
        </w:tc>
        <w:tc>
          <w:tcPr>
            <w:tcW w:w="9497" w:type="dxa"/>
            <w:gridSpan w:val="5"/>
            <w:tcBorders>
              <w:top w:val="single" w:sz="4" w:space="0" w:color="000000"/>
              <w:left w:val="single" w:sz="4" w:space="0" w:color="000000"/>
              <w:bottom w:val="single" w:sz="4" w:space="0" w:color="000000"/>
            </w:tcBorders>
            <w:shd w:color="auto" w:fill="FFFFFF" w:val="clear"/>
          </w:tcPr>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r>
              <w:rPr>
                <w:rFonts w:eastAsia="Calibri"/>
                <w:iCs/>
                <w:color w:val="000000"/>
                <w:sz w:val="24"/>
                <w:szCs w:val="24"/>
                <w:lang w:eastAsia="en-US"/>
              </w:rPr>
              <w:t>тавщик гарантирует, продукция принадлежит ему на законном основании, в споре, залоге или под арестом не состоит, и не обременен правами третьих лиц.</w:t>
            </w:r>
          </w:p>
          <w:p>
            <w:pPr>
              <w:pStyle w:val="Normal"/>
              <w:widowControl w:val="false"/>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pPr>
              <w:pStyle w:val="ListParagraph"/>
              <w:widowControl w:val="false"/>
              <w:ind w:left="0" w:hanging="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1699" w:type="dxa"/>
            <w:tcBorders>
              <w:top w:val="single" w:sz="4" w:space="0" w:color="000000"/>
              <w:left w:val="single" w:sz="4" w:space="0" w:color="000000"/>
              <w:bottom w:val="single" w:sz="4" w:space="0" w:color="000000"/>
            </w:tcBorders>
            <w:shd w:color="auto" w:fill="FFFFFF" w:val="clear"/>
          </w:tcPr>
          <w:p>
            <w:pPr>
              <w:pStyle w:val="Normal"/>
              <w:widowControl w:val="false"/>
              <w:jc w:val="center"/>
              <w:rPr>
                <w:rFonts w:eastAsia="Calibri"/>
                <w:bCs/>
                <w:iCs/>
                <w:color w:val="000000"/>
                <w:sz w:val="24"/>
                <w:szCs w:val="24"/>
                <w:lang w:eastAsia="en-US"/>
              </w:rPr>
            </w:pPr>
            <w:r>
              <w:rPr>
                <w:rFonts w:eastAsia="Calibri"/>
                <w:bCs/>
                <w:iCs/>
                <w:color w:val="000000"/>
                <w:sz w:val="24"/>
                <w:szCs w:val="24"/>
                <w:lang w:eastAsia="en-US"/>
              </w:rPr>
            </w:r>
          </w:p>
        </w:tc>
        <w:tc>
          <w:tcPr>
            <w:tcW w:w="2124" w:type="dxa"/>
            <w:gridSpan w:val="4"/>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rPr>
                <w:rFonts w:eastAsia="Calibri"/>
                <w:iCs/>
                <w:color w:val="000000"/>
                <w:sz w:val="24"/>
                <w:szCs w:val="24"/>
                <w:lang w:eastAsia="en-US"/>
              </w:rPr>
            </w:pPr>
            <w:r>
              <w:rPr>
                <w:rFonts w:eastAsia="Calibri"/>
                <w:iCs/>
                <w:color w:val="000000"/>
                <w:sz w:val="24"/>
                <w:szCs w:val="24"/>
                <w:lang w:eastAsia="en-US"/>
              </w:rPr>
            </w:r>
          </w:p>
        </w:tc>
      </w:tr>
    </w:tbl>
    <w:p>
      <w:pPr>
        <w:pStyle w:val="Normal"/>
        <w:jc w:val="both"/>
        <w:rPr>
          <w:rFonts w:eastAsia="Calibri"/>
          <w:bCs/>
          <w:sz w:val="24"/>
          <w:szCs w:val="24"/>
          <w:lang w:eastAsia="x-none"/>
        </w:rPr>
      </w:pPr>
      <w:r>
        <w:rPr>
          <w:rFonts w:eastAsia="Calibri"/>
          <w:bCs/>
          <w:sz w:val="24"/>
          <w:szCs w:val="24"/>
          <w:lang w:eastAsia="x-none"/>
        </w:rPr>
      </w:r>
    </w:p>
    <w:p>
      <w:pPr>
        <w:pStyle w:val="Heading1"/>
        <w:numPr>
          <w:ilvl w:val="0"/>
          <w:numId w:val="0"/>
        </w:numPr>
        <w:ind w:left="1080" w:hanging="0"/>
        <w:jc w:val="center"/>
        <w:rPr>
          <w:sz w:val="24"/>
          <w:szCs w:val="24"/>
        </w:rPr>
      </w:pPr>
      <w:bookmarkStart w:id="27" w:name="_Toc205981921"/>
      <w:r>
        <w:rPr>
          <w:color w:val="000000"/>
          <w:sz w:val="24"/>
          <w:szCs w:val="24"/>
        </w:rPr>
        <w:t>3. Требования к документации по ценообразованию на этапе закупки</w:t>
      </w:r>
      <w:bookmarkEnd w:id="27"/>
    </w:p>
    <w:p>
      <w:pPr>
        <w:pStyle w:val="ListParagraph"/>
        <w:ind w:left="720" w:hanging="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8" w:name="_Hlk88325985"/>
      <w:r>
        <w:rPr>
          <w:color w:val="000000"/>
          <w:sz w:val="24"/>
          <w:szCs w:val="24"/>
          <w:lang w:eastAsia="x-none"/>
        </w:rPr>
        <w:t>(с учетом прилагаемой к ней инструкции по заполнению)</w:t>
      </w:r>
      <w:bookmarkEnd w:id="28"/>
      <w:r>
        <w:rPr>
          <w:color w:val="000000"/>
          <w:sz w:val="24"/>
          <w:szCs w:val="24"/>
          <w:lang w:eastAsia="x-none"/>
        </w:rPr>
        <w:t>, приведенной в Документации о закупке.</w:t>
      </w:r>
    </w:p>
    <w:p>
      <w:pPr>
        <w:pStyle w:val="ListParagraph"/>
        <w:ind w:left="720" w:hanging="0"/>
        <w:jc w:val="both"/>
        <w:rPr>
          <w:color w:val="000000"/>
          <w:sz w:val="24"/>
          <w:szCs w:val="24"/>
          <w:lang w:eastAsia="x-none"/>
        </w:rPr>
      </w:pPr>
      <w:r>
        <w:rPr>
          <w:color w:val="000000"/>
          <w:sz w:val="24"/>
          <w:szCs w:val="24"/>
          <w:lang w:eastAsia="x-none"/>
        </w:rPr>
        <w:t xml:space="preserve">3.2. </w:t>
      </w:r>
      <w:bookmarkStart w:id="29" w:name="_Hlk88327292"/>
      <w:r>
        <w:rPr>
          <w:color w:val="000000"/>
          <w:sz w:val="24"/>
          <w:szCs w:val="24"/>
          <w:lang w:eastAsia="x-none"/>
        </w:rPr>
        <w:t>Дополнительные документы по ценообразованию</w:t>
      </w:r>
      <w:bookmarkEnd w:id="29"/>
      <w:r>
        <w:rPr>
          <w:color w:val="000000"/>
          <w:sz w:val="24"/>
          <w:szCs w:val="24"/>
          <w:lang w:eastAsia="x-none"/>
        </w:rPr>
        <w:t xml:space="preserve"> в состав заявки не включаются.</w:t>
      </w:r>
    </w:p>
    <w:p>
      <w:pPr>
        <w:pStyle w:val="ListParagraph"/>
        <w:ind w:left="720" w:hanging="0"/>
        <w:jc w:val="both"/>
        <w:rPr>
          <w:color w:val="000000"/>
          <w:sz w:val="24"/>
          <w:szCs w:val="24"/>
          <w:lang w:eastAsia="x-none"/>
        </w:rPr>
      </w:pPr>
      <w:r>
        <w:rPr>
          <w:color w:val="000000"/>
          <w:sz w:val="24"/>
          <w:szCs w:val="24"/>
          <w:lang w:eastAsia="x-none"/>
        </w:rPr>
      </w:r>
    </w:p>
    <w:p>
      <w:pPr>
        <w:pStyle w:val="Normal"/>
        <w:suppressAutoHyphens w:val="false"/>
        <w:overflowPunct w:val="true"/>
        <w:rPr>
          <w:color w:val="000000"/>
          <w:sz w:val="24"/>
          <w:szCs w:val="24"/>
        </w:rPr>
      </w:pPr>
      <w:r>
        <w:rPr>
          <w:color w:val="000000"/>
          <w:sz w:val="24"/>
          <w:szCs w:val="24"/>
        </w:rPr>
      </w:r>
    </w:p>
    <w:p>
      <w:pPr>
        <w:pStyle w:val="Normal"/>
        <w:suppressAutoHyphens w:val="false"/>
        <w:overflowPunct w:val="true"/>
        <w:rPr>
          <w:color w:val="000000"/>
          <w:sz w:val="24"/>
          <w:szCs w:val="24"/>
        </w:rPr>
      </w:pPr>
      <w:r>
        <w:rPr>
          <w:color w:val="000000"/>
          <w:sz w:val="24"/>
          <w:szCs w:val="24"/>
        </w:rPr>
      </w:r>
    </w:p>
    <w:p>
      <w:pPr>
        <w:pStyle w:val="ListParagraph"/>
        <w:ind w:left="720" w:hanging="0"/>
        <w:jc w:val="both"/>
        <w:rPr>
          <w:color w:val="000000"/>
          <w:sz w:val="24"/>
          <w:szCs w:val="24"/>
          <w:lang w:eastAsia="x-none"/>
        </w:rPr>
      </w:pPr>
      <w:r>
        <w:rPr/>
      </w:r>
    </w:p>
    <w:sectPr>
      <w:headerReference w:type="default" r:id="rId5"/>
      <w:headerReference w:type="first" r:id="rId6"/>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1"/>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4"/>
        <w:sz w:val="24"/>
        <w:spacing w:val="0"/>
        <w:i w:val="false"/>
        <w:u w:val="none"/>
        <w:b/>
        <w:kern w:val="0"/>
        <w:effect w:val="none"/>
        <w:szCs w:val="28"/>
        <w:iCs w:val="false"/>
        <w:bCs w:val="false"/>
        <w:em w:val="none"/>
        <w:vanish w:val="false"/>
        <w:rFonts w:ascii="Times New Roman" w:hAnsi="Times New Roman" w:cs="Times New Roman"/>
        <w:color w:val="000000"/>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6"/>
      <w:lvlJc w:val="left"/>
      <w:pPr>
        <w:tabs>
          <w:tab w:val="num" w:pos="0"/>
        </w:tabs>
        <w:ind w:left="1134" w:hanging="0"/>
      </w:pPr>
      <w:rPr/>
    </w:lvl>
    <w:lvl w:ilvl="6">
      <w:start w:val="1"/>
      <w:numFmt w:val="none"/>
      <w:suff w:val="nothing"/>
      <w:lvlText w:val="%7"/>
      <w:lvlJc w:val="left"/>
      <w:pPr>
        <w:tabs>
          <w:tab w:val="num" w:pos="0"/>
        </w:tabs>
        <w:ind w:left="1701"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7">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pPr>
      <w:numPr>
        <w:ilvl w:val="0"/>
      </w:numPr>
      <w:outlineLvl w:val="0"/>
    </w:pPr>
    <w:rPr>
      <w:sz w:val="28"/>
      <w:szCs w:val="28"/>
    </w:rPr>
  </w:style>
  <w:style w:type="paragraph" w:styleId="Heading2">
    <w:name w:val="Heading 2"/>
    <w:basedOn w:val="Heading4"/>
    <w:next w:val="Normal"/>
    <w:link w:val="2"/>
    <w:qFormat/>
    <w:pPr>
      <w:outlineLvl w:val="1"/>
    </w:pPr>
    <w:rPr/>
  </w:style>
  <w:style w:type="paragraph" w:styleId="Heading3">
    <w:name w:val="Heading 3"/>
    <w:basedOn w:val="Normal"/>
    <w:next w:val="Normal"/>
    <w:link w:val="3"/>
    <w:autoRedefine/>
    <w:qFormat/>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pPr>
      <w:numPr>
        <w:ilvl w:val="0"/>
        <w:numId w:val="0"/>
      </w:numPr>
      <w:tabs>
        <w:tab w:val="clear" w:pos="708"/>
        <w:tab w:val="left" w:pos="0" w:leader="none"/>
      </w:tabs>
      <w:ind w:left="432" w:hanging="432"/>
      <w:outlineLvl w:val="3"/>
    </w:pPr>
    <w:rPr>
      <w:bCs/>
    </w:rPr>
  </w:style>
  <w:style w:type="paragraph" w:styleId="Heading5">
    <w:name w:val="Heading 5"/>
    <w:basedOn w:val="Normal"/>
    <w:next w:val="Normal"/>
    <w:link w:val="5"/>
    <w:qFormat/>
    <w:pPr>
      <w:spacing w:before="240" w:after="60"/>
      <w:outlineLvl w:val="4"/>
    </w:pPr>
    <w:rPr>
      <w:b/>
      <w:bCs/>
      <w:i/>
      <w:iCs/>
      <w:sz w:val="26"/>
      <w:szCs w:val="26"/>
      <w:lang w:val="x-none" w:eastAsia="x-none"/>
    </w:rPr>
  </w:style>
  <w:style w:type="paragraph" w:styleId="Heading6">
    <w:name w:val="Heading 6"/>
    <w:basedOn w:val="Normal"/>
    <w:next w:val="Normal"/>
    <w:link w:val="6"/>
    <w:qFormat/>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qFormat/>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qFormat/>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qFormat/>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basedOn w:val="DefaultParagraphFont"/>
    <w:qFormat/>
    <w:rPr/>
  </w:style>
  <w:style w:type="character" w:styleId="Hyperlink">
    <w:name w:val="Hyperlink"/>
    <w:uiPriority w:val="99"/>
    <w:rPr>
      <w:color w:val="0000FF"/>
      <w:u w:val="single"/>
    </w:rPr>
  </w:style>
  <w:style w:type="character" w:styleId="Annotationreference">
    <w:name w:val="annotation reference"/>
    <w:qFormat/>
    <w:rPr>
      <w:sz w:val="16"/>
      <w:szCs w:val="16"/>
    </w:rPr>
  </w:style>
  <w:style w:type="character" w:styleId="Strong">
    <w:name w:val="Strong"/>
    <w:uiPriority w:val="22"/>
    <w:qFormat/>
    <w:rPr>
      <w:b/>
      <w:bCs/>
    </w:rPr>
  </w:style>
  <w:style w:type="character" w:styleId="6" w:customStyle="1">
    <w:name w:val="Заголовок 6 Знак"/>
    <w:qFormat/>
    <w:rPr>
      <w:rFonts w:ascii="Cambria" w:hAnsi="Cambria"/>
      <w:i/>
      <w:iCs/>
      <w:color w:val="243F60"/>
      <w:lang w:val="x-none" w:eastAsia="x-none"/>
    </w:rPr>
  </w:style>
  <w:style w:type="character" w:styleId="7" w:customStyle="1">
    <w:name w:val="Заголовок 7 Знак"/>
    <w:qFormat/>
    <w:rPr>
      <w:rFonts w:ascii="Cambria" w:hAnsi="Cambria"/>
      <w:i/>
      <w:iCs/>
      <w:color w:val="404040"/>
      <w:lang w:val="x-none" w:eastAsia="x-none"/>
    </w:rPr>
  </w:style>
  <w:style w:type="character" w:styleId="8" w:customStyle="1">
    <w:name w:val="Заголовок 8 Знак"/>
    <w:qFormat/>
    <w:rPr>
      <w:rFonts w:ascii="Cambria" w:hAnsi="Cambria"/>
      <w:color w:val="4F81BD"/>
      <w:lang w:val="x-none" w:eastAsia="x-none"/>
    </w:rPr>
  </w:style>
  <w:style w:type="character" w:styleId="1" w:customStyle="1">
    <w:name w:val="Заголовок 1 Знак"/>
    <w:qFormat/>
    <w:rPr>
      <w:rFonts w:eastAsia="Calibri"/>
      <w:b/>
      <w:sz w:val="28"/>
      <w:szCs w:val="28"/>
      <w:lang w:val="x-none" w:eastAsia="x-none"/>
    </w:rPr>
  </w:style>
  <w:style w:type="character" w:styleId="2" w:customStyle="1">
    <w:name w:val="Заголовок 2 Знак"/>
    <w:qFormat/>
    <w:rPr>
      <w:rFonts w:eastAsia="Calibri"/>
      <w:b/>
      <w:bCs/>
      <w:sz w:val="24"/>
      <w:szCs w:val="24"/>
      <w:lang w:val="x-none" w:eastAsia="x-none"/>
    </w:rPr>
  </w:style>
  <w:style w:type="character" w:styleId="3" w:customStyle="1">
    <w:name w:val="Заголовок 3 Знак"/>
    <w:qFormat/>
    <w:rPr>
      <w:rFonts w:eastAsia="Calibri"/>
      <w:b/>
      <w:sz w:val="24"/>
      <w:szCs w:val="24"/>
      <w:lang w:val="x-none" w:eastAsia="x-none"/>
    </w:rPr>
  </w:style>
  <w:style w:type="character" w:styleId="4" w:customStyle="1">
    <w:name w:val="Заголовок 4 Знак"/>
    <w:qFormat/>
    <w:rPr>
      <w:rFonts w:eastAsia="Calibri"/>
      <w:b/>
      <w:bCs/>
      <w:sz w:val="24"/>
      <w:szCs w:val="24"/>
      <w:lang w:val="x-none" w:eastAsia="x-none"/>
    </w:rPr>
  </w:style>
  <w:style w:type="character" w:styleId="5" w:customStyle="1">
    <w:name w:val="Заголовок 5 Знак"/>
    <w:qFormat/>
    <w:rPr>
      <w:b/>
      <w:bCs/>
      <w:i/>
      <w:iCs/>
      <w:sz w:val="26"/>
      <w:szCs w:val="26"/>
    </w:rPr>
  </w:style>
  <w:style w:type="character" w:styleId="9" w:customStyle="1">
    <w:name w:val="Заголовок 9 Знак"/>
    <w:qFormat/>
    <w:rPr>
      <w:rFonts w:ascii="Arial" w:hAnsi="Arial" w:cs="Arial"/>
      <w:sz w:val="22"/>
      <w:szCs w:val="22"/>
    </w:rPr>
  </w:style>
  <w:style w:type="character" w:styleId="Style1" w:customStyle="1">
    <w:name w:val="Название Знак"/>
    <w:link w:val="15"/>
    <w:qFormat/>
    <w:rPr>
      <w:sz w:val="28"/>
    </w:rPr>
  </w:style>
  <w:style w:type="character" w:styleId="Style2" w:customStyle="1">
    <w:name w:val="Подзаголовок Знак"/>
    <w:qFormat/>
    <w:rPr>
      <w:rFonts w:ascii="Cambria" w:hAnsi="Cambria"/>
      <w:i/>
      <w:iCs/>
      <w:color w:val="4F81BD"/>
      <w:spacing w:val="15"/>
      <w:sz w:val="24"/>
      <w:szCs w:val="24"/>
      <w:lang w:val="x-none" w:eastAsia="x-none"/>
    </w:rPr>
  </w:style>
  <w:style w:type="character" w:styleId="Emphasis">
    <w:name w:val="Emphasis"/>
    <w:qFormat/>
    <w:rPr>
      <w:i/>
      <w:iCs/>
    </w:rPr>
  </w:style>
  <w:style w:type="character" w:styleId="21" w:customStyle="1">
    <w:name w:val="Цитата 2 Знак"/>
    <w:link w:val="Quote"/>
    <w:qFormat/>
    <w:rPr>
      <w:rFonts w:ascii="Calibri" w:hAnsi="Calibri" w:eastAsia="Calibri"/>
      <w:i/>
      <w:iCs/>
      <w:color w:val="000000"/>
      <w:lang w:val="x-none" w:eastAsia="x-none"/>
    </w:rPr>
  </w:style>
  <w:style w:type="character" w:styleId="Style3" w:customStyle="1">
    <w:name w:val="Выделенная цитата Знак"/>
    <w:link w:val="IntenseQuote"/>
    <w:qFormat/>
    <w:rPr>
      <w:rFonts w:ascii="Calibri" w:hAnsi="Calibri" w:eastAsia="Calibri"/>
      <w:b/>
      <w:bCs/>
      <w:i/>
      <w:iCs/>
      <w:color w:val="4F81BD"/>
      <w:lang w:val="x-none" w:eastAsia="x-none"/>
    </w:rPr>
  </w:style>
  <w:style w:type="character" w:styleId="SubtleEmphasis">
    <w:name w:val="Subtle Emphasis"/>
    <w:qFormat/>
    <w:rPr>
      <w:i/>
      <w:iCs/>
      <w:color w:val="808080"/>
    </w:rPr>
  </w:style>
  <w:style w:type="character" w:styleId="IntenseEmphasis">
    <w:name w:val="Intense Emphasis"/>
    <w:qFormat/>
    <w:rPr>
      <w:b/>
      <w:bCs/>
      <w:i/>
      <w:iCs/>
      <w:color w:val="4F81BD"/>
    </w:rPr>
  </w:style>
  <w:style w:type="character" w:styleId="SubtleReference">
    <w:name w:val="Subtle Reference"/>
    <w:qFormat/>
    <w:rPr>
      <w:smallCaps/>
      <w:color w:val="C0504D"/>
      <w:u w:val="single"/>
    </w:rPr>
  </w:style>
  <w:style w:type="character" w:styleId="IntenseReference">
    <w:name w:val="Intense Reference"/>
    <w:qFormat/>
    <w:rPr>
      <w:b/>
      <w:bCs/>
      <w:smallCaps/>
      <w:color w:val="C0504D"/>
      <w:spacing w:val="5"/>
      <w:u w:val="single"/>
    </w:rPr>
  </w:style>
  <w:style w:type="character" w:styleId="BookTitle">
    <w:name w:val="Book Title"/>
    <w:qFormat/>
    <w:rPr>
      <w:b/>
      <w:bCs/>
      <w:smallCaps/>
      <w:spacing w:val="5"/>
    </w:rPr>
  </w:style>
  <w:style w:type="character" w:styleId="Style4" w:customStyle="1">
    <w:name w:val="Электронная подпись Знак"/>
    <w:link w:val="E-mailSignature"/>
    <w:qFormat/>
    <w:rPr>
      <w:rFonts w:eastAsia="Calibri"/>
      <w:sz w:val="24"/>
      <w:szCs w:val="24"/>
    </w:rPr>
  </w:style>
  <w:style w:type="character" w:styleId="11" w:customStyle="1">
    <w:name w:val="Подпункт Знак1"/>
    <w:link w:val="Style21"/>
    <w:qFormat/>
    <w:rPr>
      <w:sz w:val="28"/>
    </w:rPr>
  </w:style>
  <w:style w:type="character" w:styleId="Style5" w:customStyle="1">
    <w:name w:val="Текст сноски Знак"/>
    <w:qFormat/>
    <w:rPr/>
  </w:style>
  <w:style w:type="character" w:styleId="Style6" w:customStyle="1">
    <w:name w:val="Основной текст Знак"/>
    <w:qFormat/>
    <w:rPr>
      <w:sz w:val="28"/>
      <w:szCs w:val="28"/>
    </w:rPr>
  </w:style>
  <w:style w:type="character" w:styleId="Blk" w:customStyle="1">
    <w:name w:val="blk"/>
    <w:qFormat/>
    <w:rPr/>
  </w:style>
  <w:style w:type="character" w:styleId="Style7" w:customStyle="1">
    <w:name w:val="Абзац списка Знак"/>
    <w:link w:val="ListParagraph"/>
    <w:qFormat/>
    <w:rPr>
      <w:rFonts w:eastAsia="Calibri"/>
      <w:sz w:val="24"/>
      <w:szCs w:val="24"/>
    </w:rPr>
  </w:style>
  <w:style w:type="character" w:styleId="Style8" w:customStyle="1">
    <w:name w:val="комментарий"/>
    <w:qFormat/>
    <w:rPr>
      <w:b/>
      <w:i/>
      <w:shd w:fill="FFFF99" w:val="clear"/>
    </w:rPr>
  </w:style>
  <w:style w:type="character" w:styleId="Style9" w:customStyle="1">
    <w:name w:val="Подподпункт Знак"/>
    <w:link w:val="Style29"/>
    <w:qFormat/>
    <w:rPr>
      <w:sz w:val="26"/>
      <w:szCs w:val="26"/>
    </w:rPr>
  </w:style>
  <w:style w:type="character" w:styleId="31" w:customStyle="1">
    <w:name w:val="УРОВЕНЬ_Абзац_тип3 Знак"/>
    <w:link w:val="36"/>
    <w:qFormat/>
    <w:rPr>
      <w:rFonts w:eastAsia="Calibri"/>
      <w:sz w:val="26"/>
      <w:szCs w:val="28"/>
      <w:lang w:eastAsia="en-US"/>
    </w:rPr>
  </w:style>
  <w:style w:type="character" w:styleId="Style10" w:customStyle="1">
    <w:name w:val="Верхний колонтитул Знак"/>
    <w:qFormat/>
    <w:rPr>
      <w:sz w:val="24"/>
      <w:szCs w:val="24"/>
    </w:rPr>
  </w:style>
  <w:style w:type="character" w:styleId="Style11" w:customStyle="1">
    <w:name w:val="Текст примечания Знак"/>
    <w:link w:val="Annotationtext"/>
    <w:qFormat/>
    <w:rPr/>
  </w:style>
  <w:style w:type="character" w:styleId="Style12" w:customStyle="1">
    <w:name w:val="Текст концевой сноски Знак"/>
    <w:basedOn w:val="DefaultParagraphFont"/>
    <w:qFormat/>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22" w:customStyle="1">
    <w:name w:val="Пункт2 Знак"/>
    <w:link w:val="24"/>
    <w:qFormat/>
    <w:rPr>
      <w:b/>
      <w:sz w:val="28"/>
    </w:rPr>
  </w:style>
  <w:style w:type="character" w:styleId="12" w:customStyle="1">
    <w:name w:val="УРОВЕНЬ_1. Знак"/>
    <w:link w:val="19"/>
    <w:qFormat/>
    <w:rPr>
      <w:rFonts w:eastAsia="Calibri"/>
      <w:caps/>
      <w:sz w:val="28"/>
      <w:szCs w:val="28"/>
      <w:lang w:eastAsia="en-US"/>
    </w:rPr>
  </w:style>
  <w:style w:type="character" w:styleId="13" w:customStyle="1">
    <w:name w:val="Неразрешенное упоминание1"/>
    <w:basedOn w:val="DefaultParagraphFont"/>
    <w:qFormat/>
    <w:rPr>
      <w:color w:val="605E5C"/>
      <w:shd w:fill="E1DFDD" w:val="clear"/>
    </w:rPr>
  </w:style>
  <w:style w:type="character" w:styleId="32" w:customStyle="1">
    <w:name w:val="Основной текст с отступом 3 Знак"/>
    <w:link w:val="BodyTextIndent3"/>
    <w:qFormat/>
    <w:rPr>
      <w:sz w:val="16"/>
      <w:szCs w:val="16"/>
    </w:rPr>
  </w:style>
  <w:style w:type="character" w:styleId="Style14" w:customStyle="1">
    <w:name w:val="Ссылка указателя"/>
    <w:qFormat/>
    <w:rPr/>
  </w:style>
  <w:style w:type="character" w:styleId="Vi-textxw0rd193" w:customStyle="1">
    <w:name w:val="_vi-text_xw0rd_193"/>
    <w:basedOn w:val="DefaultParagraphFont"/>
    <w:qFormat/>
    <w:rsid w:val="002a6df0"/>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6"/>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Style17" w:customStyle="1">
    <w:name w:val="Название раздела инструкции"/>
    <w:basedOn w:val="Normal"/>
    <w:autoRedefine/>
    <w:qFormat/>
    <w:pPr>
      <w:jc w:val="center"/>
    </w:pPr>
    <w:rPr>
      <w:b/>
    </w:rPr>
  </w:style>
  <w:style w:type="paragraph" w:styleId="Style18" w:customStyle="1">
    <w:name w:val="Раздел положения"/>
    <w:basedOn w:val="Normal"/>
    <w:autoRedefine/>
    <w:qFormat/>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pPr>
      <w:numPr>
        <w:ilvl w:val="1"/>
        <w:numId w:val="1"/>
      </w:numPr>
      <w:spacing w:before="80" w:after="80"/>
      <w:jc w:val="both"/>
    </w:pPr>
    <w:rPr/>
  </w:style>
  <w:style w:type="paragraph" w:styleId="FootnoteText">
    <w:name w:val="Footnote Text"/>
    <w:basedOn w:val="Normal"/>
    <w:link w:val="Style5"/>
    <w:pPr/>
    <w:rPr>
      <w:sz w:val="20"/>
      <w:szCs w:val="20"/>
    </w:rPr>
  </w:style>
  <w:style w:type="paragraph" w:styleId="14" w:customStyle="1">
    <w:name w:val="Шапка 1"/>
    <w:basedOn w:val="Normal"/>
    <w:qFormat/>
    <w:pPr>
      <w:pBdr>
        <w:bottom w:val="thickThinSmallGap" w:sz="24" w:space="1" w:color="000000"/>
      </w:pBdr>
      <w:spacing w:before="0" w:after="240"/>
      <w:jc w:val="center"/>
    </w:pPr>
    <w:rPr>
      <w:sz w:val="22"/>
      <w:szCs w:val="22"/>
    </w:rPr>
  </w:style>
  <w:style w:type="paragraph" w:styleId="23" w:customStyle="1">
    <w:name w:val="Шапка 2"/>
    <w:basedOn w:val="Normal"/>
    <w:qFormat/>
    <w:pPr>
      <w:pBdr>
        <w:bottom w:val="thickThinSmallGap" w:sz="24" w:space="1" w:color="000000"/>
      </w:pBdr>
      <w:spacing w:before="0" w:after="120"/>
      <w:jc w:val="center"/>
    </w:pPr>
    <w:rPr>
      <w:b/>
      <w:sz w:val="22"/>
      <w:szCs w:val="22"/>
    </w:rPr>
  </w:style>
  <w:style w:type="paragraph" w:styleId="33" w:customStyle="1">
    <w:name w:val="Шапка 3"/>
    <w:basedOn w:val="Normal"/>
    <w:qFormat/>
    <w:pPr>
      <w:pBdr>
        <w:bottom w:val="thickThinSmallGap" w:sz="24" w:space="1" w:color="000000"/>
      </w:pBdr>
      <w:spacing w:before="240" w:after="360"/>
      <w:jc w:val="center"/>
    </w:pPr>
    <w:rPr>
      <w:b/>
      <w:sz w:val="24"/>
      <w:szCs w:val="24"/>
    </w:rPr>
  </w:style>
  <w:style w:type="paragraph" w:styleId="15" w:customStyle="1">
    <w:name w:val="Название1"/>
    <w:basedOn w:val="Normal"/>
    <w:link w:val="Style1"/>
    <w:qFormat/>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pPr>
      <w:tabs>
        <w:tab w:val="clear" w:pos="708"/>
        <w:tab w:val="center" w:pos="4677" w:leader="none"/>
        <w:tab w:val="right" w:pos="9355" w:leader="none"/>
      </w:tabs>
    </w:pPr>
    <w:rPr>
      <w:sz w:val="24"/>
      <w:szCs w:val="24"/>
    </w:rPr>
  </w:style>
  <w:style w:type="paragraph" w:styleId="BodyTextIndent">
    <w:name w:val="Body Text Indent"/>
    <w:basedOn w:val="Normal"/>
    <w:pPr>
      <w:ind w:left="360" w:hanging="0"/>
    </w:pPr>
    <w:rPr>
      <w:sz w:val="24"/>
      <w:szCs w:val="24"/>
    </w:rPr>
  </w:style>
  <w:style w:type="paragraph" w:styleId="Footer">
    <w:name w:val="Footer"/>
    <w:basedOn w:val="Normal"/>
    <w:pPr>
      <w:tabs>
        <w:tab w:val="clear" w:pos="708"/>
        <w:tab w:val="center" w:pos="4677" w:leader="none"/>
        <w:tab w:val="right" w:pos="9355" w:leader="none"/>
      </w:tabs>
    </w:pPr>
    <w:rPr/>
  </w:style>
  <w:style w:type="paragraph" w:styleId="BodyTextIndent2">
    <w:name w:val="Body Text Indent 2"/>
    <w:basedOn w:val="Normal"/>
    <w:qFormat/>
    <w:pPr>
      <w:spacing w:lineRule="auto" w:line="480" w:before="0" w:after="120"/>
      <w:ind w:left="283" w:hanging="0"/>
    </w:pPr>
    <w:rPr/>
  </w:style>
  <w:style w:type="paragraph" w:styleId="BodyText3">
    <w:name w:val="Body Text 3"/>
    <w:basedOn w:val="Normal"/>
    <w:qFormat/>
    <w:pPr>
      <w:spacing w:before="0" w:after="120"/>
    </w:pPr>
    <w:rPr>
      <w:sz w:val="16"/>
      <w:szCs w:val="16"/>
    </w:rPr>
  </w:style>
  <w:style w:type="paragraph" w:styleId="BodyTextIndent3">
    <w:name w:val="Body Text Indent 3"/>
    <w:basedOn w:val="Normal"/>
    <w:link w:val="32"/>
    <w:qFormat/>
    <w:pPr>
      <w:spacing w:before="0" w:after="120"/>
      <w:ind w:left="283" w:hanging="0"/>
    </w:pPr>
    <w:rPr>
      <w:sz w:val="16"/>
      <w:szCs w:val="16"/>
    </w:rPr>
  </w:style>
  <w:style w:type="paragraph" w:styleId="BodyText2">
    <w:name w:val="Body Text 2"/>
    <w:basedOn w:val="Normal"/>
    <w:qFormat/>
    <w:pPr>
      <w:spacing w:lineRule="auto" w:line="480" w:before="0" w:after="120"/>
    </w:pPr>
    <w:rPr/>
  </w:style>
  <w:style w:type="paragraph" w:styleId="BlockText">
    <w:name w:val="Block Text"/>
    <w:basedOn w:val="Normal"/>
    <w:qFormat/>
    <w:pPr>
      <w:ind w:left="-567" w:right="-766" w:hanging="0"/>
      <w:jc w:val="center"/>
    </w:pPr>
    <w:rPr>
      <w:b/>
      <w:bCs/>
      <w:sz w:val="24"/>
      <w:szCs w:val="20"/>
    </w:rPr>
  </w:style>
  <w:style w:type="paragraph" w:styleId="Style21" w:customStyle="1">
    <w:name w:val="Подпункт"/>
    <w:basedOn w:val="Normal"/>
    <w:link w:val="11"/>
    <w:qFormat/>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pPr>
      <w:shd w:val="clear" w:color="auto" w:fill="FFFFFF"/>
      <w:spacing w:before="120" w:after="0"/>
    </w:pPr>
    <w:rPr>
      <w:rFonts w:cs="Calibri Light (Заголовки)"/>
      <w:b/>
      <w:bCs/>
      <w:sz w:val="24"/>
      <w:szCs w:val="24"/>
    </w:rPr>
  </w:style>
  <w:style w:type="paragraph" w:styleId="TOC3">
    <w:name w:val="TOC 3"/>
    <w:basedOn w:val="Normal"/>
    <w:next w:val="Normal"/>
    <w:autoRedefine/>
    <w:uiPriority w:val="39"/>
    <w:pPr>
      <w:ind w:left="280" w:hanging="0"/>
    </w:pPr>
    <w:rPr>
      <w:rFonts w:cs="Calibri"/>
      <w:sz w:val="20"/>
      <w:szCs w:val="20"/>
    </w:rPr>
  </w:style>
  <w:style w:type="paragraph" w:styleId="Style22" w:customStyle="1">
    <w:name w:val="Раздел регламента"/>
    <w:basedOn w:val="Normal"/>
    <w:qFormat/>
    <w:pPr/>
    <w:rPr/>
  </w:style>
  <w:style w:type="paragraph" w:styleId="Style23" w:customStyle="1">
    <w:name w:val="Приложение к регламенту"/>
    <w:basedOn w:val="Normal"/>
    <w:qFormat/>
    <w:pPr>
      <w:jc w:val="right"/>
    </w:pPr>
    <w:rPr/>
  </w:style>
  <w:style w:type="paragraph" w:styleId="TOC2">
    <w:name w:val="TOC 2"/>
    <w:basedOn w:val="Normal"/>
    <w:next w:val="Normal"/>
    <w:autoRedefine/>
    <w:uiPriority w:val="39"/>
    <w:pPr>
      <w:spacing w:before="240" w:after="0"/>
    </w:pPr>
    <w:rPr>
      <w:rFonts w:cs="Calibri"/>
      <w:b/>
      <w:bCs/>
      <w:sz w:val="20"/>
      <w:szCs w:val="20"/>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link w:val="Style11"/>
    <w:qFormat/>
    <w:pPr/>
    <w:rPr>
      <w:sz w:val="20"/>
      <w:szCs w:val="20"/>
    </w:rPr>
  </w:style>
  <w:style w:type="paragraph" w:styleId="Annotationsubject">
    <w:name w:val="annotation subject"/>
    <w:basedOn w:val="Annotationtext"/>
    <w:next w:val="Annotationtext"/>
    <w:qFormat/>
    <w:pPr/>
    <w:rPr>
      <w:b/>
      <w:bCs/>
    </w:rPr>
  </w:style>
  <w:style w:type="paragraph" w:styleId="16" w:customStyle="1">
    <w:name w:val="Обычный (веб)1"/>
    <w:basedOn w:val="Normal"/>
    <w:qFormat/>
    <w:pPr>
      <w:spacing w:before="280" w:after="280"/>
    </w:pPr>
    <w:rPr>
      <w:rFonts w:ascii="Arial Unicode MS" w:hAnsi="Arial Unicode MS" w:eastAsia="Arial Unicode MS" w:cs="Arial Unicode MS"/>
      <w:sz w:val="24"/>
      <w:szCs w:val="24"/>
    </w:rPr>
  </w:style>
  <w:style w:type="paragraph" w:styleId="TOC9">
    <w:name w:val="TOC 9"/>
    <w:basedOn w:val="Normal"/>
    <w:next w:val="Normal"/>
    <w:autoRedefine/>
    <w:pPr>
      <w:ind w:left="1960" w:hanging="0"/>
    </w:pPr>
    <w:rPr>
      <w:rFonts w:ascii="Calibri" w:hAnsi="Calibri" w:cs="Calibri"/>
      <w:sz w:val="20"/>
      <w:szCs w:val="20"/>
    </w:rPr>
  </w:style>
  <w:style w:type="paragraph" w:styleId="TOC5">
    <w:name w:val="TOC 5"/>
    <w:basedOn w:val="Normal"/>
    <w:next w:val="Normal"/>
    <w:autoRedefine/>
    <w:pPr>
      <w:ind w:left="840" w:hanging="0"/>
    </w:pPr>
    <w:rPr>
      <w:rFonts w:ascii="Calibri" w:hAnsi="Calibri" w:cs="Calibri"/>
      <w:sz w:val="20"/>
      <w:szCs w:val="20"/>
    </w:rPr>
  </w:style>
  <w:style w:type="paragraph" w:styleId="TOC4">
    <w:name w:val="TOC 4"/>
    <w:basedOn w:val="Normal"/>
    <w:next w:val="Normal"/>
    <w:autoRedefine/>
    <w:uiPriority w:val="39"/>
    <w:pPr>
      <w:ind w:left="560" w:hanging="0"/>
    </w:pPr>
    <w:rPr>
      <w:rFonts w:cs="Calibri"/>
      <w:sz w:val="20"/>
      <w:szCs w:val="20"/>
    </w:rPr>
  </w:style>
  <w:style w:type="paragraph" w:styleId="25" w:customStyle="1">
    <w:name w:val="Раздел положения 2"/>
    <w:basedOn w:val="Normal"/>
    <w:qFormat/>
    <w:pPr>
      <w:pageBreakBefore/>
      <w:jc w:val="both"/>
      <w:outlineLvl w:val="0"/>
    </w:pPr>
    <w:rPr>
      <w:b/>
    </w:rPr>
  </w:style>
  <w:style w:type="paragraph" w:styleId="Style24"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2"/>
      <w:lang w:val="en-US" w:eastAsia="en-US"/>
    </w:rPr>
  </w:style>
  <w:style w:type="paragraph" w:styleId="NoSpacing">
    <w:name w:val="No Spacing"/>
    <w:basedOn w:val="Normal"/>
    <w:qFormat/>
    <w:pPr>
      <w:spacing w:lineRule="auto" w:line="360"/>
    </w:pPr>
    <w:rPr>
      <w:rFonts w:eastAsia="Calibri"/>
      <w:sz w:val="24"/>
      <w:szCs w:val="24"/>
    </w:rPr>
  </w:style>
  <w:style w:type="paragraph" w:styleId="Caption11" w:customStyle="1">
    <w:name w:val="caption11"/>
    <w:basedOn w:val="Normal"/>
    <w:next w:val="Normal"/>
    <w:qFormat/>
    <w:pPr/>
    <w:rPr>
      <w:rFonts w:eastAsia="Calibri"/>
      <w:b/>
      <w:bCs/>
      <w:color w:val="4F81BD"/>
      <w:sz w:val="18"/>
      <w:szCs w:val="18"/>
    </w:rPr>
  </w:style>
  <w:style w:type="paragraph" w:styleId="Subtitle">
    <w:name w:val="Subtitle"/>
    <w:basedOn w:val="Normal"/>
    <w:next w:val="Normal"/>
    <w:link w:val="Style2"/>
    <w:qFormat/>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qFormat/>
    <w:pPr>
      <w:ind w:left="708" w:hanging="0"/>
    </w:pPr>
    <w:rPr/>
  </w:style>
  <w:style w:type="paragraph" w:styleId="Quote">
    <w:name w:val="Quote"/>
    <w:basedOn w:val="Normal"/>
    <w:next w:val="Normal"/>
    <w:link w:val="21"/>
    <w:qFormat/>
    <w:pPr/>
    <w:rPr>
      <w:rFonts w:ascii="Calibri" w:hAnsi="Calibri" w:eastAsia="Calibri"/>
      <w:i/>
      <w:iCs/>
      <w:color w:val="000000"/>
      <w:sz w:val="20"/>
      <w:szCs w:val="20"/>
      <w:lang w:val="x-none" w:eastAsia="x-none"/>
    </w:rPr>
  </w:style>
  <w:style w:type="paragraph" w:styleId="IntenseQuote">
    <w:name w:val="Intense Quote"/>
    <w:basedOn w:val="Normal"/>
    <w:next w:val="Normal"/>
    <w:link w:val="Style3"/>
    <w:qFormat/>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qFormat/>
    <w:pPr>
      <w:keepLines/>
      <w:spacing w:before="480" w:after="60"/>
      <w:outlineLvl w:val="9"/>
    </w:pPr>
    <w:rPr>
      <w:rFonts w:ascii="Cambria" w:hAnsi="Cambria"/>
      <w:bCs/>
      <w:color w:val="365F91"/>
    </w:rPr>
  </w:style>
  <w:style w:type="paragraph" w:styleId="E-mailSignature">
    <w:name w:val="E-mail Signature"/>
    <w:basedOn w:val="Normal"/>
    <w:link w:val="Style4"/>
    <w:qFormat/>
    <w:pPr/>
    <w:rPr>
      <w:rFonts w:eastAsia="Calibri"/>
      <w:sz w:val="24"/>
      <w:szCs w:val="24"/>
      <w:lang w:val="x-none" w:eastAsia="x-none"/>
    </w:rPr>
  </w:style>
  <w:style w:type="paragraph" w:styleId="Style25" w:customStyle="1">
    <w:name w:val="Знак"/>
    <w:basedOn w:val="Normal"/>
    <w:qFormat/>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pPr>
      <w:numPr>
        <w:ilvl w:val="2"/>
        <w:numId w:val="2"/>
      </w:numPr>
      <w:jc w:val="both"/>
    </w:pPr>
    <w:rPr>
      <w:rFonts w:ascii="Garamond" w:hAnsi="Garamond"/>
      <w:sz w:val="24"/>
      <w:szCs w:val="20"/>
    </w:rPr>
  </w:style>
  <w:style w:type="paragraph" w:styleId="ListBullet4">
    <w:name w:val="List Bullet 4"/>
    <w:basedOn w:val="Normal"/>
    <w:qFormat/>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pPr>
      <w:numPr>
        <w:ilvl w:val="1"/>
        <w:numId w:val="2"/>
      </w:numPr>
      <w:spacing w:before="120" w:after="0"/>
      <w:jc w:val="both"/>
    </w:pPr>
    <w:rPr>
      <w:rFonts w:ascii="Garamond" w:hAnsi="Garamond"/>
      <w:sz w:val="24"/>
      <w:szCs w:val="20"/>
    </w:rPr>
  </w:style>
  <w:style w:type="paragraph" w:styleId="Revision">
    <w:name w:val="Revision"/>
    <w:qFormat/>
    <w:pPr>
      <w:widowControl/>
      <w:suppressAutoHyphens w:val="true"/>
      <w:overflowPunct w:val="fals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pPr>
      <w:widowControl w:val="false"/>
      <w:suppressAutoHyphens w:val="true"/>
      <w:overflowPunct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7" w:customStyle="1">
    <w:name w:val="Абзац списка1"/>
    <w:basedOn w:val="Normal"/>
    <w:qFormat/>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pPr>
      <w:keepNext w:val="true"/>
      <w:spacing w:before="40" w:after="40"/>
      <w:ind w:left="57" w:right="57" w:hanging="0"/>
    </w:pPr>
    <w:rPr>
      <w:sz w:val="22"/>
      <w:szCs w:val="26"/>
    </w:rPr>
  </w:style>
  <w:style w:type="paragraph" w:styleId="Style29" w:customStyle="1">
    <w:name w:val="Подподпункт"/>
    <w:basedOn w:val="Style21"/>
    <w:link w:val="Style9"/>
    <w:qFormat/>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pPr>
      <w:numPr>
        <w:ilvl w:val="3"/>
        <w:numId w:val="4"/>
      </w:numPr>
      <w:spacing w:lineRule="exact" w:line="360" w:before="120" w:after="0"/>
      <w:jc w:val="both"/>
      <w:outlineLvl w:val="3"/>
    </w:pPr>
    <w:rPr>
      <w:sz w:val="26"/>
      <w:lang w:eastAsia="en-US"/>
    </w:rPr>
  </w:style>
  <w:style w:type="paragraph" w:styleId="-" w:customStyle="1">
    <w:name w:val="УРОВЕНЬ_-"/>
    <w:basedOn w:val="ListParagraph"/>
    <w:qFormat/>
    <w:pPr>
      <w:numPr>
        <w:ilvl w:val="4"/>
        <w:numId w:val="4"/>
      </w:numPr>
      <w:spacing w:lineRule="exact" w:line="360" w:before="120" w:after="0"/>
      <w:jc w:val="both"/>
      <w:outlineLvl w:val="4"/>
    </w:pPr>
    <w:rPr>
      <w:sz w:val="26"/>
      <w:lang w:eastAsia="en-US"/>
    </w:rPr>
  </w:style>
  <w:style w:type="paragraph" w:styleId="27" w:customStyle="1">
    <w:name w:val="УРОВЕНЬ_Абзац_тип2"/>
    <w:basedOn w:val="ListParagraph"/>
    <w:qFormat/>
    <w:pPr>
      <w:numPr>
        <w:ilvl w:val="6"/>
        <w:numId w:val="4"/>
      </w:numPr>
      <w:spacing w:lineRule="exact" w:line="360" w:before="120" w:after="0"/>
      <w:jc w:val="both"/>
    </w:pPr>
    <w:rPr>
      <w:sz w:val="26"/>
      <w:lang w:eastAsia="en-US"/>
    </w:rPr>
  </w:style>
  <w:style w:type="paragraph" w:styleId="36" w:customStyle="1">
    <w:name w:val="УРОВЕНЬ_Абзац_тип3"/>
    <w:basedOn w:val="ListParagraph"/>
    <w:link w:val="31"/>
    <w:qFormat/>
    <w:pPr>
      <w:numPr>
        <w:ilvl w:val="7"/>
        <w:numId w:val="4"/>
      </w:numPr>
      <w:spacing w:lineRule="exact" w:line="360" w:before="120" w:after="0"/>
      <w:jc w:val="both"/>
    </w:pPr>
    <w:rPr>
      <w:sz w:val="26"/>
      <w:lang w:eastAsia="en-US"/>
    </w:rPr>
  </w:style>
  <w:style w:type="paragraph" w:styleId="Style31" w:customStyle="1">
    <w:name w:val="УРОВЕНЬ_Подпись"/>
    <w:basedOn w:val="ListParagraph"/>
    <w:qFormat/>
    <w:pPr>
      <w:keepNext w:val="true"/>
      <w:numPr>
        <w:ilvl w:val="5"/>
        <w:numId w:val="4"/>
      </w:numPr>
      <w:spacing w:lineRule="exact" w:line="360" w:before="120" w:after="120"/>
      <w:jc w:val="right"/>
      <w:outlineLvl w:val="3"/>
    </w:pPr>
    <w:rPr>
      <w:sz w:val="26"/>
      <w:lang w:eastAsia="en-US"/>
    </w:rPr>
  </w:style>
  <w:style w:type="paragraph" w:styleId="18" w:customStyle="1">
    <w:name w:val="Стиль Заголовок 1 + по ширине"/>
    <w:basedOn w:val="Heading1"/>
    <w:qFormat/>
    <w:pPr>
      <w:keepLines/>
      <w:numPr>
        <w:ilvl w:val="0"/>
        <w:numId w:val="0"/>
      </w:numPr>
      <w:tabs>
        <w:tab w:val="clear" w:pos="708"/>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pPr/>
    <w:rPr>
      <w:sz w:val="20"/>
      <w:szCs w:val="20"/>
    </w:rPr>
  </w:style>
  <w:style w:type="paragraph" w:styleId="28" w:customStyle="1">
    <w:name w:val="Заголовок 2 КВВ"/>
    <w:basedOn w:val="Normal"/>
    <w:qFormat/>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pPr>
      <w:spacing w:before="40" w:after="40"/>
      <w:ind w:left="57" w:right="57" w:hanging="0"/>
    </w:pPr>
    <w:rPr>
      <w:sz w:val="24"/>
      <w:szCs w:val="26"/>
    </w:rPr>
  </w:style>
  <w:style w:type="paragraph" w:styleId="NormalWeb">
    <w:name w:val="Normal (Web)"/>
    <w:basedOn w:val="Normal"/>
    <w:uiPriority w:val="99"/>
    <w:qFormat/>
    <w:pPr>
      <w:spacing w:before="280" w:after="280"/>
    </w:pPr>
    <w:rPr>
      <w:sz w:val="24"/>
      <w:szCs w:val="24"/>
    </w:rPr>
  </w:style>
  <w:style w:type="paragraph" w:styleId="19" w:customStyle="1">
    <w:name w:val="УРОВЕНЬ_1."/>
    <w:basedOn w:val="ListParagraph"/>
    <w:link w:val="12"/>
    <w:qFormat/>
    <w:pPr>
      <w:keepNext w:val="true"/>
      <w:keepLines/>
      <w:spacing w:lineRule="auto" w:line="276" w:before="240" w:after="120"/>
      <w:ind w:left="0" w:hanging="0"/>
      <w:jc w:val="both"/>
      <w:outlineLvl w:val="0"/>
    </w:pPr>
    <w:rPr>
      <w:caps/>
      <w:lang w:eastAsia="en-US"/>
    </w:rPr>
  </w:style>
  <w:style w:type="paragraph" w:styleId="TOC6">
    <w:name w:val="TOC 6"/>
    <w:basedOn w:val="Normal"/>
    <w:next w:val="Normal"/>
    <w:autoRedefine/>
    <w:pPr>
      <w:ind w:left="1120" w:hanging="0"/>
    </w:pPr>
    <w:rPr>
      <w:rFonts w:ascii="Calibri" w:hAnsi="Calibri" w:cs="Calibri"/>
      <w:sz w:val="20"/>
      <w:szCs w:val="20"/>
    </w:rPr>
  </w:style>
  <w:style w:type="paragraph" w:styleId="TOC7">
    <w:name w:val="TOC 7"/>
    <w:basedOn w:val="Normal"/>
    <w:next w:val="Normal"/>
    <w:autoRedefine/>
    <w:pPr>
      <w:ind w:left="1400" w:hanging="0"/>
    </w:pPr>
    <w:rPr>
      <w:rFonts w:ascii="Calibri" w:hAnsi="Calibri" w:cs="Calibri"/>
      <w:sz w:val="20"/>
      <w:szCs w:val="20"/>
    </w:rPr>
  </w:style>
  <w:style w:type="paragraph" w:styleId="TOC8">
    <w:name w:val="TOC 8"/>
    <w:basedOn w:val="Normal"/>
    <w:next w:val="Normal"/>
    <w:autoRedefine/>
    <w:pPr>
      <w:ind w:left="1680" w:hanging="0"/>
    </w:pPr>
    <w:rPr>
      <w:rFonts w:ascii="Calibri" w:hAnsi="Calibri" w:cs="Calibri"/>
      <w:sz w:val="20"/>
      <w:szCs w:val="20"/>
    </w:rPr>
  </w:style>
  <w:style w:type="paragraph" w:styleId="Style33" w:customStyle="1">
    <w:name w:val="Содержимое врезки"/>
    <w:basedOn w:val="Normal"/>
    <w:qFormat/>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0" w:customStyle="1">
    <w:name w:val="Стиль1"/>
    <w:qFormat/>
  </w:style>
  <w:style w:type="numbering" w:styleId="29" w:customStyle="1">
    <w:name w:val="Стиль2"/>
    <w:qFormat/>
  </w:style>
  <w:style w:type="table" w:default="1" w:styleId="a5">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5C873-7C90-4764-B24F-EC5C13568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TotalTime>
  <Application>AlterOffice/2025.3.1.0$Linux_X86_64 LibreOffice_project/431cd1b79110582f53535c95ed0a2449aadc8bf9</Application>
  <AppVersion>15.0000</AppVersion>
  <Pages>10</Pages>
  <Words>3298</Words>
  <Characters>20835</Characters>
  <CharactersWithSpaces>23390</CharactersWithSpaces>
  <Paragraphs>772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2025-09-24T02:12:00Z</dcterms:created>
  <dc:creator>Быстров Олег Геннадьевич</dc:creator>
  <dc:description/>
  <dc:language>ru-RU</dc:language>
  <cp:lastModifiedBy>mokrousovsv@corp.gidroogk.com</cp:lastModifiedBy>
  <cp:lastPrinted>2026-07-21T06:49:00Z</cp:lastPrinted>
  <dcterms:modified xsi:type="dcterms:W3CDTF">2026-07-31T16:54:32Z</dcterms:modified>
  <cp:revision>208</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