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/>
        <w:jc w:val="center"/>
        <w:rPr>
          <w:b/>
          <w:sz w:val="24"/>
        </w:rPr>
      </w:pPr>
      <w:r>
        <w:rPr>
          <w:b/>
          <w:sz w:val="24"/>
        </w:rPr>
        <w:t>«ОКПД 71.20.11.000 Лабораторные испытания по определению содержанию вредных компонентов и примесей в инертных материалах(в заполнителях для бетона), химический анализ используемых вяжущих материалов в бетоне для нужд АО «ВНИИГ им. Б.Е. Веденеева»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/>
        <w:jc w:val="center"/>
        <w:rPr>
          <w:b/>
        </w:rPr>
      </w:pPr>
      <w:r>
        <w:rPr>
          <w:b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PMingLiU" w:cs="Arial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rStyle w:val="Style15"/>
            </w:rPr>
            <w:instrText xml:space="preserve"> TOC \o "1-4" \h</w:instrText>
          </w:r>
          <w:r>
            <w:rPr>
              <w:rStyle w:val="Style15"/>
            </w:rPr>
            <w:fldChar w:fldCharType="separate"/>
          </w:r>
          <w:hyperlink w:anchor="_Toc159834205">
            <w:r>
              <w:rPr>
                <w:rStyle w:val="Style15"/>
              </w:rPr>
              <w:t>1.</w:t>
            </w:r>
            <w:r>
              <w:rPr>
                <w:rStyle w:val="Style15"/>
                <w:rFonts w:eastAsia="PMingLiU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PMingLiU" w:cs="Arial"/>
              <w:sz w:val="22"/>
              <w:szCs w:val="22"/>
            </w:rPr>
          </w:pPr>
          <w:hyperlink w:anchor="_Toc159834206">
            <w:r>
              <w:rPr>
                <w:rStyle w:val="Style15"/>
                <w:iCs/>
              </w:rPr>
              <w:t>1.1.</w:t>
            </w:r>
            <w:r>
              <w:rPr>
                <w:rStyle w:val="Style15"/>
                <w:rFonts w:eastAsia="PMingLiU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PMingLiU" w:cs="Arial"/>
              <w:sz w:val="22"/>
              <w:szCs w:val="22"/>
            </w:rPr>
          </w:pPr>
          <w:hyperlink w:anchor="_Toc159834207">
            <w:r>
              <w:rPr>
                <w:rStyle w:val="Style15"/>
                <w:iCs/>
              </w:rPr>
              <w:t>1.2.</w:t>
            </w:r>
            <w:r>
              <w:rPr>
                <w:rStyle w:val="Style15"/>
                <w:rFonts w:eastAsia="PMingLiU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PMingLiU" w:cs="Arial"/>
              <w:b w:val="false"/>
              <w:bCs w:val="false"/>
              <w:sz w:val="22"/>
              <w:szCs w:val="22"/>
            </w:rPr>
          </w:pPr>
          <w:hyperlink w:anchor="_Toc159834210">
            <w:r>
              <w:rPr>
                <w:rStyle w:val="Style15"/>
              </w:rPr>
              <w:t>2.</w:t>
            </w:r>
            <w:r>
              <w:rPr>
                <w:rStyle w:val="Style15"/>
                <w:rFonts w:eastAsia="PMingLiU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PMingLiU" w:cs="Arial"/>
              <w:sz w:val="22"/>
              <w:szCs w:val="22"/>
            </w:rPr>
          </w:pPr>
          <w:hyperlink w:anchor="_Toc159834211">
            <w:r>
              <w:rPr>
                <w:rStyle w:val="Style15"/>
                <w:iCs/>
              </w:rPr>
              <w:t>2.1.</w:t>
            </w:r>
            <w:r>
              <w:rPr>
                <w:rStyle w:val="Style15"/>
                <w:rFonts w:eastAsia="PMingLiU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PMingLiU" w:cs="Arial"/>
              <w:sz w:val="22"/>
              <w:szCs w:val="22"/>
            </w:rPr>
          </w:pPr>
          <w:hyperlink w:anchor="_Toc159834212">
            <w:r>
              <w:rPr>
                <w:rStyle w:val="Style15"/>
              </w:rPr>
              <w:t>2.1.1.</w:t>
            </w:r>
            <w:r>
              <w:rPr>
                <w:rStyle w:val="Style15"/>
                <w:rFonts w:eastAsia="PMingLiU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PMingLiU" w:cs="Arial"/>
              <w:b w:val="false"/>
              <w:bCs w:val="false"/>
              <w:sz w:val="22"/>
              <w:szCs w:val="22"/>
            </w:rPr>
          </w:pPr>
          <w:hyperlink w:anchor="_Toc1598342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PMingLiU" w:cs="Arial"/>
              <w:sz w:val="22"/>
              <w:szCs w:val="22"/>
            </w:rPr>
          </w:pPr>
          <w:hyperlink w:anchor="_Toc159834214">
            <w:r>
              <w:rPr>
                <w:rStyle w:val="Style15"/>
              </w:rPr>
              <w:t>2.1.2.</w:t>
            </w:r>
            <w:r>
              <w:rPr>
                <w:rStyle w:val="Style15"/>
                <w:rFonts w:eastAsia="PMingLiU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PMingLiU" w:cs="Arial"/>
              <w:b w:val="false"/>
              <w:bCs w:val="false"/>
              <w:sz w:val="22"/>
              <w:szCs w:val="22"/>
            </w:rPr>
          </w:pPr>
          <w:hyperlink w:anchor="_Toc1598342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PMingLiU" w:cs="Arial"/>
              <w:sz w:val="22"/>
              <w:szCs w:val="22"/>
            </w:rPr>
          </w:pPr>
          <w:hyperlink w:anchor="_Toc159834216">
            <w:r>
              <w:rPr>
                <w:rStyle w:val="Style15"/>
                <w:iCs/>
              </w:rPr>
              <w:t>2.2.</w:t>
            </w:r>
            <w:r>
              <w:rPr>
                <w:rStyle w:val="Style15"/>
                <w:rFonts w:eastAsia="PMingLiU" w:cs="Arial" w:ascii="Calibri" w:hAnsi="Calibr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PMingLiU" w:cs="Arial"/>
              <w:b w:val="false"/>
              <w:bCs w:val="false"/>
              <w:sz w:val="22"/>
              <w:szCs w:val="22"/>
            </w:rPr>
          </w:pPr>
          <w:hyperlink w:anchor="_Toc15983421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_Toc159834217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hanging="0" w:left="0"/>
        <w:rPr>
          <w:rFonts w:eastAsia="Times New Roman" w:cs="Calibri Light (Заголовки)"/>
          <w:b w:val="false"/>
          <w:i/>
          <w:i/>
          <w:lang w:val="ru-RU" w:eastAsia="ru-RU"/>
        </w:rPr>
      </w:pPr>
      <w:r>
        <w:rPr>
          <w:rFonts w:eastAsia="Times New Roman" w:cs="Calibri Light (Заголовки)"/>
          <w:b w:val="false"/>
          <w:i/>
          <w:lang w:val="ru-RU" w:eastAsia="ru-RU"/>
        </w:rPr>
      </w:r>
    </w:p>
    <w:p>
      <w:pPr>
        <w:pStyle w:val="Normal"/>
        <w:rPr>
          <w:rFonts w:cs="Calibri Light (Заголовки)"/>
          <w:bCs/>
          <w:i/>
          <w:i/>
          <w:sz w:val="24"/>
          <w:szCs w:val="24"/>
        </w:rPr>
      </w:pPr>
      <w:r>
        <w:rPr>
          <w:rFonts w:cs="Calibri Light (Заголовки)"/>
          <w:bCs/>
          <w:i/>
          <w:sz w:val="24"/>
          <w:szCs w:val="24"/>
        </w:rPr>
      </w:r>
      <w:r>
        <w:br w:type="page"/>
      </w:r>
    </w:p>
    <w:p>
      <w:pPr>
        <w:pStyle w:val="Normal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hanging="357" w:left="357"/>
        <w:jc w:val="center"/>
        <w:rPr>
          <w:caps/>
          <w:lang w:val="ru-RU"/>
        </w:rPr>
      </w:pPr>
      <w:bookmarkStart w:id="0" w:name="_Toc159834205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hanging="432" w:left="574"/>
        <w:rPr/>
      </w:pPr>
      <w:bookmarkStart w:id="1" w:name="_Toc159834206"/>
      <w:bookmarkStart w:id="2" w:name="_Toc46743506"/>
      <w:bookmarkStart w:id="3" w:name="_Toc148965729"/>
      <w:bookmarkStart w:id="4" w:name="_Toc148966241"/>
      <w:bookmarkStart w:id="5" w:name="_Toc148965724"/>
      <w:bookmarkStart w:id="6" w:name="_Toc148965719"/>
      <w:bookmarkStart w:id="7" w:name="_Toc148966116"/>
      <w:bookmarkStart w:id="8" w:name="_Toc148966232"/>
      <w:bookmarkStart w:id="9" w:name="_Toc148965720"/>
      <w:bookmarkStart w:id="10" w:name="_Toc148966117"/>
      <w:bookmarkStart w:id="11" w:name="_Toc148966233"/>
      <w:bookmarkStart w:id="12" w:name="_Toc148965721"/>
      <w:bookmarkStart w:id="13" w:name="_Toc148966118"/>
      <w:bookmarkStart w:id="14" w:name="_Toc148966234"/>
      <w:bookmarkStart w:id="15" w:name="_Toc148966121"/>
      <w:bookmarkStart w:id="16" w:name="_Toc148966237"/>
      <w:bookmarkStart w:id="17" w:name="_Toc148965727"/>
      <w:bookmarkStart w:id="18" w:name="_Toc148966124"/>
      <w:bookmarkStart w:id="19" w:name="_Toc148966240"/>
      <w:bookmarkStart w:id="20" w:name="_Toc148965728"/>
      <w:bookmarkStart w:id="21" w:name="_Toc148966125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/>
        <w:t>Наименование закупаемой продукции</w:t>
      </w:r>
      <w:bookmarkEnd w:id="1"/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both"/>
        <w:rPr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ab/>
      </w:r>
      <w:r>
        <w:rPr>
          <w:sz w:val="24"/>
        </w:rPr>
        <w:t>Лабораторные испытания по определению содержанию вредных компонентов и примесей в инертных материалах(в заполнителях для бетона), химический анализ используемых вяжущих материалов в бетоне.</w:t>
      </w:r>
    </w:p>
    <w:p>
      <w:pPr>
        <w:pStyle w:val="Heading4"/>
        <w:numPr>
          <w:ilvl w:val="1"/>
          <w:numId w:val="3"/>
        </w:numPr>
        <w:ind w:hanging="432" w:left="574"/>
        <w:rPr/>
      </w:pPr>
      <w:bookmarkStart w:id="22" w:name="_Toc148965730"/>
      <w:bookmarkStart w:id="23" w:name="_Toc159834207"/>
      <w:bookmarkStart w:id="24" w:name="_Toc46743507"/>
      <w:r>
        <w:rPr/>
        <w:t xml:space="preserve">Цель </w:t>
      </w:r>
      <w:bookmarkEnd w:id="24"/>
      <w:r>
        <w:rPr/>
        <w:t>оказания услуг</w:t>
      </w:r>
      <w:bookmarkEnd w:id="22"/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both"/>
        <w:rPr>
          <w:color w:val="0F1115"/>
          <w:sz w:val="24"/>
          <w:szCs w:val="24"/>
          <w:shd w:fill="FFFFFF" w:val="clear"/>
        </w:rPr>
      </w:pPr>
      <w:bookmarkStart w:id="25" w:name="_Toc50125126"/>
      <w:bookmarkStart w:id="26" w:name="_Toc46743510"/>
      <w:bookmarkEnd w:id="25"/>
      <w:bookmarkEnd w:id="26"/>
      <w:r>
        <w:rPr>
          <w:sz w:val="24"/>
        </w:rPr>
        <w:tab/>
      </w:r>
      <w:r>
        <w:rPr>
          <w:sz w:val="24"/>
          <w:szCs w:val="24"/>
        </w:rPr>
        <w:t>Целью закупки услуг является</w:t>
      </w:r>
      <w:r>
        <w:rPr>
          <w:color w:val="0F1115"/>
          <w:sz w:val="24"/>
          <w:szCs w:val="24"/>
          <w:shd w:fill="FFFFFF" w:val="clear"/>
        </w:rPr>
        <w:t xml:space="preserve"> осуществление лабораторных исследований (испытаний) образцов инертных строительных материалов с целью определения их соответствия установленным нормативным требованиям для дальнейшего применения в производстве </w:t>
      </w:r>
      <w:r>
        <w:rPr>
          <w:rStyle w:val="Emphasis"/>
          <w:i w:val="false"/>
          <w:color w:val="0F1115"/>
          <w:sz w:val="24"/>
          <w:szCs w:val="24"/>
          <w:shd w:fill="FFFFFF" w:val="clear"/>
        </w:rPr>
        <w:t>бетонных смесей, строительных растворов</w:t>
      </w:r>
      <w:r>
        <w:rPr>
          <w:color w:val="0F1115"/>
          <w:sz w:val="24"/>
          <w:szCs w:val="24"/>
          <w:shd w:fill="FFFFFF" w:val="clear"/>
        </w:rPr>
        <w:t xml:space="preserve"> и обеспечения контроля качества поступающего сырья.</w:t>
      </w:r>
    </w:p>
    <w:p>
      <w:pPr>
        <w:pStyle w:val="Normal"/>
        <w:spacing w:before="0" w:after="120"/>
        <w:ind w:left="567"/>
        <w:rPr>
          <w:sz w:val="24"/>
          <w:szCs w:val="24"/>
        </w:rPr>
      </w:pPr>
      <w:r>
        <w:rPr>
          <w:b/>
          <w:sz w:val="24"/>
          <w:szCs w:val="24"/>
        </w:rPr>
        <w:t>Таблица 1. Перечень объектов заказчика</w:t>
      </w:r>
    </w:p>
    <w:tbl>
      <w:tblPr>
        <w:tblW w:w="1045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32"/>
        <w:gridCol w:w="1841"/>
        <w:gridCol w:w="1837"/>
        <w:gridCol w:w="4677"/>
        <w:gridCol w:w="1569"/>
      </w:tblGrid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/>
              <w:br w:type="textWrapping" w:clear="all"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АО «ВНИИГ им. Б.Е. Веденеева»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195220, г. Санкт-Петербург, ул. Гжатская, д. 21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Style w:val="Emphasis"/>
                <w:i w:val="false"/>
                <w:color w:val="0F1115"/>
                <w:sz w:val="22"/>
                <w:szCs w:val="22"/>
                <w:shd w:fill="FFFFFF" w:val="clear"/>
              </w:rPr>
              <w:t>инертные заполнители (песок, щебень) и вяжущие материалы (портландцемент,зола-уноса)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eastAsia="Calibri"/>
          <w:b/>
          <w:lang w:val="x-none" w:eastAsia="x-none"/>
        </w:rPr>
      </w:pPr>
      <w:r>
        <w:rPr>
          <w:rFonts w:eastAsia="Calibri"/>
          <w:b/>
          <w:lang w:val="x-none" w:eastAsia="x-none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hanging="357" w:left="357"/>
        <w:jc w:val="center"/>
        <w:rPr>
          <w:iCs/>
          <w:caps/>
          <w:lang w:val="ru-RU"/>
        </w:rPr>
      </w:pPr>
      <w:bookmarkStart w:id="27" w:name="_Toc159834210"/>
      <w:bookmarkStart w:id="28" w:name="_Toc51339693"/>
      <w:bookmarkStart w:id="29" w:name="_Toc148965735"/>
      <w:bookmarkStart w:id="30" w:name="_Toc148966249"/>
      <w:bookmarkStart w:id="31" w:name="_Toc148966133"/>
      <w:bookmarkStart w:id="32" w:name="_Toc148965736"/>
      <w:bookmarkStart w:id="33" w:name="_Toc148966248"/>
      <w:bookmarkStart w:id="34" w:name="_Toc148966132"/>
      <w:bookmarkEnd w:id="29"/>
      <w:bookmarkEnd w:id="30"/>
      <w:bookmarkEnd w:id="31"/>
      <w:bookmarkEnd w:id="32"/>
      <w:bookmarkEnd w:id="33"/>
      <w:bookmarkEnd w:id="34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7"/>
      <w:bookmarkEnd w:id="28"/>
    </w:p>
    <w:p>
      <w:pPr>
        <w:pStyle w:val="Heading4"/>
        <w:numPr>
          <w:ilvl w:val="1"/>
          <w:numId w:val="3"/>
        </w:numPr>
        <w:ind w:hanging="432" w:left="574"/>
        <w:rPr/>
      </w:pPr>
      <w:bookmarkStart w:id="35" w:name="_Toc159834211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5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6" w:name="_Toc159834212"/>
      <w:r>
        <w:rPr>
          <w:lang w:val="ru-RU"/>
        </w:rPr>
        <w:t>Требования к перечню и объему услуг</w:t>
      </w:r>
      <w:bookmarkEnd w:id="36"/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/>
        <w:rPr>
          <w:bCs/>
          <w:i/>
          <w:i/>
          <w:sz w:val="24"/>
          <w:szCs w:val="24"/>
          <w:shd w:fill="FFFF99" w:val="clear"/>
        </w:rPr>
      </w:pPr>
      <w:bookmarkStart w:id="37" w:name="_Toc159834213"/>
      <w:bookmarkStart w:id="3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8"/>
      <w:r>
        <w:rPr>
          <w:sz w:val="24"/>
          <w:szCs w:val="24"/>
          <w:lang w:val="ru-RU"/>
        </w:rPr>
        <w:t>и объем оказываемых услуг</w:t>
      </w:r>
      <w:bookmarkEnd w:id="37"/>
    </w:p>
    <w:tbl>
      <w:tblPr>
        <w:tblW w:w="9781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8"/>
        <w:gridCol w:w="4868"/>
        <w:gridCol w:w="1994"/>
        <w:gridCol w:w="2070"/>
      </w:tblGrid>
      <w:tr>
        <w:trPr>
          <w:trHeight w:val="723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12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664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</w:rPr>
              <w:t>Определение содержания вредных компонентов и примесей в песке (ГОСТ 8736-2025)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Шт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30</w:t>
            </w:r>
          </w:p>
        </w:tc>
      </w:tr>
      <w:tr>
        <w:trPr>
          <w:trHeight w:val="64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содержания вредных компонентов и примесей в щебне и гравии (ГОСТ 8267-93)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Шт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30</w:t>
            </w:r>
          </w:p>
        </w:tc>
      </w:tr>
      <w:tr>
        <w:trPr>
          <w:trHeight w:val="333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Химический анализ портландцемента </w:t>
              <w:br/>
              <w:t>(ГОСТ 31108-2020)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Шт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</w:tr>
      <w:tr>
        <w:trPr>
          <w:trHeight w:val="664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Химический анализ золы-уноса </w:t>
              <w:br/>
              <w:t>(ГОСТ 31108-2020)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Шт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9" w:name="_Toc159834214"/>
      <w:bookmarkStart w:id="40" w:name="_Toc51339696"/>
      <w:r>
        <w:rPr>
          <w:lang w:val="ru-RU"/>
        </w:rPr>
        <w:t xml:space="preserve">Требования </w:t>
      </w:r>
      <w:bookmarkEnd w:id="40"/>
      <w:r>
        <w:rPr>
          <w:lang w:val="ru-RU"/>
        </w:rPr>
        <w:t>к срокам оказания услуг</w:t>
      </w:r>
      <w:bookmarkEnd w:id="39"/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/>
        <w:rPr>
          <w:bCs/>
          <w:i/>
          <w:i/>
          <w:iCs/>
          <w:sz w:val="24"/>
          <w:szCs w:val="24"/>
          <w:shd w:fill="FFFF99" w:val="clear"/>
        </w:rPr>
      </w:pPr>
      <w:bookmarkStart w:id="41" w:name="_Toc159834215"/>
      <w:bookmarkStart w:id="42" w:name="_Toc51339697"/>
      <w:bookmarkStart w:id="43" w:name="_Toc50125127"/>
      <w:bookmarkStart w:id="44" w:name="_Toc50125126_Копия_1"/>
      <w:bookmarkEnd w:id="4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4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42"/>
      <w:bookmarkEnd w:id="43"/>
      <w:bookmarkEnd w:id="45"/>
      <w:r>
        <w:rPr>
          <w:sz w:val="24"/>
          <w:szCs w:val="24"/>
          <w:lang w:val="ru-RU"/>
        </w:rPr>
        <w:t>оказания услуг</w:t>
      </w:r>
      <w:bookmarkEnd w:id="41"/>
    </w:p>
    <w:tbl>
      <w:tblPr>
        <w:tblW w:w="9889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131"/>
        <w:gridCol w:w="3682"/>
        <w:gridCol w:w="1847"/>
        <w:gridCol w:w="3228"/>
      </w:tblGrid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4"/>
              </w:rPr>
            </w:pPr>
            <w:r>
              <w:rPr>
                <w:sz w:val="22"/>
              </w:rPr>
              <w:t>Лабораторные испытания по определению содержания вредных компонентов и примесей в инертных материалах (в заполнителях для бетона)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2"/>
                <w:szCs w:val="22"/>
                <w:lang w:val="x-none" w:eastAsia="x-none"/>
              </w:rPr>
            </w:pPr>
            <w:r>
              <w:rPr>
                <w:color w:val="000000"/>
                <w:sz w:val="22"/>
                <w:szCs w:val="22"/>
              </w:rPr>
              <w:t>С даты, следующей за датой подписания договора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2"/>
                <w:szCs w:val="22"/>
                <w:lang w:val="x-none" w:eastAsia="x-none"/>
              </w:rPr>
            </w:pPr>
            <w:r>
              <w:rPr>
                <w:color w:val="000000"/>
                <w:sz w:val="22"/>
                <w:szCs w:val="22"/>
              </w:rPr>
              <w:t>12 месяцев с даты следующей за датой подписания договора, или достижения предельной суммы договора, указанной в 4.1 Договора в зависимости от того какой срок наступит ранее.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</w:rPr>
            </w:r>
            <w:bookmarkStart w:id="46" w:name="_Toc46743510_Копия_1"/>
            <w:bookmarkStart w:id="47" w:name="_Toc46743510_Копия_1"/>
            <w:bookmarkEnd w:id="47"/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Химический анализ вяжущих материалов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С даты, следующей за датой подписания договора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2"/>
                <w:szCs w:val="22"/>
                <w:lang w:val="x-none" w:eastAsia="x-none"/>
              </w:rPr>
            </w:pPr>
            <w:r>
              <w:rPr>
                <w:color w:val="000000"/>
                <w:sz w:val="22"/>
                <w:szCs w:val="22"/>
              </w:rPr>
              <w:t>12 месяцев с даты следующей за датой подписания договора, или достижения предельной суммы договора, указанной в 4.1 Договора в зависимости от того какой срок наступит ранее.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hanging="432" w:left="574"/>
        <w:rPr/>
      </w:pPr>
      <w:bookmarkStart w:id="48" w:name="_Toc51339698"/>
      <w:bookmarkStart w:id="49" w:name="_Toc159834216"/>
      <w:bookmarkStart w:id="50" w:name="_Toc46743511"/>
      <w:r>
        <w:rPr/>
        <w:t xml:space="preserve">Требования к </w:t>
      </w:r>
      <w:bookmarkEnd w:id="50"/>
      <w:r>
        <w:rPr>
          <w:lang w:val="ru-RU"/>
        </w:rPr>
        <w:t>качеству услуг</w:t>
      </w:r>
      <w:bookmarkEnd w:id="49"/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/>
        <w:rPr>
          <w:sz w:val="24"/>
          <w:szCs w:val="24"/>
        </w:rPr>
      </w:pPr>
      <w:bookmarkStart w:id="51" w:name="_Toc15983421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48"/>
      <w:r>
        <w:rPr>
          <w:sz w:val="24"/>
          <w:szCs w:val="24"/>
          <w:lang w:val="ru-RU"/>
        </w:rPr>
        <w:t>качеству услуг</w:t>
      </w:r>
      <w:bookmarkEnd w:id="51"/>
      <w:r>
        <w:rPr>
          <w:sz w:val="24"/>
          <w:szCs w:val="24"/>
        </w:rPr>
        <w:t xml:space="preserve"> </w:t>
      </w:r>
    </w:p>
    <w:p>
      <w:pPr>
        <w:pStyle w:val="Normal"/>
        <w:spacing w:lineRule="auto" w:line="360"/>
        <w:ind w:firstLine="709"/>
        <w:jc w:val="both"/>
        <w:rPr>
          <w:b/>
          <w:bCs/>
          <w:sz w:val="24"/>
          <w:szCs w:val="24"/>
        </w:rPr>
      </w:pPr>
      <w:bookmarkStart w:id="52" w:name="_GoBack"/>
      <w:bookmarkEnd w:id="52"/>
      <w:r>
        <w:rPr>
          <w:sz w:val="24"/>
          <w:szCs w:val="24"/>
        </w:rPr>
        <w:t xml:space="preserve">Лабораторные испытания по определению содержания вредных компонентов и примесей в инертных материалах (в заполнителях для бетона) выполняются в соответствии с ГОСТ 8736-2025- для песка, в соответствии с ГОСТ 8267-93- для щебня. Содержание вредных компонентов и примесей выполняется в соответствии с данными в </w:t>
      </w:r>
      <w:r>
        <w:rPr>
          <w:bCs/>
          <w:sz w:val="24"/>
          <w:szCs w:val="24"/>
        </w:rPr>
        <w:t>Таблицы 4.1</w:t>
      </w:r>
      <w:r>
        <w:rPr>
          <w:b/>
          <w:bCs/>
          <w:sz w:val="24"/>
          <w:szCs w:val="24"/>
        </w:rPr>
        <w:t>.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Химический анализ выполняется в соответствии с ГОСТ 31108-2020 для цемента, для золы уноса в соответствии с ГОСТ 25818-2017. Химический анализ вяжущих материалов выполняется в соответствии с данными Таблицы 4.1.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4.1</w:t>
      </w:r>
      <w:r>
        <w:rPr>
          <w:sz w:val="24"/>
          <w:szCs w:val="24"/>
          <w:lang w:val="ru-RU"/>
        </w:rPr>
        <w:t xml:space="preserve"> Перечень определяемых показателей для каждого материала</w:t>
      </w:r>
    </w:p>
    <w:p>
      <w:pPr>
        <w:pStyle w:val="Normal"/>
        <w:spacing w:before="0" w:after="120"/>
        <w:rPr/>
      </w:pPr>
      <w:r>
        <w:rPr>
          <w:b/>
          <w:bCs/>
          <w:sz w:val="24"/>
          <w:szCs w:val="24"/>
        </w:rPr>
        <w:t xml:space="preserve">Наименование услуг/этапа услуг : </w:t>
      </w:r>
      <w:r>
        <w:rPr>
          <w:rFonts w:eastAsia="Calibri"/>
          <w:sz w:val="24"/>
          <w:szCs w:val="24"/>
          <w:lang w:eastAsia="en-US"/>
        </w:rPr>
        <w:t>Лабораторные испытания по определению содержанию вредных компонентов и примесей в инертных материалах(в заполнителях для бетона), химический анализ используемых вяжущих материалов в бетоне</w:t>
      </w:r>
    </w:p>
    <w:p>
      <w:pPr>
        <w:pStyle w:val="Normal"/>
        <w:spacing w:before="0" w:after="120"/>
        <w:ind w:left="567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tbl>
      <w:tblPr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1"/>
        <w:gridCol w:w="3609"/>
        <w:gridCol w:w="4482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bookmarkStart w:id="53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3"/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firstLine="142" w:left="-117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иметь действующую аккредитацию в области испытаний инертных материалов по определению содержания вредных примесей и химического анализа вяжущих материалов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Проведение лабораторных испытаний пробы песка в соответствии с ГОСТ</w:t>
            </w:r>
          </w:p>
        </w:tc>
        <w:tc>
          <w:tcPr>
            <w:tcW w:w="4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Исполнитель проводит лабораторные испытания по определению содержания вредных компонентов и примесей в инертных материалах (в заполнителях для бетона) выполняются в соответствии с ГОСТ 8736-2025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Проведение лабораторных испытаний пробы щебня в соответствии с ГОСТ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Исполнитель проводит лабораторные испытания по определению содержания вредных компонентов и примесей в инертных материалах (в заполнителях для бетона) выполняются в соответствии с ГОСТ 8267-93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Проведение лабораторных испытаний пробы цемента в соответствии с ГОСТ</w:t>
            </w:r>
          </w:p>
        </w:tc>
        <w:tc>
          <w:tcPr>
            <w:tcW w:w="4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Исполнитель проводит химический анализ выполняется в соответствии с ГОСТ 31108-2020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Проведение лабораторных испытаний пробы золы-уноса в соответствии с ГОСТ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Исполнитель проводит химический анализ выполняется в соответствии с ГОСТ 25818-2017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firstLine="142" w:left="-117"/>
              <w:contextualSpacing/>
              <w:jc w:val="center"/>
              <w:rPr/>
            </w:pPr>
            <w:r>
              <w:rPr/>
            </w:r>
          </w:p>
        </w:tc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исходных образцов для исследований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самостоятельно получает образцы по адресу </w:t>
            </w:r>
            <w:r>
              <w:rPr>
                <w:rFonts w:eastAsia="Calibri"/>
                <w:sz w:val="24"/>
                <w:szCs w:val="24"/>
                <w:lang w:eastAsia="en-US"/>
              </w:rPr>
              <w:t>г. Санкт-Петербург, ул. Гжатская, д. 21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и время получения образцов согласовывается сторонами дополнительно после получения заявки от Заказчика на выполнение исследований. Срок получения образцов не должен превышать два рабочих дня с даты получения заявки от Заказчика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Требования к отбору образцов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Отбор образцов  осуществляется Заказчиком собственными силами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firstLine="142" w:left="-117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выполнения лабораторного испытания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14 дней со дня получения пробы испытуемого материала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firstLine="142" w:left="-117"/>
              <w:contextualSpacing/>
              <w:jc w:val="center"/>
              <w:rPr/>
            </w:pPr>
            <w:r>
              <w:rPr/>
            </w:r>
          </w:p>
        </w:tc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качества исследуемые при анализе пробы песка (Технические условия)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проводит испытания на содержание вредных компонентов и примесей (ГОСТ 8736-2025):</w:t>
            </w:r>
          </w:p>
          <w:p>
            <w:pPr>
              <w:pStyle w:val="Formattext"/>
              <w:widowControl w:val="false"/>
              <w:spacing w:before="0" w:after="0"/>
              <w:jc w:val="both"/>
              <w:rPr/>
            </w:pPr>
            <w:r>
              <w:rPr/>
              <w:t>- сера, сульфиды, кроме пирита (марказит, пирротин и др.), и сульфаты (гипс, ангидрит и др.) в пересчете на SO3</w:t>
            </w:r>
          </w:p>
          <w:p>
            <w:pPr>
              <w:pStyle w:val="Formattext"/>
              <w:widowControl w:val="false"/>
              <w:spacing w:before="0" w:after="0"/>
              <w:jc w:val="both"/>
              <w:rPr/>
            </w:pPr>
            <w:r>
              <w:rPr/>
              <w:t>- пирит в пересчете на SO3;</w:t>
            </w:r>
          </w:p>
          <w:p>
            <w:pPr>
              <w:pStyle w:val="Formattext"/>
              <w:widowControl w:val="false"/>
              <w:spacing w:before="0" w:after="0"/>
              <w:jc w:val="both"/>
              <w:rPr/>
            </w:pPr>
            <w:r>
              <w:rPr/>
              <w:t>- слюда</w:t>
            </w:r>
          </w:p>
          <w:p>
            <w:pPr>
              <w:pStyle w:val="Formattext"/>
              <w:widowControl w:val="false"/>
              <w:spacing w:before="0" w:after="0"/>
              <w:jc w:val="both"/>
              <w:rPr/>
            </w:pPr>
            <w:r>
              <w:rPr/>
              <w:t>- галоидные соединения (галит, сильвин и др.), включающие в себя водорастворимые хлориды, в пересчете на ион хлора</w:t>
            </w:r>
          </w:p>
          <w:p>
            <w:pPr>
              <w:pStyle w:val="Formattext"/>
              <w:widowControl w:val="false"/>
              <w:spacing w:before="0" w:after="0"/>
              <w:jc w:val="both"/>
              <w:rPr/>
            </w:pPr>
            <w:r>
              <w:rPr/>
              <w:t>- уголь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органические примеси (гумусовые кислоты).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испытаний ГОСТ 8735-88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качества исследуемые при анализе пробы щебня(Технические условия)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проводит испытания на содержание вредных компонентов и примесей (ГОСТ 8267-93):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глинистые минералы (монтмориллонит, каолинит и др.);</w:t>
              <w:br/>
              <w:t>- слюда и гидрослюда; - асбест;</w:t>
              <w:br/>
              <w:t>- органические вещества (уголь, лигнит, горючие сланцы, гумусовые кислоты и др.);</w:t>
              <w:br/>
              <w:t xml:space="preserve">- минералы, неустойчивые к процессам выветривания (хлорит, цеолит, апатит, нефелин, фосфорит); </w:t>
              <w:br/>
              <w:t>- породы и минералы, содержащие аморфные разновидности диоксида кремния (халцедон, опал и др.);</w:t>
              <w:br/>
              <w:t>- серосодержащие породы и минералы (пирит, марказит, пирротин и другие сульфиды, а также гипс, ангидрит и другие сульфаты);</w:t>
              <w:br/>
              <w:t>- породы и минералы, содержащие оксиды и гидрооксиды железа (магнетит, гетит и др.)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испытаний ГОСТ 8269.0-2025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качества исследуемые при анализе пробы цемента (Технические условия)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проводит химический анализ цемента(ГОСТ 31108-2020):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SiO2;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Al2O3;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в т.ч.Fe2O3;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CaO;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MgO;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SO3;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CaO свободное;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Na2O;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К2О;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CI;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ППП и нерастворимые осадок.</w:t>
            </w:r>
          </w:p>
          <w:p>
            <w:pPr>
              <w:pStyle w:val="Normal"/>
              <w:widowControl w:val="false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испытаний ГОСТ 5382-2019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</w:t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качества исследуемые при анализе пробы золы-уноса (Технические условия)</w:t>
            </w:r>
          </w:p>
        </w:tc>
        <w:tc>
          <w:tcPr>
            <w:tcW w:w="4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анализ золы-уноса (ГОСТ25818-2017):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SiO2;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Al2O3;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в т.ч.Fe2O3;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CaO;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MgO;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SO3;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CaO свободное;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ind w:hanging="0" w:left="0"/>
              <w:rPr/>
            </w:pPr>
            <w:r>
              <w:rPr/>
              <w:t>ППП.</w:t>
            </w:r>
          </w:p>
          <w:p>
            <w:pPr>
              <w:pStyle w:val="Normal"/>
              <w:widowControl w:val="false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испытаний ГОСТ 5382-2019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firstLine="142" w:left="-117"/>
              <w:contextualSpacing/>
              <w:jc w:val="center"/>
              <w:rPr/>
            </w:pPr>
            <w:r>
              <w:rPr/>
            </w:r>
          </w:p>
        </w:tc>
        <w:tc>
          <w:tcPr>
            <w:tcW w:w="8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Форма предоставления результатов Исполнителю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Исполнитель предоставляет протокол испытаний в формате pdf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Количество экземпляров</w:t>
            </w:r>
          </w:p>
        </w:tc>
        <w:tc>
          <w:tcPr>
            <w:tcW w:w="4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Исполнитель предоставляет одну копию протокола испытаний в формате pdf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hanging="1199" w:left="1224"/>
              <w:contextualSpacing/>
              <w:jc w:val="center"/>
              <w:rPr/>
            </w:pPr>
            <w:r>
              <w:rPr/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Адрес предоставления результатов Исполнителю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 xml:space="preserve">Исполнитель предоставляет результаты с сопроводительным письмом по адресу </w:t>
            </w:r>
            <w:hyperlink r:id="rId4">
              <w:r>
                <w:rPr>
                  <w:rStyle w:val="Hyperlink"/>
                  <w:sz w:val="24"/>
                  <w:szCs w:val="24"/>
                  <w:lang w:val="en-US"/>
                </w:rPr>
                <w:t>vniig</w:t>
              </w:r>
              <w:r>
                <w:rPr>
                  <w:rStyle w:val="Hyperlink"/>
                  <w:sz w:val="24"/>
                  <w:szCs w:val="24"/>
                </w:rPr>
                <w:t>@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vniig</w:t>
              </w:r>
              <w:r>
                <w:rPr>
                  <w:rStyle w:val="Hyperlink"/>
                  <w:sz w:val="24"/>
                  <w:szCs w:val="24"/>
                </w:rPr>
                <w:t>.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>
      <w:pPr>
        <w:pStyle w:val="Normal"/>
        <w:spacing w:before="0" w:after="120"/>
        <w:ind w:left="567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120"/>
        <w:ind w:left="567"/>
        <w:rPr>
          <w:shd w:fill="FFFF00" w:val="clear"/>
        </w:rPr>
      </w:pPr>
      <w:r>
        <w:rPr>
          <w:shd w:fill="FFFF00" w:val="clear"/>
        </w:rPr>
      </w:r>
    </w:p>
    <w:p>
      <w:pPr>
        <w:pStyle w:val="Normal"/>
        <w:spacing w:before="0" w:after="120"/>
        <w:ind w:left="567"/>
        <w:rPr>
          <w:shd w:fill="FFFF00" w:val="clear"/>
        </w:rPr>
      </w:pPr>
      <w:r>
        <w:rPr>
          <w:shd w:fill="FFFF00" w:val="clear"/>
        </w:rPr>
      </w:r>
    </w:p>
    <w:p>
      <w:pPr>
        <w:pStyle w:val="Normal"/>
        <w:spacing w:before="0" w:after="120"/>
        <w:ind w:left="567"/>
        <w:rPr>
          <w:b/>
          <w:bCs/>
          <w:sz w:val="24"/>
          <w:szCs w:val="24"/>
          <w:shd w:fill="FFFF00" w:val="clear"/>
        </w:rPr>
      </w:pPr>
      <w:r>
        <w:rPr>
          <w:b/>
          <w:bCs/>
          <w:sz w:val="24"/>
          <w:szCs w:val="24"/>
          <w:shd w:fill="FFFF00" w:val="clear"/>
        </w:rPr>
      </w:r>
    </w:p>
    <w:p>
      <w:pPr>
        <w:pStyle w:val="Normal"/>
        <w:spacing w:before="0" w:after="120"/>
        <w:jc w:val="right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hanging="357" w:left="357"/>
        <w:jc w:val="center"/>
        <w:rPr>
          <w:iCs/>
          <w:lang w:val="ru-RU"/>
        </w:rPr>
      </w:pPr>
      <w:r>
        <w:rPr>
          <w:iCs/>
          <w:lang w:val="ru-RU"/>
        </w:rPr>
        <w:t>Требования к документации по ценообразованию на этапе закупки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1"/>
          <w:numId w:val="10"/>
        </w:num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54" w:name="_Hlk88325985"/>
      <w:r>
        <w:rPr>
          <w:bCs/>
          <w:iCs/>
          <w:sz w:val="24"/>
          <w:szCs w:val="24"/>
        </w:rPr>
        <w:t>(с учетом прилагаемой к ней инструкции по заполнению)</w:t>
      </w:r>
      <w:bookmarkEnd w:id="54"/>
      <w:r>
        <w:rPr>
          <w:bCs/>
          <w:iCs/>
          <w:sz w:val="24"/>
          <w:szCs w:val="24"/>
        </w:rPr>
        <w:t>, приведенной в Документации о закупке.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стоимость оказания услуг должны быть включены все затраты и расходные материалы, необходимые для оказания услуг согласно Техническим требованиям, любые другие сопутствующие расходы Исполнителя, все налоги, сборы и другие обязательные платежи.</w:t>
      </w:r>
    </w:p>
    <w:p>
      <w:pPr>
        <w:pStyle w:val="ListParagraph"/>
        <w:numPr>
          <w:ilvl w:val="1"/>
          <w:numId w:val="10"/>
        </w:numPr>
        <w:rPr>
          <w:bCs/>
          <w:iCs/>
        </w:rPr>
      </w:pPr>
      <w:r>
        <w:rPr>
          <w:bCs/>
          <w:iCs/>
        </w:rPr>
        <w:t>Дополнительные документы по ценообразованию в состав заявки не включаются.</w:t>
      </w:r>
    </w:p>
    <w:p>
      <w:pPr>
        <w:pStyle w:val="Normal"/>
        <w:ind w:left="720"/>
        <w:jc w:val="both"/>
        <w:rPr>
          <w:bCs/>
          <w:iCs/>
        </w:rPr>
      </w:pPr>
      <w:r>
        <w:rPr>
          <w:bCs/>
          <w:iCs/>
        </w:rPr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orient="landscape" w:w="16838" w:h="11906"/>
      <w:pgMar w:left="709" w:right="851" w:gutter="0" w:header="680" w:top="1134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32" w:hanging="79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736" w:hanging="93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0" w:hanging="108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744" w:hanging="122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320" w:hanging="1440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i w:val="false"/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tabs>
        <w:tab w:val="clear" w:pos="708"/>
        <w:tab w:val="left" w:pos="0" w:leader="none"/>
      </w:tabs>
      <w:ind w:left="574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rPr>
      <w:sz w:val="26"/>
      <w:szCs w:val="26"/>
    </w:rPr>
  </w:style>
  <w:style w:type="character" w:styleId="31" w:customStyle="1">
    <w:name w:val="УРОВЕНЬ_Абзац_тип3 Знак"/>
    <w:link w:val="35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link w:val="18"/>
    <w:qFormat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qFormat/>
    <w:rPr>
      <w:sz w:val="28"/>
      <w:szCs w:val="28"/>
    </w:rPr>
  </w:style>
  <w:style w:type="character" w:styleId="Style15" w:customStyle="1">
    <w:name w:val="Ссылка указателя"/>
    <w:qFormat/>
    <w:rPr/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17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Style17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3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/>
    </w:pPr>
    <w:rPr>
      <w:sz w:val="24"/>
      <w:szCs w:val="24"/>
    </w:rPr>
  </w:style>
  <w:style w:type="paragraph" w:styleId="Footer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/>
    </w:pPr>
    <w:rPr>
      <w:rFonts w:cs="Calibri"/>
      <w:sz w:val="20"/>
      <w:szCs w:val="20"/>
    </w:rPr>
  </w:style>
  <w:style w:type="paragraph" w:styleId="Style24" w:customStyle="1">
    <w:name w:val="Раздел регламента"/>
    <w:basedOn w:val="Normal"/>
    <w:qFormat/>
    <w:pPr/>
    <w:rPr/>
  </w:style>
  <w:style w:type="paragraph" w:styleId="Style25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5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08"/>
        <w:tab w:val="left" w:pos="1120" w:leader="none"/>
        <w:tab w:val="right" w:pos="9911" w:leader="none"/>
      </w:tabs>
      <w:ind w:left="56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pPr>
      <w:keepNext w:val="true"/>
      <w:spacing w:before="40" w:after="40"/>
      <w:ind w:left="57" w:right="57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pPr>
      <w:spacing w:before="40" w:after="40"/>
      <w:ind w:left="57" w:right="57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hAnsi="Calibri" w:cs="Calibri"/>
      <w:sz w:val="20"/>
      <w:szCs w:val="20"/>
    </w:rPr>
  </w:style>
  <w:style w:type="paragraph" w:styleId="Formattext" w:customStyle="1">
    <w:name w:val="formattext"/>
    <w:basedOn w:val="Normal"/>
    <w:qFormat/>
    <w:pPr>
      <w:spacing w:before="280" w:after="280"/>
    </w:pPr>
    <w:rPr>
      <w:sz w:val="24"/>
      <w:szCs w:val="24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yperlink" Target="mailto:vniig@vniig.ru" TargetMode="Externa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ED133-50EF-4A1E-BA7B-8F92470F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AlterOffice/2026.2.0.0$Linux_X86_64 LibreOffice_project/bc4ef1adf80b36c7a6365f8ed6cbf29021361edd</Application>
  <AppVersion>15.0000</AppVersion>
  <Pages>8</Pages>
  <Words>1187</Words>
  <Characters>7569</Characters>
  <CharactersWithSpaces>8503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2026-08-11T09:29:00Z</dcterms:created>
  <dc:creator>Быстров Олег Геннадьевич</dc:creator>
  <dc:description/>
  <dc:language>ru-RU</dc:language>
  <cp:lastModifiedBy/>
  <cp:lastPrinted>2024-02-26T07:04:00Z</cp:lastPrinted>
  <dcterms:modified xsi:type="dcterms:W3CDTF">2026-08-12T08:53:28Z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