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ЛОТ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3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>: А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6"/>
          <w:szCs w:val="26"/>
          <w:shd w:fill="FAFAFA" w:val="clear"/>
          <w:lang w:val="ru-RU" w:eastAsia="ru-RU" w:bidi="ar-SA"/>
        </w:rPr>
        <w:t>втомобильные дороги общего пользования Республики Дагестан.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с даты заключения договора до 25.12.2026 года.</w:t>
      </w:r>
    </w:p>
    <w:p>
      <w:pPr>
        <w:pStyle w:val="ConsPlusNormal1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1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ведомость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 и отражены в Приложении №4 к Техническому заданию. Гарантийные обязательства оформляются в виде паспорта.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>Перечень</w:t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 xml:space="preserve">технических документов, подлежащих использованию </w:t>
      </w:r>
    </w:p>
    <w:p>
      <w:pPr>
        <w:pStyle w:val="FootnoteText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Cs w:val="24"/>
        </w:rPr>
        <w:t>при производстве работ</w:t>
      </w:r>
    </w:p>
    <w:p>
      <w:pPr>
        <w:pStyle w:val="FootnoteText"/>
        <w:rPr/>
      </w:pPr>
      <w:r>
        <w:rPr/>
      </w:r>
    </w:p>
    <w:tbl>
      <w:tblPr>
        <w:tblW w:w="10243" w:type="dxa"/>
        <w:jc w:val="left"/>
        <w:tblInd w:w="9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59"/>
        <w:gridCol w:w="7"/>
        <w:gridCol w:w="1415"/>
        <w:gridCol w:w="8"/>
        <w:gridCol w:w="3116"/>
        <w:gridCol w:w="6"/>
        <w:gridCol w:w="4519"/>
        <w:gridCol w:w="13"/>
      </w:tblGrid>
      <w:tr>
        <w:trPr>
          <w:trHeight w:val="99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33" w:right="8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д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firstLine="567"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</w:t>
            </w:r>
            <w:r>
              <w:rPr>
                <w:b/>
                <w:spacing w:val="-1"/>
                <w:sz w:val="20"/>
                <w:szCs w:val="20"/>
              </w:rPr>
              <w:t>че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ь 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ма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pacing w:val="-2"/>
                <w:sz w:val="20"/>
                <w:szCs w:val="20"/>
              </w:rPr>
              <w:t>в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pacing w:val="1"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-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х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чес</w:t>
            </w:r>
            <w:r>
              <w:rPr>
                <w:b/>
                <w:spacing w:val="1"/>
                <w:sz w:val="20"/>
                <w:szCs w:val="20"/>
              </w:rPr>
              <w:t>ки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4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pacing w:val="1"/>
                <w:sz w:val="20"/>
                <w:szCs w:val="20"/>
              </w:rPr>
              <w:t>ри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pacing w:val="-1"/>
                <w:sz w:val="20"/>
                <w:szCs w:val="20"/>
              </w:rPr>
              <w:t>еч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лы, где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яются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вн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ты)</w:t>
            </w:r>
          </w:p>
        </w:tc>
      </w:tr>
      <w:tr>
        <w:trPr>
          <w:trHeight w:val="312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604" w:right="60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2" w:after="0"/>
              <w:ind w:firstLine="567" w:right="13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56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ав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омобиль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-3"/>
                <w:sz w:val="20"/>
                <w:szCs w:val="20"/>
              </w:rPr>
              <w:t>ы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0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ров повр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доро</w:t>
            </w:r>
            <w:r>
              <w:rPr>
                <w:spacing w:val="-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>рви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)</w:t>
            </w:r>
          </w:p>
        </w:tc>
      </w:tr>
      <w:tr>
        <w:trPr>
          <w:trHeight w:val="212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 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1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573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оряж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Ф от 04.11.2017 №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r>
              <w:rPr>
                <w:sz w:val="20"/>
                <w:szCs w:val="20"/>
              </w:rPr>
              <w:t>2438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р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hyperlink r:id="rId2"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Р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а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з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д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е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л 5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 xml:space="preserve"> 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(</w:t>
              </w:r>
            </w:hyperlink>
            <w:hyperlink r:id="rId3">
              <w:r>
                <w:rPr>
                  <w:rStyle w:val="Hyperlink"/>
                  <w:color w:val="0000FF"/>
                  <w:spacing w:val="3"/>
                  <w:sz w:val="20"/>
                  <w:szCs w:val="20"/>
                  <w:u w:val="single"/>
                </w:rPr>
                <w:t>п</w:t>
              </w:r>
            </w:hyperlink>
            <w:r>
              <w:rPr>
                <w:rStyle w:val="Hyperlink"/>
                <w:color w:val="0000FF"/>
                <w:spacing w:val="-5"/>
                <w:sz w:val="20"/>
                <w:szCs w:val="20"/>
                <w:u w:val="single"/>
              </w:rPr>
              <w:t>у</w:t>
            </w:r>
            <w:r>
              <w:rPr>
                <w:rStyle w:val="Hyperlink"/>
                <w:color w:val="0000FF"/>
                <w:spacing w:val="1"/>
                <w:sz w:val="20"/>
                <w:szCs w:val="20"/>
                <w:u w:val="single"/>
              </w:rPr>
              <w:t>нк</w:t>
            </w:r>
            <w:r>
              <w:rPr>
                <w:rStyle w:val="Hyperlink"/>
                <w:color w:val="0000FF"/>
                <w:sz w:val="20"/>
                <w:szCs w:val="20"/>
                <w:u w:val="single"/>
              </w:rPr>
              <w:t>ты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hyperlink r:id="rId4"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5.2.12, 5.2.13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);</w:t>
              </w:r>
            </w:hyperlink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Об</w:t>
            </w:r>
            <w:r>
              <w:rPr>
                <w:spacing w:val="-3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55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иц</w:t>
            </w:r>
            <w:r>
              <w:rPr>
                <w:sz w:val="20"/>
                <w:szCs w:val="20"/>
              </w:rPr>
              <w:t>ы. Тр</w:t>
            </w:r>
            <w:r>
              <w:rPr>
                <w:spacing w:val="-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ю, до</w:t>
            </w:r>
            <w:r>
              <w:rPr>
                <w:spacing w:val="4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4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</w:tc>
      </w:tr>
      <w:tr>
        <w:trPr>
          <w:trHeight w:val="861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58107.1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дорог общего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Нор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та.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58769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2019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низк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ю д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212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58831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1"/>
                <w:sz w:val="20"/>
                <w:szCs w:val="20"/>
              </w:rPr>
              <w:t xml:space="preserve"> 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благопр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виях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лов)</w:t>
            </w:r>
          </w:p>
        </w:tc>
      </w:tr>
      <w:tr>
        <w:trPr>
          <w:trHeight w:val="357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25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1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- 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дром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теоролог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троос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32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теооб</w:t>
            </w:r>
            <w:r>
              <w:rPr>
                <w:spacing w:val="-1"/>
                <w:sz w:val="20"/>
                <w:szCs w:val="20"/>
              </w:rPr>
              <w:t>ес</w:t>
            </w:r>
            <w:r>
              <w:rPr>
                <w:spacing w:val="1"/>
                <w:sz w:val="20"/>
                <w:szCs w:val="20"/>
              </w:rPr>
              <w:t>пе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ты 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ового и 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71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тек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213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59120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Дорожная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Об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2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во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воды.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вод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</w:t>
            </w:r>
          </w:p>
        </w:tc>
      </w:tr>
      <w:tr>
        <w:trPr>
          <w:trHeight w:val="166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83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53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19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24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>.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ый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я вид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87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59898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ачес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та. </w:t>
            </w:r>
            <w:r>
              <w:rPr>
                <w:spacing w:val="-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66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ыкан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там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ю 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3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pacing w:val="1"/>
                <w:sz w:val="20"/>
                <w:szCs w:val="20"/>
              </w:rPr>
              <w:t>ий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ой</w:t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ции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3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 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1"/>
                <w:sz w:val="20"/>
                <w:szCs w:val="20"/>
              </w:rPr>
              <w:t>ек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5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лы вя</w:t>
            </w:r>
            <w:r>
              <w:rPr>
                <w:spacing w:val="4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в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вя</w:t>
            </w: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</w:p>
        </w:tc>
      </w:tr>
      <w:tr>
        <w:trPr>
          <w:trHeight w:val="186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есса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во и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1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Холод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смес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2031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пож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5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5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к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94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ым 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3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 ж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88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80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тч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pacing w:val="-1"/>
                <w:sz w:val="20"/>
                <w:szCs w:val="20"/>
              </w:rPr>
              <w:t>ац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жбы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дорог.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62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форм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9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56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в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их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9" w:hRule="exact"/>
        </w:trPr>
        <w:tc>
          <w:tcPr>
            <w:tcW w:w="57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-1"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 xml:space="preserve">овых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4"/>
                <w:sz w:val="20"/>
                <w:szCs w:val="20"/>
              </w:rPr>
              <w:t>ж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87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3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8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4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3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Габ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ты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0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0" w:hRule="atLeas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3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</w:t>
            </w:r>
            <w:r>
              <w:rPr>
                <w:spacing w:val="-2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6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тяжело</w:t>
            </w:r>
            <w:r>
              <w:rPr>
                <w:spacing w:val="-1"/>
                <w:sz w:val="20"/>
                <w:szCs w:val="20"/>
              </w:rPr>
              <w:t>вес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73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85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4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лочных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4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2"/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лочных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51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1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59629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товые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торинга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70772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5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фо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швов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водоотвод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тв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90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6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88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2.01.0</w:t>
            </w:r>
            <w:r>
              <w:rPr>
                <w:spacing w:val="1"/>
                <w:sz w:val="20"/>
                <w:szCs w:val="20"/>
              </w:rPr>
              <w:t>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85*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4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3.04.03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2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59" w:hRule="exact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28.13330.2017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2.03.11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нн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2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33152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171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3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4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93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56521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07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57208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2016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об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ов 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ри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тон</w:t>
            </w:r>
            <w:r>
              <w:rPr>
                <w:spacing w:val="-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623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 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66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713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та,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4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7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59206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ени</w:t>
            </w:r>
            <w:r>
              <w:rPr>
                <w:sz w:val="20"/>
                <w:szCs w:val="20"/>
              </w:rPr>
              <w:t>я и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66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6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32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722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0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9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03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122.13330.2012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3</w:t>
            </w:r>
            <w:r>
              <w:rPr>
                <w:spacing w:val="1"/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97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53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7.13130.2013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, 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тиля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269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ций</w:t>
            </w:r>
            <w:r>
              <w:rPr>
                <w:sz w:val="20"/>
                <w:szCs w:val="20"/>
              </w:rPr>
              <w:t>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-1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994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Мо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г 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7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</w:tc>
      </w:tr>
      <w:tr>
        <w:trPr>
          <w:trHeight w:val="1006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54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водо</w:t>
            </w:r>
            <w:r>
              <w:rPr>
                <w:b/>
                <w:spacing w:val="1"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ых 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уб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9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 д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3110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4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50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431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27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608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8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  <w:r>
              <w:rPr>
                <w:spacing w:val="2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032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467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885" w:hRule="exact"/>
        </w:trPr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</w:tbl>
    <w:p>
      <w:pPr>
        <w:pStyle w:val="FootnoteText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ru-RU"/>
        </w:rPr>
        <w:t>В случае, если в документации есть ссылка на недействующие ГОСТы, СНиПы и другие нормативные документы, в процессе реализации контракта вместо них будут использоваться действующие ГОСТы, СНиПы и другие нормативные документы, вышедшие взамен недействующих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Ведомость объемов конструктивных решений (элементов) и комплексов (видов) работ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508"/>
        <w:gridCol w:w="4023"/>
      </w:tblGrid>
      <w:tr>
        <w:trPr>
          <w:trHeight w:val="300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п.п</w:t>
            </w:r>
          </w:p>
        </w:tc>
        <w:tc>
          <w:tcPr>
            <w:tcW w:w="5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4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работ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Манас - Сергокала - Первомайское, км 8+660.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Устройство светофорного объекта</w:t>
            </w:r>
          </w:p>
        </w:tc>
      </w:tr>
      <w:tr>
        <w:trPr>
          <w:trHeight w:val="679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Махачкала - Аэропорт с подъездом к г. Каспийск, км 20+740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пешеходно-вызывного светофорного объекта - 1шт.)</w:t>
            </w:r>
          </w:p>
        </w:tc>
      </w:tr>
      <w:tr>
        <w:trPr>
          <w:trHeight w:val="12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ФАД "Кавказ" - автодорога "Манас - Сергокала - Первомайское" через с. Джанга, км 3+950, км 4+550, км 5+330.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Обустройство пешеходных переходов (освещение - 12 шт. столба, светофор Т-7 - 6шт.). Устройство автобусных остановок с автопавильонами - 3 шт.</w:t>
            </w:r>
          </w:p>
        </w:tc>
      </w:tr>
      <w:tr>
        <w:trPr>
          <w:trHeight w:val="479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Подъезд от ФАД «Кавказ» к пос. Тюбе, км 2,5 - км 4,538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освещения - 2038,0 п.м.)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Подъезд от ФАД «Кавказ» к с. Коркмаскала, км 0 - км 0,697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освещения - 1394,0 п.м.)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ФАД «Кавказ» – Шамхал – Красноармейское, км 8+230 - км 10+640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освещения - 2410,0 п.м.)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Махачкала - Турали - Каспийск, км 0+063, км 0+336, км 0+381, км 0+678, км 0+763, км 0+945, км 0+988, км1+342, км 1+567, км 1+808, км1+919, км 2+218, км 2+302,км 2+599,  км 2+873, км 3+295, км 3+395, км 3+778, км3+791, км4+140, км 4+286, км 4+767, км 4+862, км 5+219, км5+291,км 5+425, км 5+967, км 6+038, км 6+285, км 6+644, км 6+656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автопавильонов - 31 шт. и автобусных остановок - 3 шт.)</w:t>
            </w:r>
          </w:p>
        </w:tc>
      </w:tr>
      <w:tr>
        <w:trPr>
          <w:trHeight w:val="15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Махачкала - Турали - Каспийск, км 0 - км 4,2  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пешеходно-вызывного светофорного объекта - 4 шт., автобусной остановки - 1 шт., пандусов, восстановление и устройство пешеходных троуаров, пешеходных ограждений - 290,0 п.м., замена светофорных секций-8 шт.)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Шамхал - Богатыревка, км 0+340.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Обустройство пешеходного перехода (ИДН - 1 шт., освещение - 4 шт. столба, пешеходное ограждение - 26,0 п.м., светофор  Т-7 - 2 шт.)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ФАД «Кавказ» – Шамхал – Красноармейское, км 11+520.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Обустройство пешеходного перехода .(ИН - 2 шт., освещение - 4 шт. столба. Устройство автобусной остановки с автопавильоном - 2 шт</w:t>
            </w:r>
          </w:p>
        </w:tc>
      </w:tr>
      <w:tr>
        <w:trPr>
          <w:trHeight w:val="515" w:hRule="atLeast"/>
        </w:trPr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508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Махачкала - Буйнакск - Леваши - Гуниб, км 0 - км 3 </w:t>
            </w:r>
          </w:p>
        </w:tc>
        <w:tc>
          <w:tcPr>
            <w:tcW w:w="4023" w:type="dxa"/>
            <w:tcBorders>
              <w:bottom w:val="single" w:sz="4" w:space="0" w:color="000000"/>
              <w:right w:val="single" w:sz="4" w:space="0" w:color="000000"/>
            </w:tcBorders>
            <w:shd w:fill="E2EFDA" w:val="clear"/>
            <w:vAlign w:val="center"/>
          </w:tcPr>
          <w:p>
            <w:pPr>
              <w:pStyle w:val="Normal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(Устройство системы подсветки светофорных объектов - 5 шт)</w:t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(RAR-архив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  <w:r>
        <w:br w:type="page"/>
      </w:r>
    </w:p>
    <w:p>
      <w:pPr>
        <w:pStyle w:val="ConsPlusNormal1"/>
        <w:widowControl/>
        <w:spacing w:before="0" w:after="0"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  <w:t>Приложение 4 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BodyText"/>
        <w:widowControl/>
        <w:ind w:hanging="0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bookmarkStart w:id="1" w:name="P211"/>
      <w:bookmarkEnd w:id="1"/>
      <w:r>
        <w:rPr>
          <w:rFonts w:cs="Times New Roman"/>
          <w:b/>
          <w:i/>
          <w:kern w:val="2"/>
          <w:sz w:val="24"/>
          <w:szCs w:val="24"/>
        </w:rPr>
        <w:t>ГАРАНТИЙНЫЕ СРОКИ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НА КОНСТРУКТИВНЫЕ ЭЛЕМЕНТЫ АВТОМОБИЛЬНОЙ ДОРОГИ,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ИСКУССТВЕННОГО ДОРОЖНОГО СООРУЖЕНИЯ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1. Гарантийный срок, принимаемый для земляного полотна автомобильной дороги и слоев основания дорожной одежды автомобильной дороги при ремонте, - 6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2. Гарантийный срок для обочины (ее частей) автомобильной дороги, укрепленных материалом по типу проезжей части, принимается равным гарантийному сроку покрытия верхнего слоя дорожной одежды автомобильной дороги. В иных случаях гарантийный срок для обочины (ее частей) автомобильной дороги не регламентируется.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3. Гарантийный срок для дорожного покрытия из цементобетона при ремонте дорожной одежды автомобильной дороги - 8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4. Гарантийный срок для нижнего слоя дорожного покрытия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Гарантийный срок при ремонте покрытий автомобильных дорог слоями из асфальтобетона -4 года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5.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таблице 1.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1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61"/>
        <w:gridCol w:w="4585"/>
      </w:tblGrid>
      <w:tr>
        <w:trPr/>
        <w:tc>
          <w:tcPr>
            <w:tcW w:w="5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Прогнозируемая интенсивность движения транспортного потока по полосе движения, автомобилей в сутки</w:t>
            </w:r>
          </w:p>
        </w:tc>
        <w:tc>
          <w:tcPr>
            <w:tcW w:w="4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 для верхнего слоя покрытия из асфальтобетона, лет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1000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1000 - 2500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2500 - 5000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5000 - 10000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10000 - 20000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7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20000</w:t>
            </w:r>
          </w:p>
        </w:tc>
        <w:tc>
          <w:tcPr>
            <w:tcW w:w="4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</w:t>
            </w:r>
          </w:p>
        </w:tc>
      </w:tr>
    </w:tbl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6. Гарантийные сроки для поверхностных обработок дорожного полотна, а также для его защитных слоев и слоев износа из литых эмульсионно-минеральных смесей представлены в таблице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2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77"/>
        <w:gridCol w:w="2969"/>
        <w:gridCol w:w="3000"/>
      </w:tblGrid>
      <w:tr>
        <w:trPr/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Конструктивный элемент</w:t>
            </w:r>
          </w:p>
        </w:tc>
        <w:tc>
          <w:tcPr>
            <w:tcW w:w="5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сроки, устанавливаемые в зависимости от прогнозируемой интенсивности движения транспортного потока по полосе движения, автомобилей в сутки</w:t>
            </w:r>
          </w:p>
        </w:tc>
      </w:tr>
      <w:tr>
        <w:trPr/>
        <w:tc>
          <w:tcPr>
            <w:tcW w:w="437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2500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2500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однократным распределением щебня</w:t>
            </w:r>
          </w:p>
        </w:tc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1,5 года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двойной россыпью щебня</w:t>
            </w:r>
          </w:p>
        </w:tc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Двухслойная поверхностная обработка дорожного полотна</w:t>
            </w:r>
          </w:p>
        </w:tc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Слои износа дорожного полотна и его защитные слои</w:t>
            </w:r>
          </w:p>
        </w:tc>
        <w:tc>
          <w:tcPr>
            <w:tcW w:w="2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7. Гарантийные сроки на дорожные знаки: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для знаков без применения световозвращающих материалов - 2 года;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для световозвращающих материалов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для световозвращающих материалов II и III классов - 10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для знаков с применением световозвращающего материала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д) для знаков с применением световозвращающего материала II и III класса - 10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8. Гарантийные сроки на дорожную разметку не должны быть менее функциональной долговечности разметки: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функциональная долговечность постоянной горизонтальной разметки, выполненной термопластиками, холодными пластиками толщиной нанесения 1,5 мм и более, штучными формами и полимерными лентами, - 1 год;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функциональная долговечность постоянной горизонтальной разметки, выполненной термопластиками, холодными пластиками толщиной нанесения менее 1,5 мм, - 6 месяцев;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функциональная долговечность постоянной горизонтальной разметки, выполненной красками (эмалями), - 3 месяца;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функциональная долговечность временной горизонтальной разметки - до окончания событий, потребовавших ее нанесения.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9. Гарантийный срок на барьерное ограждение (металлическое, железобетонное)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10. Гарантийный срок на сигнальные столбики - 2 года.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11. Гарантийные сроки на искусственные дорожные сооружения представлены в таблице 3.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12. Для светофорных объектов, линии искусственного электроосвещения, а также ШНО и энергоснабжающие линии, включая их элементы составляет не менее гарантийного срока, установленного производителем оборудования, узлов и компонентов с момента ввода их в эксплуатацию.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3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08"/>
        <w:gridCol w:w="5338"/>
      </w:tblGrid>
      <w:tr>
        <w:trPr/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Наименование искусственного дорожного сооружения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Гарантийный срок на искусственное дорожное сооружение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Мосты, путепроводы, тоннели, эстакады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Водопропускные трубы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Регуляционные сооружения (тип сооружения)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Гарантийные сроки на отдельные виды работ, товаров, оборудование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не прописанные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в данном разделе составляет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12 месяцев.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entury Schoolbook">
    <w:charset w:val="01"/>
    <w:family w:val="roman"/>
    <w:pitch w:val="variable"/>
  </w:font>
  <w:font w:name="Verdana">
    <w:charset w:val="01"/>
    <w:family w:val="roman"/>
    <w:pitch w:val="variable"/>
  </w:font>
  <w:font w:name="MS Reference Sans Serif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swiss"/>
    <w:pitch w:val="variable"/>
  </w:font>
  <w:font w:name="Courier">
    <w:altName w:val="Courier New"/>
    <w:charset w:val="01"/>
    <w:family w:val="roman"/>
    <w:pitch w:val="variable"/>
  </w:font>
  <w:font w:name="TimesDL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845644"/>
      <w:docPartObj>
        <w:docPartGallery w:val="Page Numbers (Top of Page)"/>
        <w:docPartUnique w:val="true"/>
      </w:docPartObj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1134"/>
      </w:pPr>
      <w:rPr/>
    </w:lvl>
    <w:lvl w:ilvl="3">
      <w:start w:val="1"/>
      <w:numFmt w:val="decimal"/>
      <w:pStyle w:val="Heading4"/>
      <w:lvlText w:val="%1.%2.%3.%4"/>
      <w:lvlJc w:val="left"/>
      <w:pPr>
        <w:tabs>
          <w:tab w:val="num" w:pos="3834"/>
        </w:tabs>
        <w:ind w:left="3834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65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lef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lef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lef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lef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lef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user">
    <w:name w:val="Символ сноски (user)"/>
    <w:semiHidden/>
    <w:qFormat/>
    <w:rsid w:val="00fb3111"/>
    <w:rPr>
      <w:rFonts w:ascii="Times New Roman" w:hAnsi="Times New Roman"/>
      <w:vertAlign w:val="superscript"/>
    </w:rPr>
  </w:style>
  <w:style w:type="character" w:styleId="Style6">
    <w:name w:val="Символ сноски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user1">
    <w:name w:val="Символ концевой сноски (user)"/>
    <w:semiHidden/>
    <w:unhideWhenUsed/>
    <w:qFormat/>
    <w:rsid w:val="00071f2b"/>
    <w:rPr>
      <w:vertAlign w:val="superscript"/>
    </w:rPr>
  </w:style>
  <w:style w:type="character" w:styleId="Style12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44"/>
    <w:qFormat/>
    <w:rsid w:val="00bd2f8f"/>
    <w:rPr>
      <w:sz w:val="22"/>
      <w:szCs w:val="22"/>
    </w:rPr>
  </w:style>
  <w:style w:type="character" w:styleId="33">
    <w:name w:val="Знак Знак3"/>
    <w:qFormat/>
    <w:rPr>
      <w:sz w:val="24"/>
      <w:szCs w:val="24"/>
      <w:lang w:val="ru-RU" w:bidi="ar-SA"/>
    </w:rPr>
  </w:style>
  <w:style w:type="character" w:styleId="7">
    <w:name w:val="Заголовок 7 Знак"/>
    <w:qFormat/>
    <w:rPr>
      <w:sz w:val="24"/>
      <w:szCs w:val="24"/>
    </w:rPr>
  </w:style>
  <w:style w:type="character" w:styleId="Style14">
    <w:name w:val="Заголовок Знак"/>
    <w:qFormat/>
    <w:rPr>
      <w:b/>
      <w:bCs/>
      <w:i/>
      <w:iCs/>
    </w:rPr>
  </w:style>
  <w:style w:type="character" w:styleId="21">
    <w:name w:val="Основной текст с отступом 2 Знак"/>
    <w:qFormat/>
    <w:rPr/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8">
    <w:name w:val="Заголовок 8 Знак"/>
    <w:qFormat/>
    <w:rPr>
      <w:i/>
      <w:iCs/>
      <w:sz w:val="24"/>
      <w:szCs w:val="24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5">
    <w:name w:val="Заголовок 5 Знак"/>
    <w:qFormat/>
    <w:rPr>
      <w:b/>
      <w:sz w:val="28"/>
    </w:rPr>
  </w:style>
  <w:style w:type="character" w:styleId="22">
    <w:name w:val="Основной текст Знак2"/>
    <w:qFormat/>
    <w:rPr>
      <w:sz w:val="19"/>
      <w:szCs w:val="19"/>
      <w:lang w:bidi="ar-SA"/>
    </w:rPr>
  </w:style>
  <w:style w:type="character" w:styleId="12">
    <w:name w:val="Название Знак1"/>
    <w:qFormat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23">
    <w:name w:val="Название Знак2"/>
    <w:qFormat/>
    <w:rPr>
      <w:b/>
      <w:bCs/>
      <w:i/>
      <w:iCs/>
    </w:rPr>
  </w:style>
  <w:style w:type="character" w:styleId="Style16">
    <w:name w:val="Основной текст_"/>
    <w:qFormat/>
    <w:rPr>
      <w:rFonts w:ascii="Times New Roman" w:hAnsi="Times New Roman" w:cs="Times New Roman"/>
      <w:spacing w:val="0"/>
      <w:sz w:val="24"/>
      <w:szCs w:val="24"/>
    </w:rPr>
  </w:style>
  <w:style w:type="character" w:styleId="30">
    <w:name w:val="Основной текст (30)_"/>
    <w:qFormat/>
    <w:rPr>
      <w:b/>
      <w:bCs/>
      <w:sz w:val="16"/>
      <w:szCs w:val="16"/>
      <w:shd w:fill="FFFFFF" w:val="clear"/>
    </w:rPr>
  </w:style>
  <w:style w:type="character" w:styleId="2012pt">
    <w:name w:val="Основной текст (20) + 12 pt"/>
    <w:qFormat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styleId="20-1pt1">
    <w:name w:val="Основной текст (20) + Интервал -1 pt1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0-1pt2">
    <w:name w:val="Основной текст (20) + Интервал -1 pt2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910">
    <w:name w:val="Основной текст (29) + 10"/>
    <w:qFormat/>
    <w:rPr>
      <w:i/>
      <w:iCs/>
      <w:spacing w:val="0"/>
      <w:sz w:val="21"/>
      <w:szCs w:val="21"/>
      <w:lang w:bidi="ar-SA"/>
    </w:rPr>
  </w:style>
  <w:style w:type="character" w:styleId="29">
    <w:name w:val="Основной текст (29)_"/>
    <w:qFormat/>
    <w:rPr>
      <w:i/>
      <w:iCs/>
      <w:spacing w:val="-10"/>
      <w:sz w:val="8"/>
      <w:szCs w:val="8"/>
      <w:shd w:fill="FFFFFF" w:val="clear"/>
    </w:rPr>
  </w:style>
  <w:style w:type="character" w:styleId="28">
    <w:name w:val="Основной текст (28)_"/>
    <w:qFormat/>
    <w:rPr>
      <w:b/>
      <w:bCs/>
      <w:sz w:val="24"/>
      <w:szCs w:val="24"/>
      <w:shd w:fill="FFFFFF" w:val="clear"/>
    </w:rPr>
  </w:style>
  <w:style w:type="character" w:styleId="20">
    <w:name w:val="Основной текст (20)_"/>
    <w:qFormat/>
    <w:rPr>
      <w:sz w:val="21"/>
      <w:szCs w:val="21"/>
      <w:shd w:fill="FFFFFF" w:val="clear"/>
    </w:rPr>
  </w:style>
  <w:style w:type="character" w:styleId="12pt">
    <w:name w:val="Основной текст + 12 pt"/>
    <w:qFormat/>
    <w:rPr>
      <w:rFonts w:ascii="Times New Roman" w:hAnsi="Times New Roman" w:cs="Times New Roman"/>
      <w:spacing w:val="0"/>
      <w:sz w:val="24"/>
      <w:szCs w:val="24"/>
      <w:lang w:val="en-US" w:bidi="ar-SA"/>
    </w:rPr>
  </w:style>
  <w:style w:type="character" w:styleId="5-3pt">
    <w:name w:val="Основной текст (5) + Интервал -3 pt"/>
    <w:qFormat/>
    <w:rPr>
      <w:rFonts w:ascii="Century Schoolbook" w:hAnsi="Century Schoolbook" w:cs="Century Schoolbook"/>
      <w:i/>
      <w:iCs/>
      <w:spacing w:val="-60"/>
      <w:sz w:val="58"/>
      <w:szCs w:val="58"/>
      <w:lang w:val="ru-RU" w:eastAsia="ru-RU" w:bidi="ar-SA"/>
    </w:rPr>
  </w:style>
  <w:style w:type="character" w:styleId="38">
    <w:name w:val="Основной текст (3) + 8"/>
    <w:qFormat/>
    <w:rPr>
      <w:rFonts w:ascii="Times New Roman" w:hAnsi="Times New Roman" w:cs="Times New Roman"/>
      <w:b w:val="false"/>
      <w:bCs w:val="false"/>
      <w:smallCaps/>
      <w:spacing w:val="0"/>
      <w:sz w:val="17"/>
      <w:szCs w:val="17"/>
      <w:shd w:fill="FFFFFF" w:val="clear"/>
      <w:lang w:val="en-US" w:bidi="ar-SA"/>
    </w:rPr>
  </w:style>
  <w:style w:type="character" w:styleId="13">
    <w:name w:val="Основной текст Знак1"/>
    <w:qFormat/>
    <w:rPr>
      <w:rFonts w:ascii="Times New Roman" w:hAnsi="Times New Roman" w:cs="Times New Roman"/>
      <w:spacing w:val="0"/>
      <w:sz w:val="18"/>
      <w:szCs w:val="18"/>
    </w:rPr>
  </w:style>
  <w:style w:type="character" w:styleId="51">
    <w:name w:val="Основной текст (5)_"/>
    <w:qFormat/>
    <w:rPr>
      <w:rFonts w:ascii="Century Schoolbook" w:hAnsi="Century Schoolbook" w:cs="Century Schoolbook"/>
      <w:sz w:val="19"/>
      <w:szCs w:val="19"/>
      <w:shd w:fill="FFFFFF" w:val="clear"/>
      <w:lang w:val="ru-RU" w:eastAsia="ru-RU"/>
    </w:rPr>
  </w:style>
  <w:style w:type="character" w:styleId="4">
    <w:name w:val="Основной текст (4)_"/>
    <w:qFormat/>
    <w:rPr>
      <w:rFonts w:ascii="Arial" w:hAnsi="Arial" w:cs="Arial"/>
      <w:i/>
      <w:iCs/>
      <w:sz w:val="16"/>
      <w:szCs w:val="16"/>
      <w:shd w:fill="FFFFFF" w:val="clear"/>
      <w:lang w:val="ru-RU" w:eastAsia="ru-RU"/>
    </w:rPr>
  </w:style>
  <w:style w:type="character" w:styleId="Arial">
    <w:name w:val="Основной текст + Arial"/>
    <w:qFormat/>
    <w:rPr>
      <w:rFonts w:ascii="Arial" w:hAnsi="Arial" w:cs="Arial"/>
      <w:i/>
      <w:iCs/>
      <w:spacing w:val="0"/>
      <w:sz w:val="16"/>
      <w:szCs w:val="16"/>
      <w:lang w:val="en-US"/>
    </w:rPr>
  </w:style>
  <w:style w:type="character" w:styleId="71">
    <w:name w:val="Основной текст (7)_"/>
    <w:qFormat/>
    <w:rPr>
      <w:rFonts w:ascii="Century Schoolbook" w:hAnsi="Century Schoolbook" w:cs="Century Schoolbook"/>
      <w:sz w:val="8"/>
      <w:szCs w:val="8"/>
      <w:shd w:fill="FFFFFF" w:val="clear"/>
      <w:lang w:val="ru-RU" w:eastAsia="ru-RU"/>
    </w:rPr>
  </w:style>
  <w:style w:type="character" w:styleId="1pt">
    <w:name w:val="Основной текст + Интервал 1 pt"/>
    <w:qFormat/>
    <w:rPr>
      <w:spacing w:val="30"/>
      <w:lang w:val="en-US" w:bidi="ar-SA"/>
    </w:rPr>
  </w:style>
  <w:style w:type="character" w:styleId="-1pt">
    <w:name w:val="Основной текст + Интервал -1 pt"/>
    <w:qFormat/>
    <w:rPr>
      <w:spacing w:val="-20"/>
      <w:lang w:val="en-US" w:bidi="ar-SA"/>
    </w:rPr>
  </w:style>
  <w:style w:type="character" w:styleId="-1">
    <w:name w:val="УГТП-Текст Знак Знак Знак1 Знак"/>
    <w:qFormat/>
    <w:rPr>
      <w:rFonts w:ascii="Arial" w:hAnsi="Arial" w:cs="Arial"/>
      <w:sz w:val="24"/>
      <w:szCs w:val="24"/>
      <w:lang w:val="ru-RU" w:bidi="ar-SA"/>
    </w:rPr>
  </w:style>
  <w:style w:type="character" w:styleId="-11">
    <w:name w:val="УГТП-Текст Знак1 Знак1"/>
    <w:qFormat/>
    <w:rPr>
      <w:rFonts w:ascii="Arial" w:hAnsi="Arial" w:cs="Arial"/>
      <w:sz w:val="24"/>
      <w:szCs w:val="24"/>
      <w:lang w:val="ru-RU" w:bidi="ar-SA"/>
    </w:rPr>
  </w:style>
  <w:style w:type="character" w:styleId="-">
    <w:name w:val="УГТП-Текст Знак Знак Знак Знак Знак Знак"/>
    <w:qFormat/>
    <w:rPr>
      <w:rFonts w:ascii="Arial" w:hAnsi="Arial" w:cs="Arial"/>
      <w:sz w:val="24"/>
      <w:szCs w:val="24"/>
      <w:lang w:val="ru-RU" w:bidi="ar-SA"/>
    </w:rPr>
  </w:style>
  <w:style w:type="character" w:styleId="14">
    <w:name w:val="Заголовок 1 Знак Знак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-2">
    <w:name w:val="УГТП-Текст Знак"/>
    <w:qFormat/>
    <w:rPr>
      <w:rFonts w:ascii="Arial" w:hAnsi="Arial" w:cs="Arial"/>
      <w:sz w:val="24"/>
      <w:szCs w:val="24"/>
      <w:lang w:val="ru-RU" w:bidi="ar-SA"/>
    </w:rPr>
  </w:style>
  <w:style w:type="character" w:styleId="111">
    <w:name w:val="Заголовок 1 Знак1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34">
    <w:name w:val="Основной текст с отступом 3 Знак"/>
    <w:qFormat/>
    <w:rPr/>
  </w:style>
  <w:style w:type="character" w:styleId="Style17">
    <w:name w:val="Текст сноски Знак"/>
    <w:qFormat/>
    <w:rPr/>
  </w:style>
  <w:style w:type="character" w:styleId="35">
    <w:name w:val="Основной текст 3 Знак"/>
    <w:qFormat/>
    <w:rPr>
      <w:sz w:val="16"/>
      <w:szCs w:val="16"/>
    </w:rPr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9">
    <w:name w:val="Основной текст с отступом Знак"/>
    <w:qFormat/>
    <w:rPr>
      <w:b/>
      <w:color w:val="000000"/>
      <w:shd w:fill="FFFFFF" w:val="clear"/>
    </w:rPr>
  </w:style>
  <w:style w:type="character" w:styleId="Style20">
    <w:name w:val="Название Знак"/>
    <w:qFormat/>
    <w:rPr>
      <w:sz w:val="24"/>
    </w:rPr>
  </w:style>
  <w:style w:type="character" w:styleId="52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rvts48051">
    <w:name w:val="rvts48051"/>
    <w:qFormat/>
    <w:rPr>
      <w:rFonts w:ascii="Verdana" w:hAnsi="Verdana" w:cs="Verdana"/>
      <w:b/>
      <w:bCs/>
      <w:i w:val="false"/>
      <w:iCs w:val="false"/>
      <w:strike w:val="false"/>
      <w:dstrike w:val="false"/>
      <w:color w:val="000000"/>
      <w:sz w:val="18"/>
      <w:szCs w:val="18"/>
      <w:u w:val="none"/>
    </w:rPr>
  </w:style>
  <w:style w:type="character" w:styleId="Style21">
    <w:name w:val="Нижний колонтитул Знак"/>
    <w:qFormat/>
    <w:rPr/>
  </w:style>
  <w:style w:type="character" w:styleId="Style22">
    <w:name w:val="Не вступил в силу"/>
    <w:qFormat/>
    <w:rPr>
      <w:rFonts w:cs="Times New Roman"/>
      <w:color w:val="008080"/>
      <w:sz w:val="20"/>
      <w:szCs w:val="20"/>
    </w:rPr>
  </w:style>
  <w:style w:type="character" w:styleId="apple-style-span">
    <w:name w:val="apple-style-span"/>
    <w:qFormat/>
    <w:rPr/>
  </w:style>
  <w:style w:type="character" w:styleId="24">
    <w:name w:val="Основной текст 2 Знак"/>
    <w:qFormat/>
    <w:rPr/>
  </w:style>
  <w:style w:type="character" w:styleId="36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FontStyle29">
    <w:name w:val="Font Style29"/>
    <w:qFormat/>
    <w:rPr>
      <w:rFonts w:ascii="Times New Roman" w:hAnsi="Times New Roman" w:cs="Times New Roman"/>
      <w:i/>
      <w:iCs/>
      <w:spacing w:val="20"/>
      <w:sz w:val="20"/>
      <w:szCs w:val="20"/>
    </w:rPr>
  </w:style>
  <w:style w:type="character" w:styleId="FontStyle25">
    <w:name w:val="Font Style25"/>
    <w:qFormat/>
    <w:rPr>
      <w:rFonts w:ascii="Times New Roman" w:hAnsi="Times New Roman" w:cs="Times New Roman"/>
      <w:b/>
      <w:bCs/>
      <w:sz w:val="20"/>
      <w:szCs w:val="20"/>
    </w:rPr>
  </w:style>
  <w:style w:type="character" w:styleId="41">
    <w:name w:val="Заголовок 4 Знак"/>
    <w:qFormat/>
    <w:rPr>
      <w:b/>
      <w:sz w:val="24"/>
      <w:lang w:val="ru-RU" w:bidi="ar-SA"/>
    </w:rPr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FontStyle26">
    <w:name w:val="Font Style26"/>
    <w:qFormat/>
    <w:rPr>
      <w:rFonts w:ascii="Times New Roman" w:hAnsi="Times New Roman" w:cs="Times New Roman"/>
      <w:b/>
      <w:bCs/>
      <w:sz w:val="22"/>
      <w:szCs w:val="22"/>
    </w:rPr>
  </w:style>
  <w:style w:type="character" w:styleId="612pt1">
    <w:name w:val="Основной текст (6) + 12 pt1"/>
    <w:qFormat/>
    <w:rPr>
      <w:b/>
      <w:bCs/>
      <w:i/>
      <w:iCs/>
      <w:shd w:fill="FFFFFF" w:val="clear"/>
    </w:rPr>
  </w:style>
  <w:style w:type="character" w:styleId="61">
    <w:name w:val="Основной текст (6)_"/>
    <w:qFormat/>
    <w:rPr>
      <w:shd w:fill="FFFFFF" w:val="clear"/>
    </w:rPr>
  </w:style>
  <w:style w:type="character" w:styleId="15">
    <w:name w:val="Заголовок №1_"/>
    <w:qFormat/>
    <w:rPr>
      <w:b/>
      <w:bCs/>
      <w:shd w:fill="FFFFFF" w:val="clear"/>
    </w:rPr>
  </w:style>
  <w:style w:type="character" w:styleId="82">
    <w:name w:val="Основной текст (8)2"/>
    <w:qFormat/>
    <w:rPr>
      <w:b/>
      <w:bCs/>
      <w:u w:val="single"/>
      <w:shd w:fill="FFFFFF" w:val="clear"/>
    </w:rPr>
  </w:style>
  <w:style w:type="character" w:styleId="83">
    <w:name w:val="Основной текст (8)3"/>
    <w:qFormat/>
    <w:rPr>
      <w:b/>
      <w:bCs/>
      <w:u w:val="single"/>
      <w:shd w:fill="FFFFFF" w:val="clear"/>
    </w:rPr>
  </w:style>
  <w:style w:type="character" w:styleId="81">
    <w:name w:val="Основной текст (8)"/>
    <w:qFormat/>
    <w:rPr/>
  </w:style>
  <w:style w:type="character" w:styleId="84">
    <w:name w:val="Основной текст (8)_"/>
    <w:qFormat/>
    <w:rPr>
      <w:b/>
      <w:bCs/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spacing w:val="0"/>
      <w:shd w:fill="FFFFFF" w:val="clear"/>
    </w:rPr>
  </w:style>
  <w:style w:type="character" w:styleId="37">
    <w:name w:val="Основной текст (3)_"/>
    <w:qFormat/>
    <w:rPr>
      <w:b/>
      <w:bCs/>
      <w:shd w:fill="FFFFFF" w:val="clear"/>
    </w:rPr>
  </w:style>
  <w:style w:type="character" w:styleId="FontStyle47">
    <w:name w:val="Font Style47"/>
    <w:qFormat/>
    <w:rPr>
      <w:rFonts w:ascii="Times New Roman" w:hAnsi="Times New Roman" w:cs="Times New Roman"/>
      <w:b/>
      <w:bCs/>
      <w:spacing w:val="10"/>
      <w:sz w:val="20"/>
      <w:szCs w:val="20"/>
    </w:rPr>
  </w:style>
  <w:style w:type="character" w:styleId="FontStyle41">
    <w:name w:val="Font Style41"/>
    <w:qFormat/>
    <w:rPr>
      <w:rFonts w:ascii="Times New Roman" w:hAnsi="Times New Roman" w:cs="Times New Roman"/>
      <w:i/>
      <w:iCs/>
      <w:sz w:val="30"/>
      <w:szCs w:val="30"/>
    </w:rPr>
  </w:style>
  <w:style w:type="character" w:styleId="FontStyle38">
    <w:name w:val="Font Style38"/>
    <w:qFormat/>
    <w:rPr>
      <w:rFonts w:ascii="Times New Roman" w:hAnsi="Times New Roman" w:cs="Times New Roman"/>
      <w:spacing w:val="20"/>
      <w:sz w:val="16"/>
      <w:szCs w:val="16"/>
    </w:rPr>
  </w:style>
  <w:style w:type="character" w:styleId="FontStyle35">
    <w:name w:val="Font Style35"/>
    <w:qFormat/>
    <w:rPr>
      <w:rFonts w:ascii="Times New Roman" w:hAnsi="Times New Roman" w:cs="Times New Roman"/>
      <w:sz w:val="22"/>
      <w:szCs w:val="22"/>
    </w:rPr>
  </w:style>
  <w:style w:type="character" w:styleId="FontStyle34">
    <w:name w:val="Font Style34"/>
    <w:qFormat/>
    <w:rPr>
      <w:rFonts w:ascii="Times New Roman" w:hAnsi="Times New Roman" w:cs="Times New Roman"/>
      <w:b/>
      <w:bCs/>
      <w:sz w:val="22"/>
      <w:szCs w:val="22"/>
    </w:rPr>
  </w:style>
  <w:style w:type="character" w:styleId="Style24">
    <w:name w:val="Подзаголовок Знак"/>
    <w:qFormat/>
    <w:rPr>
      <w:b/>
      <w:sz w:val="24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4">
    <w:name w:val="Font Style14"/>
    <w:qFormat/>
    <w:rPr>
      <w:rFonts w:ascii="MS Reference Sans Serif" w:hAnsi="MS Reference Sans Serif" w:cs="MS Reference Sans Serif"/>
      <w:sz w:val="20"/>
      <w:szCs w:val="20"/>
    </w:rPr>
  </w:style>
  <w:style w:type="character" w:styleId="FontStyle13">
    <w:name w:val="Font Style13"/>
    <w:qFormat/>
    <w:rPr>
      <w:rFonts w:ascii="MS Reference Sans Serif" w:hAnsi="MS Reference Sans Serif" w:cs="MS Reference Sans Serif"/>
      <w:i/>
      <w:iCs/>
      <w:sz w:val="16"/>
      <w:szCs w:val="16"/>
    </w:rPr>
  </w:style>
  <w:style w:type="character" w:styleId="FontStyle12">
    <w:name w:val="Font Style12"/>
    <w:qFormat/>
    <w:rPr>
      <w:rFonts w:ascii="MS Reference Sans Serif" w:hAnsi="MS Reference Sans Serif" w:cs="MS Reference Sans Serif"/>
      <w:i/>
      <w:iCs/>
      <w:spacing w:val="20"/>
      <w:sz w:val="20"/>
      <w:szCs w:val="20"/>
    </w:rPr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styleId="BodyTextChar">
    <w:name w:val="Body Text Char"/>
    <w:qFormat/>
    <w:rPr>
      <w:rFonts w:cs="Times New Roman"/>
    </w:rPr>
  </w:style>
  <w:style w:type="character" w:styleId="Style25">
    <w:name w:val="Основной текст Знак"/>
    <w:qFormat/>
    <w:rPr>
      <w:lang w:val="ru-RU" w:bidi="ar-SA"/>
    </w:rPr>
  </w:style>
  <w:style w:type="character" w:styleId="25">
    <w:name w:val="Основной текст (2)_"/>
    <w:qFormat/>
    <w:rPr>
      <w:b/>
      <w:bCs/>
      <w:lang w:bidi="ar-SA"/>
    </w:rPr>
  </w:style>
  <w:style w:type="character" w:styleId="Style26">
    <w:name w:val="Основной шрифт абзаца"/>
    <w:qFormat/>
    <w:rPr/>
  </w:style>
  <w:style w:type="character" w:styleId="WW8Num46z0">
    <w:name w:val="WW8Num46z0"/>
    <w:qFormat/>
    <w:rPr/>
  </w:style>
  <w:style w:type="character" w:styleId="WW8Num45z0">
    <w:name w:val="WW8Num45z0"/>
    <w:qFormat/>
    <w:rPr>
      <w:b w:val="false"/>
    </w:rPr>
  </w:style>
  <w:style w:type="character" w:styleId="WW8Num44z1">
    <w:name w:val="WW8Num44z1"/>
    <w:qFormat/>
    <w:rPr>
      <w:rFonts w:cs="Times New Roman"/>
    </w:rPr>
  </w:style>
  <w:style w:type="character" w:styleId="WW8Num44z0">
    <w:name w:val="WW8Num44z0"/>
    <w:qFormat/>
    <w:rPr>
      <w:rFonts w:cs="Times New Roman"/>
    </w:rPr>
  </w:style>
  <w:style w:type="character" w:styleId="WW8Num43z0">
    <w:name w:val="WW8Num43z0"/>
    <w:qFormat/>
    <w:rPr/>
  </w:style>
  <w:style w:type="character" w:styleId="WW8Num41z1">
    <w:name w:val="WW8Num41z1"/>
    <w:qFormat/>
    <w:rPr>
      <w:rFonts w:cs="Times New Roman"/>
    </w:rPr>
  </w:style>
  <w:style w:type="character" w:styleId="WW8Num41z0">
    <w:name w:val="WW8Num41z0"/>
    <w:qFormat/>
    <w:rPr>
      <w:rFonts w:cs="Times New Roman"/>
    </w:rPr>
  </w:style>
  <w:style w:type="character" w:styleId="WW8Num39z0">
    <w:name w:val="WW8Num39z0"/>
    <w:qFormat/>
    <w:rPr/>
  </w:style>
  <w:style w:type="character" w:styleId="WW8Num38z0">
    <w:name w:val="WW8Num38z0"/>
    <w:qFormat/>
    <w:rPr>
      <w:rFonts w:ascii="Times New Roman" w:hAnsi="Times New Roman" w:cs="Times New Roman"/>
    </w:rPr>
  </w:style>
  <w:style w:type="character" w:styleId="WW8Num37z0">
    <w:name w:val="WW8Num37z0"/>
    <w:qFormat/>
    <w:rPr>
      <w:b w:val="false"/>
    </w:rPr>
  </w:style>
  <w:style w:type="character" w:styleId="WW8Num34z0">
    <w:name w:val="WW8Num34z0"/>
    <w:qFormat/>
    <w:rPr/>
  </w:style>
  <w:style w:type="character" w:styleId="WW8Num33z0">
    <w:name w:val="WW8Num33z0"/>
    <w:qFormat/>
    <w:rPr/>
  </w:style>
  <w:style w:type="character" w:styleId="WW8Num31z1">
    <w:name w:val="WW8Num31z1"/>
    <w:qFormat/>
    <w:rPr>
      <w:rFonts w:cs="Times New Roman"/>
    </w:rPr>
  </w:style>
  <w:style w:type="character" w:styleId="WW8Num31z0">
    <w:name w:val="WW8Num31z0"/>
    <w:qFormat/>
    <w:rPr>
      <w:rFonts w:cs="Times New Roman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29z1">
    <w:name w:val="WW8Num29z1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27z0">
    <w:name w:val="WW8Num27z0"/>
    <w:qFormat/>
    <w:rPr/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5z0">
    <w:name w:val="WW8Num25z0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>
      <w:b w:val="false"/>
    </w:rPr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sz w:val="24"/>
      <w:szCs w:val="24"/>
    </w:rPr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7z0">
    <w:name w:val="WW8Num47z0"/>
    <w:qFormat/>
    <w:rPr/>
  </w:style>
  <w:style w:type="character" w:styleId="WW8Num45z1">
    <w:name w:val="WW8Num45z1"/>
    <w:qFormat/>
    <w:rPr>
      <w:rFonts w:cs="Times New Roman"/>
    </w:rPr>
  </w:style>
  <w:style w:type="character" w:styleId="WW8Num42z1">
    <w:name w:val="WW8Num42z1"/>
    <w:qFormat/>
    <w:rPr>
      <w:rFonts w:cs="Times New Roman"/>
    </w:rPr>
  </w:style>
  <w:style w:type="character" w:styleId="WW8Num42z0">
    <w:name w:val="WW8Num42z0"/>
    <w:qFormat/>
    <w:rPr>
      <w:rFonts w:cs="Times New Roman"/>
    </w:rPr>
  </w:style>
  <w:style w:type="character" w:styleId="WW8Num40z0">
    <w:name w:val="WW8Num40z0"/>
    <w:qFormat/>
    <w:rPr/>
  </w:style>
  <w:style w:type="character" w:styleId="WW8Num35z0">
    <w:name w:val="WW8Num35z0"/>
    <w:qFormat/>
    <w:rPr/>
  </w:style>
  <w:style w:type="character" w:styleId="WW8Num32z1">
    <w:name w:val="WW8Num32z1"/>
    <w:qFormat/>
    <w:rPr>
      <w:rFonts w:cs="Times New Roman"/>
    </w:rPr>
  </w:style>
  <w:style w:type="character" w:styleId="WW8Num32z0">
    <w:name w:val="WW8Num32z0"/>
    <w:qFormat/>
    <w:rPr>
      <w:rFonts w:cs="Times New Roman"/>
    </w:rPr>
  </w:style>
  <w:style w:type="character" w:styleId="WW8Num30z1">
    <w:name w:val="WW8Num30z1"/>
    <w:qFormat/>
    <w:rPr>
      <w:rFonts w:cs="Times New Roman"/>
    </w:rPr>
  </w:style>
  <w:style w:type="character" w:styleId="WW8Num28z0">
    <w:name w:val="WW8Num28z0"/>
    <w:qFormat/>
    <w:rPr/>
  </w:style>
  <w:style w:type="character" w:styleId="WW8Num22z1">
    <w:name w:val="WW8Num22z1"/>
    <w:qFormat/>
    <w:rPr/>
  </w:style>
  <w:style w:type="character" w:styleId="WW8Num17z1">
    <w:name w:val="WW8Num17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5z0">
    <w:name w:val="WW8Num5z0"/>
    <w:qFormat/>
    <w:rPr/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Noto Sans"/>
    </w:rPr>
  </w:style>
  <w:style w:type="paragraph" w:styleId="user2" w:customStyle="1">
    <w:name w:val="Заголовок (user)"/>
    <w:next w:val="BodyText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left="283"/>
    </w:pPr>
    <w:rPr/>
  </w:style>
  <w:style w:type="paragraph" w:styleId="21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user4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  <w:szCs w:val="20"/>
    </w:rPr>
  </w:style>
  <w:style w:type="paragraph" w:styleId="Style30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lef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lef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31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32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9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33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lef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34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left="252"/>
      <w:jc w:val="lef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left="360"/>
      <w:jc w:val="lef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35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37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lef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left="1440" w:right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lef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lef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lef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lef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lef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lef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lef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lef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lef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lef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lef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lef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lef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left="1680"/>
      <w:jc w:val="left"/>
    </w:pPr>
    <w:rPr>
      <w:sz w:val="20"/>
      <w:szCs w:val="20"/>
    </w:rPr>
  </w:style>
  <w:style w:type="paragraph" w:styleId="16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lef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left="926"/>
    </w:pPr>
    <w:rPr>
      <w:rFonts w:ascii="Arial" w:hAnsi="Arial"/>
      <w:bCs w:val="false"/>
      <w:sz w:val="24"/>
      <w:szCs w:val="20"/>
    </w:rPr>
  </w:style>
  <w:style w:type="paragraph" w:styleId="212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6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left="576"/>
    </w:pPr>
    <w:rPr>
      <w:b/>
    </w:rPr>
  </w:style>
  <w:style w:type="paragraph" w:styleId="310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2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38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right"/>
    </w:pPr>
    <w:rPr>
      <w:b/>
    </w:rPr>
  </w:style>
  <w:style w:type="paragraph" w:styleId="Style39" w:customStyle="1">
    <w:name w:val="текст таблицы"/>
    <w:basedOn w:val="Normal"/>
    <w:qFormat/>
    <w:rsid w:val="00fb3111"/>
    <w:pPr>
      <w:spacing w:lineRule="auto" w:line="240" w:before="120" w:after="0"/>
      <w:ind w:hanging="0" w:right="-102"/>
      <w:jc w:val="left"/>
    </w:pPr>
    <w:rPr>
      <w:sz w:val="24"/>
      <w:szCs w:val="24"/>
    </w:rPr>
  </w:style>
  <w:style w:type="paragraph" w:styleId="312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left="1080"/>
      <w:textAlignment w:val="baseline"/>
    </w:pPr>
    <w:rPr>
      <w:sz w:val="24"/>
      <w:szCs w:val="20"/>
    </w:rPr>
  </w:style>
  <w:style w:type="paragraph" w:styleId="Style40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7" w:customStyle="1">
    <w:name w:val="Обычный1"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2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right"/>
    </w:pPr>
    <w:rPr>
      <w:rFonts w:ascii="Garamond" w:hAnsi="Garamond"/>
      <w:sz w:val="24"/>
      <w:szCs w:val="24"/>
    </w:rPr>
  </w:style>
  <w:style w:type="paragraph" w:styleId="113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3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lef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right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left="1984"/>
      <w:jc w:val="left"/>
    </w:pPr>
    <w:rPr>
      <w:sz w:val="24"/>
      <w:szCs w:val="24"/>
    </w:rPr>
  </w:style>
  <w:style w:type="paragraph" w:styleId="Style41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lef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2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43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lef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44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left"/>
    </w:pPr>
    <w:rPr>
      <w:sz w:val="22"/>
      <w:szCs w:val="22"/>
    </w:rPr>
  </w:style>
  <w:style w:type="paragraph" w:styleId="user5">
    <w:name w:val="Содержимое врезки (user)"/>
    <w:basedOn w:val="Normal"/>
    <w:qFormat/>
    <w:pPr/>
    <w:rPr/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Содержимое таблицы"/>
    <w:basedOn w:val="Normal"/>
    <w:qFormat/>
    <w:pPr>
      <w:widowControl w:val="false"/>
      <w:suppressLineNumbers/>
    </w:pPr>
    <w:rPr/>
  </w:style>
  <w:style w:type="paragraph" w:styleId="Style47">
    <w:name w:val="Заголовок таблицы"/>
    <w:basedOn w:val="Style46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206F6B6352A34C6D350C5B781B063D9A9410E7EEB3A2ED67F386808BC19B84349D78E8F482AD54C469D80FA2DA2BAB948B0B62B3CB1Do0l8H" TargetMode="External"/><Relationship Id="rId3" Type="http://schemas.openxmlformats.org/officeDocument/2006/relationships/hyperlink" Target="consultantplus://offline/ref=1B206F6B6352A34C6D350C5B781B063D9A9410E7EEB3A2ED67F386808BC19B84349D78E8F483A552C469D80FA2DA2BAB948B0B62B3CB1Do0l8H" TargetMode="External"/><Relationship Id="rId4" Type="http://schemas.openxmlformats.org/officeDocument/2006/relationships/hyperlink" Target="consultantplus://offline/ref=1B206F6B6352A34C6D350C5B781B063D9A9410E7EEB3A2ED67F386808BC19B84349D78E8F483A55DC469D80FA2DA2BAB948B0B62B3CB1Do0l8H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Application>LibreOffice/25.8.7.3$Linux_X86_64 LibreOffice_project/30742500f2d3eb4366ac312fa33d3dcabdb3eba5</Application>
  <AppVersion>15.0000</AppVersion>
  <Pages>20</Pages>
  <Words>4614</Words>
  <Characters>32132</Characters>
  <CharactersWithSpaces>35995</CharactersWithSpaces>
  <Paragraphs>783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2026-08-11T09:47:49Z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