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Cell"/>
        <w:jc w:val="end"/>
        <w:rPr>
          <w:rFonts w:ascii="Times New Roman" w:hAnsi="Times New Roman" w:eastAsia="Calibri"/>
          <w:lang w:eastAsia="en-US"/>
        </w:rPr>
      </w:pPr>
      <w:r>
        <w:rPr>
          <w:rFonts w:eastAsia="Calibri" w:ascii="Times New Roman" w:hAnsi="Times New Roman"/>
          <w:lang w:eastAsia="en-US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widowControl w:val="false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jc w:val="center"/>
        <w:rPr>
          <w:rFonts w:eastAsia="Calibri" w:eastAsiaTheme="minorHAnsi"/>
          <w:b/>
          <w:bCs/>
          <w:szCs w:val="24"/>
        </w:rPr>
      </w:pPr>
      <w:r>
        <w:rPr>
          <w:rFonts w:eastAsia="Calibri" w:eastAsiaTheme="minorHAnsi"/>
          <w:b/>
          <w:bCs/>
          <w:szCs w:val="24"/>
        </w:rPr>
        <w:t>Техническое задание</w:t>
      </w:r>
    </w:p>
    <w:p>
      <w:pPr>
        <w:pStyle w:val="Normal"/>
        <w:jc w:val="center"/>
        <w:rPr>
          <w:rFonts w:eastAsia="Calibri" w:eastAsiaTheme="minorHAnsi"/>
          <w:b/>
          <w:bCs/>
          <w:szCs w:val="24"/>
        </w:rPr>
      </w:pPr>
      <w:r>
        <w:rPr>
          <w:rFonts w:eastAsia="Calibri" w:eastAsiaTheme="minorHAnsi"/>
          <w:b/>
          <w:bCs/>
          <w:szCs w:val="24"/>
        </w:rPr>
      </w:r>
      <w:bookmarkStart w:id="0" w:name="_Hlk189233073"/>
      <w:bookmarkStart w:id="1" w:name="_Hlk189233073"/>
    </w:p>
    <w:p>
      <w:pPr>
        <w:pStyle w:val="Normal"/>
        <w:widowControl w:val="false"/>
        <w:jc w:val="center"/>
        <w:rPr>
          <w:bCs/>
          <w:szCs w:val="24"/>
        </w:rPr>
      </w:pPr>
      <w:r>
        <w:rPr>
          <w:bCs/>
          <w:szCs w:val="24"/>
        </w:rPr>
        <w:t>на оказание  услуг по информационной безопасности системы обеспечения вызова экстренных оперативных служб по единому номеру 112 на территории</w:t>
      </w:r>
    </w:p>
    <w:p>
      <w:pPr>
        <w:pStyle w:val="Normal"/>
        <w:widowControl w:val="false"/>
        <w:jc w:val="center"/>
        <w:rPr>
          <w:bCs/>
          <w:szCs w:val="24"/>
        </w:rPr>
      </w:pPr>
      <w:r>
        <w:rPr>
          <w:bCs/>
          <w:szCs w:val="24"/>
        </w:rPr>
        <w:t xml:space="preserve"> </w:t>
      </w:r>
      <w:r>
        <w:rPr>
          <w:bCs/>
          <w:szCs w:val="24"/>
        </w:rPr>
        <w:t xml:space="preserve">Забайкальского края </w:t>
      </w:r>
      <w:bookmarkEnd w:id="1"/>
    </w:p>
    <w:tbl>
      <w:tblPr>
        <w:tblW w:w="954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763"/>
        <w:gridCol w:w="5609"/>
        <w:gridCol w:w="1792"/>
        <w:gridCol w:w="1385"/>
      </w:tblGrid>
      <w:tr>
        <w:trPr>
          <w:trHeight w:val="529" w:hRule="atLeast"/>
        </w:trPr>
        <w:tc>
          <w:tcPr>
            <w:tcW w:w="763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5" w:after="35"/>
              <w:ind w:firstLine="567" w:start="30" w:end="30"/>
              <w:jc w:val="center"/>
              <w:rPr>
                <w:b/>
                <w:color w:val="000000"/>
                <w:szCs w:val="24"/>
                <w:lang w:eastAsia="en-US"/>
              </w:rPr>
            </w:pPr>
            <w:r>
              <w:rPr>
                <w:b/>
                <w:color w:val="000000"/>
                <w:szCs w:val="24"/>
                <w:lang w:eastAsia="en-US"/>
              </w:rPr>
              <w:t xml:space="preserve">№ </w:t>
            </w:r>
            <w:r>
              <w:rPr>
                <w:b/>
                <w:color w:val="000000"/>
                <w:szCs w:val="24"/>
                <w:lang w:eastAsia="en-US"/>
              </w:rPr>
              <w:t>п/п</w:t>
            </w:r>
          </w:p>
        </w:tc>
        <w:tc>
          <w:tcPr>
            <w:tcW w:w="5609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5" w:after="35"/>
              <w:ind w:firstLine="567" w:start="30" w:end="30"/>
              <w:jc w:val="center"/>
              <w:rPr>
                <w:b/>
                <w:color w:val="000000"/>
                <w:szCs w:val="24"/>
                <w:lang w:eastAsia="en-US"/>
              </w:rPr>
            </w:pPr>
            <w:r>
              <w:rPr>
                <w:b/>
                <w:color w:val="000000"/>
                <w:szCs w:val="24"/>
                <w:lang w:eastAsia="en-US"/>
              </w:rPr>
              <w:t>Перечень товаров, работ, услуг</w:t>
            </w:r>
          </w:p>
        </w:tc>
        <w:tc>
          <w:tcPr>
            <w:tcW w:w="1792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5" w:after="35"/>
              <w:ind w:firstLine="567" w:start="30" w:end="30"/>
              <w:jc w:val="center"/>
              <w:rPr>
                <w:b/>
                <w:color w:val="000000"/>
                <w:szCs w:val="24"/>
                <w:lang w:eastAsia="en-US"/>
              </w:rPr>
            </w:pPr>
            <w:r>
              <w:rPr>
                <w:b/>
                <w:color w:val="000000"/>
                <w:szCs w:val="24"/>
                <w:lang w:eastAsia="en-US"/>
              </w:rPr>
              <w:t>Ед. изм.</w:t>
            </w:r>
          </w:p>
        </w:tc>
        <w:tc>
          <w:tcPr>
            <w:tcW w:w="1385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5" w:after="35"/>
              <w:ind w:firstLine="567" w:start="30" w:end="30"/>
              <w:jc w:val="center"/>
              <w:rPr>
                <w:b/>
                <w:color w:val="000000"/>
                <w:szCs w:val="24"/>
                <w:lang w:eastAsia="en-US"/>
              </w:rPr>
            </w:pPr>
            <w:r>
              <w:rPr>
                <w:b/>
                <w:color w:val="000000"/>
                <w:szCs w:val="24"/>
                <w:lang w:eastAsia="en-US"/>
              </w:rPr>
              <w:t>Кол-во</w:t>
            </w:r>
          </w:p>
        </w:tc>
      </w:tr>
      <w:tr>
        <w:trPr>
          <w:trHeight w:val="339" w:hRule="atLeast"/>
        </w:trPr>
        <w:tc>
          <w:tcPr>
            <w:tcW w:w="763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0" w:after="30"/>
              <w:ind w:firstLine="567" w:start="30" w:end="3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1</w:t>
            </w:r>
          </w:p>
        </w:tc>
        <w:tc>
          <w:tcPr>
            <w:tcW w:w="560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0" w:after="30"/>
              <w:ind w:firstLine="567" w:start="30" w:end="3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Поддержка подсистемы информационной безопасности, поставка необходимого программного обеспечения и дополнительных лицензий программного обеспечения подсистемы информационной безопасности</w:t>
            </w:r>
          </w:p>
          <w:p>
            <w:pPr>
              <w:pStyle w:val="Normal"/>
              <w:spacing w:before="30" w:after="30"/>
              <w:ind w:firstLine="567" w:start="30" w:end="3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</w:r>
          </w:p>
        </w:tc>
        <w:tc>
          <w:tcPr>
            <w:tcW w:w="1792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0" w:after="30"/>
              <w:ind w:firstLine="567" w:start="30" w:end="3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  <w:lang w:val="en-US" w:eastAsia="en-US"/>
              </w:rPr>
              <w:t>мес</w:t>
            </w:r>
          </w:p>
        </w:tc>
        <w:tc>
          <w:tcPr>
            <w:tcW w:w="13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before="30" w:after="30"/>
              <w:ind w:firstLine="567" w:start="30" w:end="3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val="en-US" w:eastAsia="en-US"/>
              </w:rPr>
              <w:t>5</w:t>
            </w:r>
          </w:p>
        </w:tc>
      </w:tr>
    </w:tbl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jc w:val="center"/>
        <w:rPr>
          <w:szCs w:val="24"/>
        </w:rPr>
      </w:pPr>
      <w:r>
        <w:rPr>
          <w:szCs w:val="24"/>
        </w:rPr>
        <w:t>2026</w:t>
      </w:r>
      <w:r>
        <w:br w:type="page"/>
      </w:r>
    </w:p>
    <w:p>
      <w:pPr>
        <w:pStyle w:val="Normal"/>
        <w:keepNext w:val="true"/>
        <w:numPr>
          <w:ilvl w:val="0"/>
          <w:numId w:val="17"/>
        </w:numPr>
        <w:tabs>
          <w:tab w:val="clear" w:pos="708"/>
          <w:tab w:val="left" w:pos="1134" w:leader="none"/>
        </w:tabs>
        <w:spacing w:before="0" w:after="0"/>
        <w:ind w:hanging="0"/>
        <w:jc w:val="center"/>
        <w:outlineLvl w:val="0"/>
        <w:rPr>
          <w:b/>
          <w:bCs/>
          <w:caps/>
          <w:szCs w:val="24"/>
        </w:rPr>
      </w:pPr>
      <w:bookmarkStart w:id="2" w:name="_Toc1128662"/>
      <w:bookmarkStart w:id="3" w:name="OLE_LINK1"/>
      <w:r>
        <w:rPr>
          <w:b/>
          <w:bCs/>
          <w:caps/>
          <w:szCs w:val="24"/>
        </w:rPr>
        <w:t>ОБЩИЕ ПОЛОЖЕНИЯ</w:t>
      </w:r>
      <w:bookmarkEnd w:id="2"/>
      <w:bookmarkEnd w:id="3"/>
      <w:r>
        <w:rPr>
          <w:b/>
          <w:bCs/>
          <w:caps/>
          <w:szCs w:val="24"/>
        </w:rPr>
        <w:br/>
      </w:r>
    </w:p>
    <w:p>
      <w:pPr>
        <w:pStyle w:val="ListParagraph"/>
        <w:keepNext w:val="true"/>
        <w:numPr>
          <w:ilvl w:val="1"/>
          <w:numId w:val="17"/>
        </w:numPr>
        <w:tabs>
          <w:tab w:val="clear" w:pos="708"/>
          <w:tab w:val="left" w:pos="1134" w:leader="none"/>
        </w:tabs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128663"/>
      <w:bookmarkStart w:id="5" w:name="OLE_LINK2"/>
      <w:r>
        <w:rPr>
          <w:rFonts w:cs="Times New Roman" w:ascii="Times New Roman" w:hAnsi="Times New Roman"/>
          <w:b/>
          <w:bCs/>
          <w:sz w:val="24"/>
          <w:szCs w:val="24"/>
        </w:rPr>
        <w:t>Полное наименование Сторон и услуги, ее условное обозначение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bCs/>
          <w:szCs w:val="24"/>
        </w:rPr>
      </w:pPr>
      <w:r>
        <w:rPr>
          <w:rFonts w:eastAsia="Calibri"/>
          <w:szCs w:val="24"/>
          <w:lang w:eastAsia="en-US"/>
        </w:rPr>
        <w:t>Полное наименование предоставляемой услуги:</w:t>
      </w:r>
      <w:r>
        <w:rPr>
          <w:rFonts w:eastAsia="Calibri"/>
          <w:bCs/>
          <w:szCs w:val="24"/>
          <w:lang w:eastAsia="en-US"/>
        </w:rPr>
        <w:t xml:space="preserve"> оказание  услуг по информационной безопасности системы обеспечения вызова экстренных оперативных служб по единому номеру 112 на территории Забайкальского края.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Краткое наименование предоставляемой услуги: «Услуга».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Услуга должна быть предоставлена Исполнителем с использованием технических решений, соответствующих требованиям технического проекта «Система обеспечения вызова экстренных оперативных служб через единый номер «112» на базе единых дежурно-диспетчерских служб муниципальных образований Забайкальского края», согласованного с Министерством Российской Федерации по делам гражданской обороны, чрезвычайным ситуациям и ликвидации последствий стихийных бедствий в объеме требований настоящего Технического задания.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Услуги оказываются для СПО-112 Системы-112 как единого объекта информатизации. Одновременное оказание услуг вышеуказанных услуг обусловлено сложностью процессов, автоматизируемых в системе и условий ее функционирования при сохранении непрерывного режима работы и достижения целевых показателей функционирования Системы, установленных в соответствии с Постановлением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диспетчерскими службам» (далее – Постановление № 1931).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Услуги относятся к типу услуг по полному техническому сопровождению СПО-112 и должны оказываться с надлежащим качеством, обеспечивающим работоспособность СПО-112, в том числе с соблюдением требований в отношении охраняемых результатов интеллектуальной деятельности, установленных Правообладателями СПО-112, которые указаны в пункте 1.1 к настоящему ООЗ.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Объем оказываемых услуг соответствует требованиям, предъявляемым к циклу полного сопровождения согласно ГОСТ Р ИСО/МЭК 14764-2002 «Информационная технология. Сопровождение программных средств» (далее – ГОСТ Р ИСО/МЭК 14764-2002), ГОСТ Р ИСО/МЭК 12207-2010. «Национальный стандарт Российской Федерации. Информационная технология. Системная и программная инженерия. Процессы жизненного цикла программных средств».</w:t>
      </w:r>
    </w:p>
    <w:p>
      <w:pPr>
        <w:pStyle w:val="Normal"/>
        <w:ind w:firstLine="709"/>
        <w:jc w:val="both"/>
        <w:rPr/>
      </w:pPr>
      <w:r>
        <w:rPr/>
        <w:t>Заказчик: ____________________________________.</w:t>
      </w:r>
    </w:p>
    <w:p>
      <w:pPr>
        <w:pStyle w:val="Normal"/>
        <w:ind w:firstLine="709"/>
        <w:jc w:val="both"/>
        <w:rPr/>
      </w:pPr>
      <w:r>
        <w:rPr/>
        <w:t>Исполнитель: ____________________________________________.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numPr>
          <w:ilvl w:val="1"/>
          <w:numId w:val="17"/>
        </w:numPr>
        <w:tabs>
          <w:tab w:val="clear" w:pos="708"/>
          <w:tab w:val="left" w:pos="1134" w:leader="none"/>
        </w:tabs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OLE_LINK3"/>
      <w:bookmarkStart w:id="7" w:name="_Toc1128664"/>
      <w:r>
        <w:rPr>
          <w:rFonts w:cs="Times New Roman" w:ascii="Times New Roman" w:hAnsi="Times New Roman"/>
          <w:b/>
          <w:bCs/>
          <w:sz w:val="24"/>
          <w:szCs w:val="24"/>
        </w:rPr>
        <w:t>Перечень документов, на основании которых оказывается услуга</w:t>
      </w:r>
      <w:bookmarkEnd w:id="6"/>
      <w:bookmarkEnd w:id="7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Федеральный закон от 21 декабря 1994 года № 68-ФЗ «О защите населения и территорий от чрезвычайных ситуаций природного и техногенного характера» (с изменениями и дополнениями);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Федеральный закон от 30 декабря 2020 года № 488-ФЗ «Об обеспечении вызова экстренных оперативных служб по единому номеру «112» и о внесение изменений в отдельные законодательные акты Российской Федерации»;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Распоряжение Правительства Российской Федерации от 25 августа 2008 г. № 1240-р «Об утверждении Концепции создания Системы-112» (с изменениями и дополнениями);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Указ Президента Российской Федерации от 28 декабря 2010 года № 1632 «О совершенствовании системы обеспечения вызова экстренных оперативных служб на территории Российской Федерации»;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Style w:val="Hyperlink"/>
          <w:color w:val="auto"/>
          <w:u w:val="none"/>
          <w:shd w:fill="FFFFFF" w:val="clear"/>
        </w:rPr>
      </w:pPr>
      <w:r>
        <w:fldChar w:fldCharType="begin"/>
      </w:r>
      <w:r>
        <w:rPr>
          <w:rStyle w:val="Style"/>
          <w:rFonts w:eastAsia="Calibri"/>
          <w:szCs w:val="24"/>
          <w:lang w:eastAsia="en-US"/>
        </w:rPr>
        <w:instrText xml:space="preserve"> HYPERLINK "https://myclub.garant.ru/" \l "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"</w:instrText>
      </w:r>
      <w:r>
        <w:rPr>
          <w:rStyle w:val="Style"/>
          <w:rFonts w:eastAsia="Calibri"/>
          <w:szCs w:val="24"/>
          <w:lang w:eastAsia="en-US"/>
        </w:rPr>
        <w:fldChar w:fldCharType="separate"/>
      </w:r>
      <w:r>
        <w:rPr>
          <w:rStyle w:val="Style"/>
          <w:rFonts w:eastAsia="Calibri"/>
          <w:szCs w:val="24"/>
          <w:lang w:eastAsia="en-US"/>
        </w:rPr>
        <w:t>Постановление Правительства Российской Федерации от 21 ноября 2011 года № 958 «О системе обеспечения вызова экстренных оперативных служб по единому номеру «112»;</w:t>
      </w:r>
      <w:r>
        <w:rPr>
          <w:rStyle w:val="Style"/>
          <w:rFonts w:eastAsia="Calibri"/>
          <w:szCs w:val="24"/>
          <w:lang w:eastAsia="en-US"/>
        </w:rPr>
        <w:fldChar w:fldCharType="end"/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 w:cs="Times New Roman"/>
        </w:rPr>
      </w:pPr>
      <w:r>
        <w:fldChar w:fldCharType="begin"/>
      </w:r>
      <w:r>
        <w:rPr>
          <w:rStyle w:val="Style"/>
          <w:rFonts w:eastAsia="Calibri" w:cs="Times New Roman" w:ascii="Times New Roman" w:hAnsi="Times New Roman"/>
          <w:lang w:eastAsia="en-US"/>
        </w:rPr>
        <w:instrText xml:space="preserve"> HYPERLINK "https://myclub.garant.ru/" \l "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"</w:instrText>
      </w:r>
      <w:r>
        <w:rPr>
          <w:rStyle w:val="Style"/>
          <w:rFonts w:eastAsia="Calibri" w:cs="Times New Roman" w:ascii="Times New Roman" w:hAnsi="Times New Roman"/>
          <w:lang w:eastAsia="en-US"/>
        </w:rPr>
        <w:fldChar w:fldCharType="separate"/>
      </w:r>
      <w:r>
        <w:rPr>
          <w:rStyle w:val="Style"/>
          <w:rFonts w:eastAsia="Calibri" w:cs="Times New Roman" w:ascii="Times New Roman" w:hAnsi="Times New Roman"/>
          <w:lang w:eastAsia="en-US"/>
        </w:rPr>
        <w:t>Постановление Правительства Российской Федерации</w:t>
      </w:r>
      <w:r>
        <w:rPr>
          <w:rStyle w:val="Style"/>
          <w:rFonts w:eastAsia="Calibri" w:cs="Times New Roman" w:ascii="Times New Roman" w:hAnsi="Times New Roman"/>
          <w:lang w:eastAsia="en-US"/>
        </w:rPr>
        <w:fldChar w:fldCharType="end"/>
      </w:r>
      <w:r>
        <w:rPr>
          <w:rFonts w:cs="Times New Roman" w:ascii="Times New Roman" w:hAnsi="Times New Roman"/>
          <w:shd w:fill="FFFFFF" w:val="clear"/>
        </w:rPr>
        <w:t xml:space="preserve"> от 30 сентября 2021 г. № 1658 «Об утверждении Правил согласования технического задания и проектно-технической документации на развитие системы обеспечения вызова экстренных оперативных служб по единому номеру «112» субъекта Российской Федерации, проекта положения о системе обеспечения вызова экстренных оперативных служб по единому номеру «112» субъекта Российской Федерации»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fldChar w:fldCharType="begin"/>
      </w:r>
      <w:r>
        <w:rPr>
          <w:rStyle w:val="Style"/>
          <w:rFonts w:eastAsia="Calibri"/>
          <w:szCs w:val="24"/>
          <w:lang w:eastAsia="en-US"/>
        </w:rPr>
        <w:instrText xml:space="preserve"> HYPERLINK "https://myclub.garant.ru/" \l "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"</w:instrText>
      </w:r>
      <w:r>
        <w:rPr>
          <w:rStyle w:val="Style"/>
          <w:rFonts w:eastAsia="Calibri"/>
          <w:szCs w:val="24"/>
          <w:lang w:eastAsia="en-US"/>
        </w:rPr>
        <w:fldChar w:fldCharType="separate"/>
      </w:r>
      <w:r>
        <w:rPr>
          <w:rStyle w:val="Style"/>
          <w:rFonts w:eastAsia="Calibri"/>
          <w:szCs w:val="24"/>
          <w:lang w:eastAsia="en-US"/>
        </w:rPr>
        <w:t>Распоряжение Правительства Российской Федерации от 04 мая 2012 года № 716-р «Об утверждении Концепции федеральной целевой программы «Создание системы обеспечения вызова экстренных оперативных служб по единому номеру «112» в Российской Федерации на 2012 – 2017 годы» (с изменениями и дополнениями);</w:t>
      </w:r>
      <w:r>
        <w:rPr>
          <w:rStyle w:val="Style"/>
          <w:rFonts w:eastAsia="Calibri"/>
          <w:szCs w:val="24"/>
          <w:lang w:eastAsia="en-US"/>
        </w:rPr>
        <w:fldChar w:fldCharType="end"/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Методические материалы по созданию Системы-112 на территории Российской Федерации МЧС России.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Федеральный закон от 07 июля 2003 года № 126-ФЗ «О связи» (с изменениями и дополнениями);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Федеральный закон от 27 июля 2006 года № 149-ФЗ «Об информации, информационных технологиях и о защите информации» (с изменениями и дополнениями);</w:t>
      </w:r>
    </w:p>
    <w:p>
      <w:pPr>
        <w:pStyle w:val="basictext1"/>
        <w:widowControl w:val="false"/>
        <w:spacing w:lineRule="auto" w:line="240" w:before="0" w:after="0"/>
        <w:rPr>
          <w:color w:val="000000"/>
          <w:szCs w:val="24"/>
        </w:rPr>
      </w:pPr>
      <w:r>
        <w:rPr>
          <w:color w:val="000000"/>
          <w:szCs w:val="24"/>
        </w:rPr>
        <w:t>Федеральный закон от 27 июля 2006 года № 152-ФЗ «О персональных данных»;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rFonts w:eastAsia="Calibri"/>
          <w:szCs w:val="24"/>
          <w:lang w:eastAsia="en-US"/>
        </w:rPr>
        <w:t>Федеральный закон от 04.05.2011 № 99-ФЗ «О лицензировании отдельных видов деятельности»;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Постановление Правительства РФ от 31 августа 2021 № 1453 «Об утверждении перечня экстренных оперативных служб, вызов которых круглосуточно и бесплатно обязан обеспечить оператор связи пользователю услугами связи»;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Постановление Правительства РФ от 12 ноября 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 в том числе порядка и сроков осуществления приема, обработки и передачи вызовов по единому номеру «112» диспетчерским службам»;</w:t>
      </w:r>
    </w:p>
    <w:p>
      <w:pPr>
        <w:pStyle w:val="basictext1"/>
        <w:widowControl w:val="false"/>
        <w:spacing w:lineRule="auto" w:line="240" w:before="0" w:after="0"/>
        <w:rPr>
          <w:rStyle w:val="Hyperlink"/>
          <w:color w:val="auto"/>
          <w:u w:val="none"/>
          <w:shd w:fill="FFFFFF" w:val="clear"/>
        </w:rPr>
      </w:pPr>
      <w:r>
        <w:fldChar w:fldCharType="begin"/>
      </w:r>
      <w:r>
        <w:rPr>
          <w:rStyle w:val="Style"/>
          <w:color w:val="000000"/>
          <w:szCs w:val="24"/>
        </w:rPr>
        <w:instrText xml:space="preserve"> HYPERLINK "https://myclub.garant.ru/" \l "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"</w:instrText>
      </w:r>
      <w:r>
        <w:rPr>
          <w:rStyle w:val="Style"/>
          <w:color w:val="000000"/>
          <w:szCs w:val="24"/>
        </w:rPr>
        <w:fldChar w:fldCharType="separate"/>
      </w:r>
      <w:r>
        <w:rPr>
          <w:rStyle w:val="Style"/>
          <w:color w:val="000000"/>
          <w:szCs w:val="24"/>
        </w:rPr>
        <w:t>Постановление Правительства РФ от 27 ноября 2021 № 2071 «Об утверждении правил взаимодействия сил и средств систем обеспечения вызова экстренных оперативных служб по единому номеру «112»;</w:t>
      </w:r>
      <w:r>
        <w:rPr>
          <w:rStyle w:val="Style"/>
          <w:color w:val="000000"/>
          <w:szCs w:val="24"/>
        </w:rPr>
        <w:fldChar w:fldCharType="end"/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 w:cs="Times New Roman"/>
        </w:rPr>
      </w:pPr>
      <w:r>
        <w:fldChar w:fldCharType="begin"/>
      </w:r>
      <w:r>
        <w:rPr>
          <w:rStyle w:val="Style"/>
          <w:rFonts w:cs="Times New Roman" w:ascii="Times New Roman" w:hAnsi="Times New Roman"/>
          <w:shd w:fill="FFFFFF" w:val="clear"/>
        </w:rPr>
        <w:instrText xml:space="preserve"> HYPERLINK "https://myclub.garant.ru/" \l "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"</w:instrText>
      </w:r>
      <w:r>
        <w:rPr>
          <w:rStyle w:val="Style"/>
          <w:rFonts w:cs="Times New Roman" w:ascii="Times New Roman" w:hAnsi="Times New Roman"/>
          <w:shd w:fill="FFFFFF" w:val="clear"/>
        </w:rPr>
        <w:fldChar w:fldCharType="separate"/>
      </w:r>
      <w:r>
        <w:rPr>
          <w:rStyle w:val="Style"/>
          <w:rFonts w:cs="Times New Roman" w:ascii="Times New Roman" w:hAnsi="Times New Roman"/>
          <w:shd w:fill="FFFFFF" w:val="clear"/>
        </w:rPr>
        <w:t>Приказ Министерства цифрового развития, связи и массовых коммуникаций РФ от 10 сентября 2021 г. № 940 «Об утверждении требований к построению, управлению или нумерации, организационно-техническому обеспечению устойчивого функционирования, условиям взаимодействия, эксплуатации сети связи при оказании универсальных услуг связи»;</w:t>
      </w:r>
      <w:r>
        <w:rPr>
          <w:rStyle w:val="Style"/>
          <w:rFonts w:cs="Times New Roman" w:ascii="Times New Roman" w:hAnsi="Times New Roman"/>
          <w:shd w:fill="FFFFFF" w:val="clear"/>
        </w:rPr>
        <w:fldChar w:fldCharType="end"/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fldChar w:fldCharType="begin"/>
      </w:r>
      <w:r>
        <w:rPr>
          <w:rStyle w:val="Style"/>
          <w:color w:val="000000"/>
          <w:szCs w:val="24"/>
        </w:rPr>
        <w:instrText xml:space="preserve"> HYPERLINK "https://myclub.garant.ru/" \l "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"</w:instrText>
      </w:r>
      <w:r>
        <w:rPr>
          <w:rStyle w:val="Style"/>
          <w:color w:val="000000"/>
          <w:szCs w:val="24"/>
        </w:rPr>
        <w:fldChar w:fldCharType="separate"/>
      </w:r>
      <w:r>
        <w:rPr>
          <w:rStyle w:val="Style"/>
          <w:color w:val="000000"/>
          <w:szCs w:val="24"/>
        </w:rPr>
        <w:t>Приказ Минкомсвязи России от 30.11.2015 № 484 «Об утверждении Правил применения оборудования центров обработки вызовов экстренных оперативных служб. Часть I. Правила применения оборудования центров обработки вызовов экстренных оперативных служб по единому номеру «112»;</w:t>
      </w:r>
      <w:r>
        <w:rPr>
          <w:rStyle w:val="Style"/>
          <w:color w:val="000000"/>
          <w:szCs w:val="24"/>
        </w:rPr>
        <w:fldChar w:fldCharType="end"/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Приказ Минцифры России от 09.03.2022 № 180 «Об утверждении Порядка предоставления и объема информации, необходимой для обеспечения реагирования по 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 происшествии по единому номеру вызова экстренных оперативных служб «112» (с изменениями и дополнениями);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Приказ МЧС России от 14.03.2022 № 192 «Об определении формы, сроки и порядок предоставления информации, формируемой средствами системы обеспечения вызова экстренных оперативных служб по единому номеру «112»;</w:t>
      </w:r>
    </w:p>
    <w:p>
      <w:pPr>
        <w:pStyle w:val="basictext1"/>
        <w:widowControl w:val="false"/>
        <w:spacing w:lineRule="auto" w:line="240" w:before="0" w:after="0"/>
        <w:rPr>
          <w:szCs w:val="24"/>
        </w:rPr>
      </w:pPr>
      <w:r>
        <w:rPr>
          <w:color w:val="000000"/>
          <w:szCs w:val="24"/>
        </w:rPr>
        <w:t>ГОСТ Р 22.7.01-2021. Национальный стандарт Российской Федерации. Безопасность в чрезвычайных ситуациях. Единая дежурно-диспетчерская служба. Основные положения" (утв. и введен в действие Приказом Росстандарта от 27.01.2021 № 25-ст);</w:t>
      </w:r>
    </w:p>
    <w:p>
      <w:pPr>
        <w:pStyle w:val="basictext1"/>
        <w:widowControl w:val="false"/>
        <w:spacing w:lineRule="auto" w:line="240" w:before="0" w:after="0"/>
        <w:rPr>
          <w:color w:val="000000"/>
          <w:szCs w:val="24"/>
        </w:rPr>
      </w:pPr>
      <w:r>
        <w:rPr>
          <w:color w:val="000000"/>
          <w:szCs w:val="24"/>
        </w:rPr>
        <w:t>ГОСТ Р 22.7.03-2021. Национальный стандарт Российской Федерации. Безопасность в чрезвычайных ситуациях. Система обеспечения вызова экстренных оперативных служб по единому номеру «112». Общие требования. (утв. и введен в действие приказом Федерального агентства по техническому регулированию и метрологии от 13.09.2021 № 949ст);</w:t>
      </w:r>
    </w:p>
    <w:p>
      <w:pPr>
        <w:pStyle w:val="Normal"/>
        <w:ind w:firstLine="709"/>
        <w:jc w:val="both"/>
        <w:rPr>
          <w:szCs w:val="24"/>
        </w:rPr>
      </w:pPr>
      <w:r>
        <w:rPr>
          <w:kern w:val="2"/>
          <w:szCs w:val="24"/>
          <w:lang w:eastAsia="zh-CN" w:bidi="hi-IN"/>
        </w:rPr>
        <w:t>ГОСТ Р ИСО/МЭК 14764-2002 «Информационная технология. Сопровождение программных средств»:</w:t>
      </w:r>
    </w:p>
    <w:p>
      <w:pPr>
        <w:pStyle w:val="Normal"/>
        <w:ind w:firstLine="709"/>
        <w:jc w:val="both"/>
        <w:rPr>
          <w:szCs w:val="24"/>
        </w:rPr>
      </w:pPr>
      <w:r>
        <w:rPr>
          <w:kern w:val="2"/>
          <w:szCs w:val="24"/>
          <w:lang w:eastAsia="zh-CN" w:bidi="hi-IN"/>
        </w:rPr>
        <w:t>ГОСТ Р ИСО/МЭК 12207-2010. «Национальный стандарт Российской Федерации. Информационная технология. Системная и программная инженерия. Процессы жизненного цикла программных средств».</w:t>
      </w:r>
    </w:p>
    <w:p>
      <w:pPr>
        <w:pStyle w:val="Normal"/>
        <w:ind w:firstLine="709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1"/>
          <w:numId w:val="17"/>
        </w:numPr>
        <w:tabs>
          <w:tab w:val="clear" w:pos="708"/>
          <w:tab w:val="left" w:pos="1134" w:leader="none"/>
        </w:tabs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128665"/>
      <w:bookmarkStart w:id="9" w:name="OLE_LINK20"/>
      <w:bookmarkStart w:id="10" w:name="OLE_LINK21"/>
      <w:r>
        <w:rPr>
          <w:rFonts w:cs="Times New Roman" w:ascii="Times New Roman" w:hAnsi="Times New Roman"/>
          <w:b/>
          <w:bCs/>
          <w:sz w:val="24"/>
          <w:szCs w:val="24"/>
        </w:rPr>
        <w:t>Плановый график начала и окончания оказания услуги</w:t>
      </w:r>
      <w:bookmarkEnd w:id="8"/>
      <w:bookmarkEnd w:id="9"/>
      <w:bookmarkEnd w:id="10"/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rFonts w:eastAsia="Calibri"/>
          <w:lang w:eastAsia="en-US"/>
        </w:rPr>
      </w:pPr>
      <w:r>
        <w:rPr>
          <w:rFonts w:eastAsia="Calibri"/>
          <w:lang w:val="en-US" w:eastAsia="en-US"/>
        </w:rPr>
        <w:t>C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даты заключения договора </w:t>
      </w:r>
      <w:r>
        <w:rPr>
          <w:rFonts w:eastAsia="Calibri"/>
          <w:lang w:eastAsia="en-US"/>
        </w:rPr>
        <w:t>до 31.12.2026 года включительно.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/>
      </w:pPr>
      <w:r>
        <w:rPr/>
      </w:r>
    </w:p>
    <w:p>
      <w:pPr>
        <w:pStyle w:val="ListParagraph"/>
        <w:keepNext w:val="true"/>
        <w:numPr>
          <w:ilvl w:val="1"/>
          <w:numId w:val="17"/>
        </w:numPr>
        <w:tabs>
          <w:tab w:val="clear" w:pos="708"/>
          <w:tab w:val="left" w:pos="1134" w:leader="none"/>
        </w:tabs>
        <w:ind w:firstLine="567" w:start="72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1128666"/>
      <w:bookmarkStart w:id="12" w:name="OLE_LINK26"/>
      <w:r>
        <w:rPr>
          <w:rFonts w:cs="Times New Roman" w:ascii="Times New Roman" w:hAnsi="Times New Roman"/>
          <w:b/>
          <w:bCs/>
          <w:sz w:val="24"/>
          <w:szCs w:val="24"/>
        </w:rPr>
        <w:t>Определения, обозначения и сокращения</w:t>
      </w:r>
      <w:bookmarkEnd w:id="11"/>
      <w:bookmarkEnd w:id="12"/>
    </w:p>
    <w:tbl>
      <w:tblPr>
        <w:tblW w:w="10089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844"/>
        <w:gridCol w:w="8245"/>
      </w:tblGrid>
      <w:tr>
        <w:trPr>
          <w:tblHeader w:val="true"/>
          <w:trHeight w:val="559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0E0E0" w:val="clear"/>
            <w:vAlign w:val="center"/>
          </w:tcPr>
          <w:p>
            <w:pPr>
              <w:pStyle w:val="Normal"/>
              <w:jc w:val="center"/>
              <w:rPr>
                <w:rFonts w:eastAsia="MS Mincho"/>
                <w:b/>
                <w:szCs w:val="24"/>
              </w:rPr>
            </w:pPr>
            <w:bookmarkStart w:id="13" w:name="OLE_LINK27"/>
            <w:bookmarkStart w:id="14" w:name="OLE_LINK28"/>
            <w:bookmarkEnd w:id="13"/>
            <w:bookmarkEnd w:id="14"/>
            <w:r>
              <w:rPr>
                <w:rFonts w:eastAsia="MS Mincho"/>
                <w:b/>
                <w:szCs w:val="24"/>
              </w:rPr>
              <w:t>Термины и сокращения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color="auto" w:fill="E0E0E0" w:val="clear"/>
            <w:vAlign w:val="center"/>
          </w:tcPr>
          <w:p>
            <w:pPr>
              <w:pStyle w:val="Normal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Определение</w:t>
            </w:r>
          </w:p>
        </w:tc>
      </w:tr>
      <w:tr>
        <w:trPr>
          <w:trHeight w:val="343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112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Единый номер вызова экстренных оперативных служб на территории Российской Федерации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bookmarkStart w:id="15" w:name="_Hlk156478564"/>
            <w:bookmarkStart w:id="16" w:name="_Hlk156478564_Копия_1"/>
            <w:bookmarkStart w:id="17" w:name="OLE_LINK27_Копия_1"/>
            <w:bookmarkStart w:id="18" w:name="OLE_LINK28_Копия_1"/>
            <w:bookmarkEnd w:id="17"/>
            <w:bookmarkEnd w:id="18"/>
            <w:r>
              <w:rPr>
                <w:rFonts w:ascii="Liberation Serif" w:hAnsi="Liberation Serif"/>
              </w:rPr>
              <w:t>Система-112</w:t>
            </w:r>
            <w:bookmarkEnd w:id="15"/>
            <w:bookmarkEnd w:id="16"/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Calibri" w:ascii="Liberation Serif" w:hAnsi="Liberation Serif"/>
              </w:rPr>
              <w:t>Система обеспечения вызова экстренных оперативных служб по единому номеру «112» на территории Забайкальского края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АРМ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Автоматизированное рабочее место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ГИС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Геоинформационная система</w:t>
            </w:r>
          </w:p>
        </w:tc>
      </w:tr>
      <w:tr>
        <w:trPr>
          <w:trHeight w:val="388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ГО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Гражданская оборона</w:t>
            </w:r>
          </w:p>
        </w:tc>
      </w:tr>
      <w:tr>
        <w:trPr>
          <w:trHeight w:val="400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ГУ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Главное управление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ДДС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Дежурно-диспетчерская служба, в настоящем ТЗ означает весь перечень экстренных оперативных служб, оперативных служб и организаций, интегрируемых в систему-112</w:t>
            </w:r>
          </w:p>
        </w:tc>
      </w:tr>
      <w:tr>
        <w:trPr>
          <w:trHeight w:val="411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Диспетчер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Сотрудник ДДС или ЕДДС, осуществляющий прием вызовов или управление подразделениями в рамках компетенции своей службы</w:t>
            </w:r>
          </w:p>
        </w:tc>
      </w:tr>
      <w:tr>
        <w:trPr>
          <w:trHeight w:val="404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ЕДДС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Единая дежурно-диспетчерская служба</w:t>
            </w:r>
          </w:p>
        </w:tc>
      </w:tr>
      <w:tr>
        <w:trPr>
          <w:trHeight w:val="39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ЕСКД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Единая система конструкторской документации</w:t>
            </w:r>
          </w:p>
        </w:tc>
      </w:tr>
      <w:tr>
        <w:trPr>
          <w:trHeight w:val="400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ЗИП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Запасные части, инструменты и принадлежности</w:t>
            </w:r>
          </w:p>
        </w:tc>
      </w:tr>
      <w:tr>
        <w:trPr>
          <w:trHeight w:val="40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ИБП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Источник бесперебойного питания</w:t>
            </w:r>
          </w:p>
        </w:tc>
      </w:tr>
      <w:tr>
        <w:trPr>
          <w:trHeight w:val="39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КТС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Комплекс технических средств</w:t>
            </w:r>
          </w:p>
        </w:tc>
      </w:tr>
      <w:tr>
        <w:trPr>
          <w:trHeight w:val="39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КСА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Комплекс средств автоматизации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КСЗИ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Комплекс средств защиты информации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КИС-ССМП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Координационно-информационная система скорой службы медицинской помощи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ЛВС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Локальная вычислительная сеть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МВД России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Министерство внутренних дел Российской Федерации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Минздрав России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Министерство здравоохранения Российской Федерации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Минюст России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Министерство юстиции Российской Федерации</w:t>
            </w:r>
          </w:p>
        </w:tc>
      </w:tr>
      <w:tr>
        <w:trPr>
          <w:trHeight w:val="45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МЧС России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>
        <w:trPr>
          <w:trHeight w:val="45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sz w:val="23"/>
                <w:szCs w:val="23"/>
              </w:rPr>
              <w:t>МНИС ГЛОНАСС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sz w:val="23"/>
                <w:szCs w:val="23"/>
              </w:rPr>
              <w:t>Многоуровневая навигационно-информационная система мониторинга транспортных средств МЧС России</w:t>
            </w:r>
          </w:p>
        </w:tc>
      </w:tr>
      <w:tr>
        <w:trPr>
          <w:trHeight w:val="443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НСД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Несанкционированный доступ</w:t>
            </w:r>
          </w:p>
        </w:tc>
      </w:tr>
      <w:tr>
        <w:trPr>
          <w:trHeight w:val="400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Оператор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Сотрудник ЦОВ-АЦ, РЦОВ, ЕДДС, осуществляющий прием </w:t>
              <w:br/>
              <w:t>и обработку вызовов по номеру 112</w:t>
            </w:r>
          </w:p>
        </w:tc>
      </w:tr>
      <w:tr>
        <w:trPr>
          <w:trHeight w:val="400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ОС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Операционная система</w:t>
            </w:r>
          </w:p>
        </w:tc>
      </w:tr>
      <w:tr>
        <w:trPr>
          <w:trHeight w:val="40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ПАК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Программно-аппаратный комплекс</w:t>
            </w:r>
          </w:p>
        </w:tc>
      </w:tr>
      <w:tr>
        <w:trPr>
          <w:trHeight w:val="40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ПО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Программное обеспечение</w:t>
            </w:r>
          </w:p>
        </w:tc>
      </w:tr>
      <w:tr>
        <w:trPr>
          <w:trHeight w:val="45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ПОИБ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Подсистема обеспечения информационной безопасности</w:t>
            </w:r>
          </w:p>
        </w:tc>
      </w:tr>
      <w:tr>
        <w:trPr>
          <w:trHeight w:val="40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Пользователь Системы-112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Пользователь прикладного, специального программного обеспечения Системы-112, оператор, диспетчер, администратор, либо любой другой из тех, у кого есть учетная запись в данной системе-112</w:t>
            </w:r>
          </w:p>
        </w:tc>
      </w:tr>
      <w:tr>
        <w:trPr>
          <w:trHeight w:val="40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ПТК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Программно-технический комплекс</w:t>
            </w:r>
          </w:p>
        </w:tc>
      </w:tr>
      <w:tr>
        <w:trPr>
          <w:trHeight w:val="406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Региональный ЦУКС МЧС России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субъекту Российской Федерации</w:t>
            </w:r>
          </w:p>
        </w:tc>
      </w:tr>
      <w:tr>
        <w:trPr>
          <w:trHeight w:val="407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РСЧС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Единая государственная система предупреждения и ликвидации чрезвычайных ситуаций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РЦОВ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Резервный центр обработки вызовов, входящий в состав Системы-112</w:t>
            </w:r>
          </w:p>
        </w:tc>
      </w:tr>
      <w:tr>
        <w:trPr>
          <w:trHeight w:val="412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СВТ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Средство вычислительной техники</w:t>
            </w:r>
          </w:p>
        </w:tc>
      </w:tr>
      <w:tr>
        <w:trPr>
          <w:trHeight w:val="412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СГЭ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гарантированного электроснабжения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СЗИ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Средства защиты информации</w:t>
            </w:r>
          </w:p>
        </w:tc>
      </w:tr>
      <w:tr>
        <w:trPr>
          <w:trHeight w:val="45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Система-112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обеспечения вызова экстренных оперативных служб по единому номеру «112» на территории Забайкальского края</w:t>
            </w:r>
          </w:p>
        </w:tc>
      </w:tr>
      <w:tr>
        <w:trPr>
          <w:trHeight w:val="45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СНиП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Строительные нормы и правила</w:t>
            </w:r>
          </w:p>
        </w:tc>
      </w:tr>
      <w:tr>
        <w:trPr>
          <w:trHeight w:val="389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СОДЧ ИСОД МВД РФ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Сервис обеспечения деятельности дежурных частей информационно-аналитического обеспечения деятельности МВД РФ</w:t>
            </w:r>
          </w:p>
        </w:tc>
      </w:tr>
      <w:tr>
        <w:trPr>
          <w:trHeight w:val="389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СПО-112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uppressAutoHyphens w:val="true"/>
              <w:jc w:val="both"/>
              <w:rPr>
                <w:szCs w:val="24"/>
              </w:rPr>
            </w:pPr>
            <w:r>
              <w:rPr>
                <w:szCs w:val="24"/>
              </w:rPr>
              <w:t>Специальное программное обеспечение, подлежащее сопровождению и технической поддержке в рамках оказания услуг по настоящему Техническому заданию в составе:</w:t>
            </w:r>
          </w:p>
          <w:p>
            <w:pPr>
              <w:pStyle w:val="ListParagraph"/>
              <w:widowControl/>
              <w:numPr>
                <w:ilvl w:val="0"/>
                <w:numId w:val="22"/>
              </w:numPr>
              <w:suppressAutoHyphens w:val="true"/>
              <w:spacing w:before="0" w:after="200"/>
              <w:ind w:hanging="0" w:star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Программное обеспечение «Интеграционно-аналитическая сервисная платформа ПРОТЕЙ", IASP PROTEI. Правообладатель ООО «НТЦ ПРОТЕЙ» (ИНН 7825483961) в составе нижеследующих программных компонентов (модулей)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firstLine="567" w:star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Программный модуль WEB-клиент на серверной группировке ЦОВ и РЦОВ системы-112 Неисключительные права на использование данного ПО переданы Заказчику в рамках Государственного контракта от 22.12.2023 № 27536157133 23 000020 и расширены:</w:t>
            </w:r>
          </w:p>
          <w:p>
            <w:pPr>
              <w:pStyle w:val="ListParagraph"/>
              <w:widowControl/>
              <w:numPr>
                <w:ilvl w:val="0"/>
                <w:numId w:val="23"/>
              </w:numPr>
              <w:suppressAutoHyphens w:val="tru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количеству подключаемых дополнительных служб Системы-112 в соответствии с Государственным контрактом от 04.12.2024 № 2024-б;</w:t>
            </w:r>
          </w:p>
          <w:p>
            <w:pPr>
              <w:pStyle w:val="ListParagraph"/>
              <w:widowControl/>
              <w:numPr>
                <w:ilvl w:val="0"/>
                <w:numId w:val="23"/>
              </w:numPr>
              <w:suppressAutoHyphens w:val="tru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программным компонентом </w:t>
            </w:r>
            <w:bookmarkStart w:id="19" w:name="_Hlk210405466"/>
            <w:r>
              <w:rPr>
                <w:rFonts w:cs="Times New Roman" w:ascii="Times New Roman" w:hAnsi="Times New Roman"/>
                <w:sz w:val="24"/>
                <w:szCs w:val="24"/>
              </w:rPr>
              <w:t>«Модуль сопряжения между Системой-112 и Государственная информационная система "Централизованная система сбора информации систем 112» в соответствии с Государственным контрактом от 23.06.2025 № 2025-5</w:t>
            </w:r>
            <w:bookmarkEnd w:id="19"/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firstLine="567" w:star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Модуль сопряжения системы-112 с сервисом обеспечения деятельности дежурных частей единой системы информационно-аналитического обеспечения деятельности МВД России (СОДЧ ИСОД МВД РФ) Неисключительные права на использование данного ПО переданы Заказчику в рамках Государственного контракта от 22.12.2023 № 27536157133 23 000019;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firstLine="567" w:star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Модуль сопряжения системы-112 с многоуровневой навигационно-информационной системой мониторинга транспортных средств МЧС России на базе использования системы ГЛОНАСС (МНИС). Неисключительные права на использование данного ПО переданы Заказчику в рамках Государственного контракта от 16.08.2022 № 2022-5.</w:t>
            </w:r>
          </w:p>
          <w:p>
            <w:pPr>
              <w:pStyle w:val="ListParagraph"/>
              <w:widowControl/>
              <w:suppressAutoHyphens w:val="true"/>
              <w:spacing w:before="0" w:after="200"/>
              <w:ind w:firstLine="567" w:star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2. ПО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Call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центра.</w:t>
            </w:r>
          </w:p>
        </w:tc>
      </w:tr>
      <w:tr>
        <w:trPr>
          <w:trHeight w:val="389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СРК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резервного копирования</w:t>
            </w:r>
          </w:p>
        </w:tc>
      </w:tr>
      <w:tr>
        <w:trPr>
          <w:trHeight w:val="408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СУБД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управления базами данных</w:t>
            </w:r>
          </w:p>
        </w:tc>
      </w:tr>
      <w:tr>
        <w:trPr>
          <w:trHeight w:val="408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СХД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хранения данных</w:t>
            </w:r>
          </w:p>
        </w:tc>
      </w:tr>
      <w:tr>
        <w:trPr>
          <w:trHeight w:val="408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СУИ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управления инцидентами</w:t>
            </w:r>
          </w:p>
        </w:tc>
      </w:tr>
      <w:tr>
        <w:trPr>
          <w:trHeight w:val="408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Субъект Российской Федерации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Субъект Российской Федерации, в настоящем документе применяется для обозначения субъекта Российской Федерации, на территории которого оказывается Услуга</w:t>
            </w:r>
          </w:p>
        </w:tc>
      </w:tr>
      <w:tr>
        <w:trPr>
          <w:trHeight w:val="413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ТЗ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Техническое задание</w:t>
            </w:r>
          </w:p>
        </w:tc>
      </w:tr>
      <w:tr>
        <w:trPr>
          <w:trHeight w:val="413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ТП-112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Технический проект системы обеспечения вызова экстренных оперативных служб через единый «112» на базе данных дежурно-диспетчерских служб муниципальных образований Забайкальского края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ТПО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Территориальная пожарная охрана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РМО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Рабочее место </w:t>
            </w:r>
            <w:r>
              <w:rPr>
                <w:rFonts w:eastAsia="DejaVu Sans"/>
                <w:szCs w:val="24"/>
                <w:lang w:eastAsia="zh-CN" w:bidi="hi-IN"/>
              </w:rPr>
              <w:t>центра обслуживания вызовов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ТСКС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Технические средства коротких текстовых сообщений.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ТСМН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ascii="Liberation Serif" w:hAnsi="Liberation Serif"/>
                <w:lang w:bidi="ru-RU"/>
              </w:rPr>
              <w:t>Технические средства обработки информации о месте нахождения пользовательского оборудования и иной информации, необходимой для обеспечения реагирования.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ТУ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Технические условия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ТФОП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Телефонная сеть общего пользования</w:t>
            </w:r>
          </w:p>
        </w:tc>
      </w:tr>
      <w:tr>
        <w:trPr>
          <w:trHeight w:val="398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УОВЭОС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Узел обслуживания вызовов экстренных оперативных служб</w:t>
            </w:r>
          </w:p>
        </w:tc>
      </w:tr>
      <w:tr>
        <w:trPr>
          <w:trHeight w:val="404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ФСБ России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Федеральная служба безопасности Российской Федерации</w:t>
            </w:r>
          </w:p>
        </w:tc>
      </w:tr>
      <w:tr>
        <w:trPr>
          <w:trHeight w:val="409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ФСТЭК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Федеральная служба по техническому и экспортному контролю</w:t>
            </w:r>
          </w:p>
        </w:tc>
      </w:tr>
      <w:tr>
        <w:trPr>
          <w:trHeight w:val="413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ЦО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Центр обучения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ЦОВ-АЦ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Центр обработки вызовов Системы-112, развертываемый в административном центре субъекта Российской Федерации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ЕДДС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Единая дежурно-диспетчерская служба муниципального образования субъекта Российской Федерации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ЦОД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Серверная группировка центра обработки вызовов</w:t>
            </w:r>
          </w:p>
        </w:tc>
      </w:tr>
      <w:tr>
        <w:trPr>
          <w:trHeight w:val="40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РЦОД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Серверная группировка резервного центра обработки вызовов</w:t>
            </w:r>
          </w:p>
        </w:tc>
      </w:tr>
      <w:tr>
        <w:trPr>
          <w:trHeight w:val="404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ЦУКС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Центр управления в кризисных ситуациях</w:t>
            </w:r>
          </w:p>
        </w:tc>
      </w:tr>
      <w:tr>
        <w:trPr>
          <w:trHeight w:val="410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ЧС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Чрезвычайная ситуация</w:t>
            </w:r>
          </w:p>
        </w:tc>
      </w:tr>
      <w:tr>
        <w:trPr>
          <w:trHeight w:val="401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ЭКС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Электронная карточка события</w:t>
            </w:r>
          </w:p>
        </w:tc>
      </w:tr>
      <w:tr>
        <w:trPr>
          <w:trHeight w:val="401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ЭОС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Экстренная оперативная служба</w:t>
            </w:r>
          </w:p>
        </w:tc>
      </w:tr>
      <w:tr>
        <w:trPr>
          <w:trHeight w:val="45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ЭРА-ГЛОНАСС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Система экстренного реагирования при авариях, основанная на применении российских средств глобальной спутниковой навигации, ГЛОНАСС, и систем спутникового мониторинга транспорта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GPRS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GeneralPacketRadioService — «пакетная радиосвязь общего пользования», надстройка над технологией мобильной связи GSM, осуществляющая пакетную передачу данных. GPRS позволяет пользователю сети сотовой связи производить обмен данными с другими устройствами в сети GSM </w:t>
              <w:br/>
              <w:t>и с внешними сетями, в том числе Интернет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GPS/ ГЛОНАСС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Американская и российская глобальные навигационные системы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ГИС ЦССИ - 112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Централизованная система сбора информации Системы -112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N+1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Схема резервирования оборудования, подразумевающая установку дополнительного (резервного) устройства, аналогично основному устройству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VPN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 xml:space="preserve">VirtualPrivateNetwork — виртуальная частная сеть, технология, позволяющая обеспечить одно или несколько сетевых соединений (логическую сеть) поверх другой сети с использованием средств криптографии (шифрования, аутентификации, инфраструктуры открытых ключей, средств для защиты </w:t>
              <w:br/>
              <w:t>от повторов и изменений передаваемых сообщений)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lang w:val="en-US"/>
              </w:rPr>
              <w:t>WEB-</w:t>
            </w:r>
            <w:r>
              <w:rPr/>
              <w:t>интерфейс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Calibri"/>
              </w:rPr>
              <w:t xml:space="preserve">Пользовательский интерфейс программного обеспечения </w:t>
            </w:r>
            <w:r>
              <w:rPr/>
              <w:t xml:space="preserve">«Интеграционно-аналитическая сервисная платформа ПРОТЕЙ», </w:t>
            </w:r>
            <w:r>
              <w:rPr>
                <w:rFonts w:eastAsia="Calibri"/>
                <w:lang w:val="en-US"/>
              </w:rPr>
              <w:t>IASPPROTEI</w:t>
            </w:r>
            <w:r>
              <w:rPr>
                <w:rFonts w:eastAsia="Calibri"/>
              </w:rPr>
              <w:t>, доступный через веб-браузер.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r>
              <w:rPr>
                <w:rFonts w:eastAsia="MS Mincho"/>
                <w:szCs w:val="24"/>
              </w:rPr>
              <w:t>Call центр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70"/>
              <w:tabs>
                <w:tab w:val="clear" w:pos="708"/>
                <w:tab w:val="left" w:pos="5747" w:leader="none"/>
              </w:tabs>
              <w:spacing w:before="0" w:after="0"/>
              <w:ind w:firstLine="567" w:end="30"/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Является неотъемлемой частью </w:t>
            </w:r>
            <w:bookmarkStart w:id="20" w:name="_Hlk178011671"/>
            <w:r>
              <w:rPr>
                <w:lang w:bidi="ru-RU"/>
              </w:rPr>
              <w:t xml:space="preserve">компонентов телекоммуникационной подсистемы Системы-112, состоящей из функциональности </w:t>
            </w:r>
            <w:bookmarkStart w:id="21" w:name="_Hlk179824806"/>
            <w:r>
              <w:rPr>
                <w:lang w:bidi="ru-RU"/>
              </w:rPr>
              <w:t>программно-аппаратных средств</w:t>
            </w:r>
            <w:bookmarkEnd w:id="20"/>
            <w:r>
              <w:rPr>
                <w:lang w:bidi="ru-RU"/>
              </w:rPr>
              <w:t xml:space="preserve">, оснащенных </w:t>
            </w:r>
            <w:bookmarkStart w:id="22" w:name="_Hlk175240015"/>
            <w:r>
              <w:rPr>
                <w:lang w:bidi="ru-RU"/>
              </w:rPr>
              <w:t xml:space="preserve">программным обеспечением «Программный комплекс "Протей-imSwitch"» </w:t>
            </w:r>
            <w:bookmarkEnd w:id="21"/>
            <w:bookmarkEnd w:id="22"/>
            <w:r>
              <w:rPr>
                <w:lang w:bidi="ru-RU"/>
              </w:rPr>
              <w:t>в составе:</w:t>
            </w:r>
          </w:p>
          <w:p>
            <w:pPr>
              <w:pStyle w:val="Style70"/>
              <w:tabs>
                <w:tab w:val="clear" w:pos="708"/>
                <w:tab w:val="left" w:pos="5747" w:leader="none"/>
              </w:tabs>
              <w:spacing w:before="0" w:after="0"/>
              <w:ind w:firstLine="567" w:start="360" w:end="30"/>
              <w:jc w:val="both"/>
              <w:rPr>
                <w:lang w:bidi="ru-RU"/>
              </w:rPr>
            </w:pPr>
            <w:r>
              <w:rPr>
                <w:lang w:bidi="ru-RU"/>
              </w:rPr>
              <w:t>- Многофункциональный интеллектуальный шлюз Tiger.MS</w:t>
            </w:r>
            <w:r>
              <w:rPr>
                <w:lang w:val="en-US" w:bidi="ru-RU"/>
              </w:rPr>
              <w:t>C</w:t>
            </w:r>
            <w:r>
              <w:rPr>
                <w:lang w:bidi="ru-RU"/>
              </w:rPr>
              <w:t>.60/2000;</w:t>
            </w:r>
          </w:p>
          <w:p>
            <w:pPr>
              <w:pStyle w:val="Style70"/>
              <w:tabs>
                <w:tab w:val="clear" w:pos="708"/>
                <w:tab w:val="left" w:pos="5747" w:leader="none"/>
              </w:tabs>
              <w:spacing w:before="0" w:after="0"/>
              <w:ind w:firstLine="567" w:start="360" w:end="30"/>
              <w:jc w:val="both"/>
              <w:rPr>
                <w:lang w:bidi="ru-RU"/>
              </w:rPr>
            </w:pPr>
            <w:r>
              <w:rPr>
                <w:lang w:bidi="ru-RU"/>
              </w:rPr>
              <w:t>- Многофункциональный интеллектуальный шлюз Tiger.MS.60/2000;</w:t>
            </w:r>
          </w:p>
          <w:p>
            <w:pPr>
              <w:pStyle w:val="Style70"/>
              <w:tabs>
                <w:tab w:val="clear" w:pos="708"/>
                <w:tab w:val="left" w:pos="5747" w:leader="none"/>
              </w:tabs>
              <w:spacing w:before="0" w:after="0"/>
              <w:ind w:firstLine="567" w:start="360" w:end="30"/>
              <w:jc w:val="both"/>
              <w:rPr>
                <w:lang w:bidi="ru-RU"/>
              </w:rPr>
            </w:pPr>
            <w:bookmarkStart w:id="23" w:name="_Hlk178179523"/>
            <w:r>
              <w:rPr>
                <w:lang w:bidi="ru-RU"/>
              </w:rPr>
              <w:t>- Протей-imSwitch5 Автоматическая телефонная станция</w:t>
            </w:r>
            <w:bookmarkEnd w:id="23"/>
            <w:r>
              <w:rPr>
                <w:lang w:bidi="ru-RU"/>
              </w:rPr>
              <w:t xml:space="preserve"> (АТС Протей-imSwitch5 112Т5).</w:t>
            </w:r>
          </w:p>
          <w:p>
            <w:pPr>
              <w:pStyle w:val="Normal"/>
              <w:jc w:val="both"/>
              <w:rPr>
                <w:rFonts w:eastAsia="MS Mincho"/>
                <w:szCs w:val="24"/>
              </w:rPr>
            </w:pPr>
            <w:bookmarkStart w:id="24" w:name="_Hlk178011381"/>
            <w:r>
              <w:rPr>
                <w:lang w:bidi="ru-RU"/>
              </w:rPr>
              <w:t xml:space="preserve">Количественные характеристики </w:t>
            </w:r>
            <w:bookmarkEnd w:id="24"/>
            <w:r>
              <w:rPr>
                <w:lang w:bidi="ru-RU"/>
              </w:rPr>
              <w:t>указанного оборудования, определены в Приложении В к настоящему Техническому заданию.</w:t>
            </w:r>
          </w:p>
        </w:tc>
      </w:tr>
      <w:tr>
        <w:trPr>
          <w:trHeight w:val="415" w:hRule="atLeast"/>
        </w:trPr>
        <w:tc>
          <w:tcPr>
            <w:tcW w:w="1844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eastAsia="MS Mincho"/>
                <w:szCs w:val="24"/>
                <w:lang w:val="en-US"/>
              </w:rPr>
            </w:pPr>
            <w:r>
              <w:rPr>
                <w:rFonts w:eastAsia="MS Mincho"/>
                <w:szCs w:val="24"/>
                <w:lang w:val="en-US"/>
              </w:rPr>
              <w:t>CRM</w:t>
            </w:r>
          </w:p>
        </w:tc>
        <w:tc>
          <w:tcPr>
            <w:tcW w:w="824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Style70"/>
              <w:tabs>
                <w:tab w:val="clear" w:pos="708"/>
                <w:tab w:val="left" w:pos="5747" w:leader="none"/>
              </w:tabs>
              <w:spacing w:before="0" w:after="0"/>
              <w:ind w:firstLine="567" w:end="30"/>
              <w:jc w:val="both"/>
              <w:rPr>
                <w:rFonts w:ascii="Liberation Serif" w:hAnsi="Liberation Serif"/>
                <w:lang w:bidi="ru-RU"/>
              </w:rPr>
            </w:pPr>
            <w:r>
              <w:rPr>
                <w:rFonts w:eastAsia="Calibri"/>
                <w:lang w:eastAsia="en-US"/>
              </w:rPr>
              <w:t>Система регистрации обращений</w:t>
            </w:r>
          </w:p>
        </w:tc>
      </w:tr>
    </w:tbl>
    <w:p>
      <w:pPr>
        <w:pStyle w:val="Normal"/>
        <w:ind w:firstLine="851"/>
        <w:jc w:val="both"/>
        <w:rPr>
          <w:szCs w:val="24"/>
        </w:rPr>
      </w:pPr>
      <w:r>
        <w:rPr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ind w:hanging="0" w:start="0"/>
        <w:jc w:val="both"/>
        <w:outlineLvl w:val="1"/>
        <w:rPr/>
      </w:pPr>
      <w:r>
        <w:rPr/>
      </w:r>
      <w:bookmarkStart w:id="25" w:name="_Toc1128667"/>
      <w:bookmarkStart w:id="26" w:name="_Toc1128667"/>
      <w:bookmarkEnd w:id="26"/>
    </w:p>
    <w:p>
      <w:pPr>
        <w:pStyle w:val="ListParagraph"/>
        <w:keepNext w:val="true"/>
        <w:numPr>
          <w:ilvl w:val="1"/>
          <w:numId w:val="17"/>
        </w:numPr>
        <w:tabs>
          <w:tab w:val="clear" w:pos="708"/>
          <w:tab w:val="left" w:pos="1134" w:leader="none"/>
        </w:tabs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Toc1128668"/>
      <w:bookmarkStart w:id="28" w:name="_Toc1128667_Копия_1"/>
      <w:bookmarkEnd w:id="28"/>
      <w:r>
        <w:rPr>
          <w:rFonts w:cs="Times New Roman" w:ascii="Times New Roman" w:hAnsi="Times New Roman"/>
          <w:b/>
          <w:bCs/>
          <w:sz w:val="24"/>
          <w:szCs w:val="24"/>
        </w:rPr>
        <w:t xml:space="preserve">Назначение </w:t>
      </w:r>
      <w:bookmarkEnd w:id="27"/>
      <w:r>
        <w:rPr>
          <w:rFonts w:cs="Times New Roman" w:ascii="Times New Roman" w:hAnsi="Times New Roman"/>
          <w:b/>
          <w:bCs/>
          <w:sz w:val="24"/>
          <w:szCs w:val="24"/>
        </w:rPr>
        <w:t>службы «112»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Услуга предназначена для решения следующих основных задач: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прием по номеру «112» вызовов (сообщений о происшествиях и чрезвычайных ситуациях);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получение от оператора связи сведений о местонахождении лица, обратившегося </w:t>
        <w:br/>
        <w:t>по номеру «112», и (или) абонентского устройства, с которого был осуществлен вызов, а также иных данных, необходимых для обеспечения реагирования по вызову;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анализ поступающей информации о происшествиях;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направление информации о происшествиях, в том числе вызовов, в дежурно-диспетчерские службы экстренных оперативных служб в соответствии с их компетенцией для организации экстренного реагирования;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обеспечение дистанционной психологической поддержки лицу, обратившемуся </w:t>
        <w:br/>
        <w:t>по номеру «112»;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автоматизированное восстановление соединения с пользовательским (оконечным) оборудованием лица, обратившегося по номеру «112», в случае внезапного прерывания соединения;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регистрация всех входящих и исходящих вызовов по номеру «112»;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ведение базы данных об основных характеристиках происшествий, о начале, завершении и об основных результатах экстренного реагирования на полученные вызовы;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поступления и обработка информации от системы ЭРА-ГЛОНАСС.</w:t>
      </w:r>
    </w:p>
    <w:p>
      <w:pPr>
        <w:pStyle w:val="ListParagraph"/>
        <w:keepNext w:val="true"/>
        <w:numPr>
          <w:ilvl w:val="1"/>
          <w:numId w:val="17"/>
        </w:numPr>
        <w:tabs>
          <w:tab w:val="clear" w:pos="708"/>
          <w:tab w:val="left" w:pos="1134" w:leader="none"/>
        </w:tabs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_Toc1128669"/>
      <w:r>
        <w:rPr>
          <w:rFonts w:cs="Times New Roman" w:ascii="Times New Roman" w:hAnsi="Times New Roman"/>
          <w:b/>
          <w:bCs/>
          <w:sz w:val="24"/>
          <w:szCs w:val="24"/>
        </w:rPr>
        <w:t xml:space="preserve">Цели </w:t>
      </w:r>
      <w:bookmarkEnd w:id="29"/>
      <w:r>
        <w:rPr>
          <w:rFonts w:cs="Times New Roman" w:ascii="Times New Roman" w:hAnsi="Times New Roman"/>
          <w:b/>
          <w:bCs/>
          <w:sz w:val="24"/>
          <w:szCs w:val="24"/>
        </w:rPr>
        <w:t>оказания услуги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Основными целями оказания услуги на территории Забайкальского края являются:</w:t>
      </w:r>
    </w:p>
    <w:p>
      <w:pPr>
        <w:pStyle w:val="ListParagraph"/>
        <w:numPr>
          <w:ilvl w:val="0"/>
          <w:numId w:val="41"/>
        </w:numPr>
        <w:ind w:firstLine="709" w:star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</w:t>
      </w:r>
      <w:r>
        <w:rPr>
          <w:rFonts w:cs="Times New Roman" w:ascii="Times New Roman" w:hAnsi="Times New Roman"/>
          <w:bCs/>
          <w:sz w:val="24"/>
          <w:szCs w:val="24"/>
        </w:rPr>
        <w:t xml:space="preserve">казание услуг по информационной безопасности системы обеспечения вызова экстренных оперативных служб по единому номеру 112 на территории Забайкальского края. 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hanging="0" w:start="0"/>
        <w:outlineLvl w:val="1"/>
        <w:rPr>
          <w:b/>
        </w:rPr>
      </w:pPr>
      <w:r>
        <w:rPr>
          <w:b/>
        </w:rPr>
      </w:r>
      <w:bookmarkStart w:id="30" w:name="_Hlk179826534"/>
      <w:bookmarkStart w:id="31" w:name="_Hlk179826534"/>
      <w:bookmarkEnd w:id="31"/>
    </w:p>
    <w:p>
      <w:pPr>
        <w:pStyle w:val="Style61"/>
        <w:numPr>
          <w:ilvl w:val="1"/>
          <w:numId w:val="17"/>
        </w:numPr>
        <w:tabs>
          <w:tab w:val="clear" w:pos="708"/>
          <w:tab w:val="left" w:pos="1134" w:leader="none"/>
        </w:tabs>
        <w:spacing w:lineRule="auto" w:line="240" w:before="0" w:after="0"/>
        <w:rPr>
          <w:b/>
        </w:rPr>
      </w:pPr>
      <w:r>
        <w:rPr>
          <w:b/>
        </w:rPr>
        <w:t>Место и способ оказания услуг</w:t>
      </w:r>
    </w:p>
    <w:p>
      <w:pPr>
        <w:pStyle w:val="Normal"/>
        <w:ind w:firstLine="709"/>
        <w:jc w:val="both"/>
        <w:rPr/>
      </w:pPr>
      <w:r>
        <w:rPr/>
        <w:t>Услуги оказываются для объектов Системы-112 по адресам объектов, указанным в Приложении А к Техническому заданию, в случае недостоверности (не совпадения) адреса, с письменного согласия Заказчика.</w:t>
      </w:r>
    </w:p>
    <w:p>
      <w:pPr>
        <w:pStyle w:val="Normal"/>
        <w:ind w:firstLine="709"/>
        <w:jc w:val="both"/>
        <w:rPr/>
      </w:pPr>
      <w:r>
        <w:rPr/>
        <w:t>Услуги осуществляются удаленно посредством предоставленной Заказчиком возможности удаленного доступа к Системе-112 (за исключением проведения работ по ТО), Исполнитель самостоятельно производит настройку службы удаленного доступа в соответствии с требованиями, указанными настоящем пункте Технического задания.</w:t>
      </w:r>
    </w:p>
    <w:p>
      <w:pPr>
        <w:pStyle w:val="Normal"/>
        <w:ind w:firstLine="709"/>
        <w:jc w:val="both"/>
        <w:rPr/>
      </w:pPr>
      <w:r>
        <w:rPr/>
        <w:t xml:space="preserve">Для оказания Услуг Исполнителем применяется программно-технический комплекс удаленного доступа (далее - ПТК УД). </w:t>
      </w:r>
    </w:p>
    <w:p>
      <w:pPr>
        <w:pStyle w:val="Normal"/>
        <w:ind w:firstLine="709"/>
        <w:jc w:val="both"/>
        <w:rPr/>
      </w:pPr>
      <w:r>
        <w:rPr/>
        <w:t xml:space="preserve">Взаимодействие ПТК УД и Системы-112 должно осуществляться через сеть Интернет с применением средств криптографической защиты информации как со стороны ПТК УД, так и со стороны Системы-112. </w:t>
      </w:r>
    </w:p>
    <w:p>
      <w:pPr>
        <w:pStyle w:val="Normal"/>
        <w:ind w:firstLine="709"/>
        <w:jc w:val="both"/>
        <w:rPr/>
      </w:pPr>
      <w:r>
        <w:rPr/>
        <w:t>Криптографическая защита канала связи между ПТК УД и Системой-112 должна быть выполнена с использованием средств ViPNet, имеющих действующие сертификаты ФСБ на соответствие требованиям к средствам криптографической защиты информации, предназначенным для защиты информации, не содержащей сведений, составляющих государственную тайну, класса не ниже КС2.</w:t>
      </w:r>
    </w:p>
    <w:p>
      <w:pPr>
        <w:pStyle w:val="Normal"/>
        <w:ind w:firstLine="709"/>
        <w:jc w:val="both"/>
        <w:rPr/>
      </w:pPr>
      <w:r>
        <w:rPr/>
        <w:t>ПТК УД должен включать сертифицированные средства защиты от НСД, исключающие возможность изменения конфигурации ПТК УД без санкции системного администратора и администратора информационной безопасности системы удаленного доступа.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709"/>
        <w:rPr>
          <w:b/>
        </w:rPr>
      </w:pPr>
      <w:r>
        <w:rPr>
          <w:b/>
        </w:rPr>
      </w:r>
    </w:p>
    <w:p>
      <w:pPr>
        <w:pStyle w:val="Normal"/>
        <w:widowControl w:val="false"/>
        <w:numPr>
          <w:ilvl w:val="0"/>
          <w:numId w:val="17"/>
        </w:numPr>
        <w:tabs>
          <w:tab w:val="clear" w:pos="708"/>
          <w:tab w:val="left" w:pos="1134" w:leader="none"/>
        </w:tabs>
        <w:jc w:val="center"/>
        <w:outlineLvl w:val="0"/>
        <w:rPr>
          <w:b/>
          <w:bCs/>
          <w:caps/>
          <w:szCs w:val="24"/>
        </w:rPr>
      </w:pPr>
      <w:bookmarkStart w:id="32" w:name="_Toc1128670"/>
      <w:r>
        <w:rPr>
          <w:b/>
          <w:bCs/>
          <w:caps/>
          <w:szCs w:val="24"/>
        </w:rPr>
        <w:t>ХАРАКТЕРИСТИКА ОБЪЕКТОВ АВТОМАТИЗАЦИИ</w:t>
      </w:r>
      <w:bookmarkEnd w:id="32"/>
      <w:r>
        <w:rPr>
          <w:b/>
          <w:bCs/>
          <w:caps/>
          <w:szCs w:val="24"/>
        </w:rPr>
        <w:t xml:space="preserve"> СЛУЖБЫ «112»</w:t>
      </w:r>
    </w:p>
    <w:p>
      <w:pPr>
        <w:pStyle w:val="Normal"/>
        <w:ind w:firstLine="709"/>
        <w:rPr>
          <w:b/>
          <w:bCs/>
          <w:caps/>
          <w:szCs w:val="24"/>
        </w:rPr>
      </w:pPr>
      <w:r>
        <w:rPr>
          <w:b/>
          <w:bCs/>
          <w:caps/>
          <w:szCs w:val="24"/>
        </w:rPr>
      </w:r>
    </w:p>
    <w:p>
      <w:pPr>
        <w:pStyle w:val="ListParagraph"/>
        <w:numPr>
          <w:ilvl w:val="1"/>
          <w:numId w:val="17"/>
        </w:numPr>
        <w:tabs>
          <w:tab w:val="clear" w:pos="708"/>
          <w:tab w:val="left" w:pos="1134" w:leader="none"/>
        </w:tabs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_Toc1128671"/>
      <w:r>
        <w:rPr>
          <w:rFonts w:cs="Times New Roman" w:ascii="Times New Roman" w:hAnsi="Times New Roman"/>
          <w:b/>
          <w:bCs/>
          <w:sz w:val="24"/>
          <w:szCs w:val="24"/>
        </w:rPr>
        <w:t>Общие сведения об объектах автоматизации</w:t>
      </w:r>
      <w:bookmarkEnd w:id="33"/>
      <w:r>
        <w:rPr>
          <w:rFonts w:cs="Times New Roman" w:ascii="Times New Roman" w:hAnsi="Times New Roman"/>
          <w:b/>
          <w:bCs/>
          <w:sz w:val="24"/>
          <w:szCs w:val="24"/>
        </w:rPr>
        <w:t xml:space="preserve"> службы «112»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 соответствии с Положением о единой государственной системе предупреждения </w:t>
        <w:br/>
        <w:t xml:space="preserve">и ликвидации чрезвычайных ситуаций, утвержденным постановлением Правительства Российской Федерации от 30 декабря 2003 г. № 794, в территориальных органах МЧС России были организованы центры управления в кризисных ситуациях, предназначенные для координации действия по предупреждению и ликвидации чрезвычайных ситуаций. Органы повседневного управления единой государственной системы предупреждения и ликвидации чрезвычайных ситуаций региона включают в себя муниципальные, межмуниципальные единые дежурно-диспетчерские службы и дежурно-диспетчерские службы ЭОС. ЕДДС являются органами повседневного управления местной (городской) подсистемы единой государственной системы предупреждения и ликвидации чрезвычайных ситуаций. ЕДДС предназначены для координации действий ЭОС одного или нескольких муниципальных образований Забайкальского края. На базе ЕДДС создаются центры обработки вызовов Системы-112, обеспечивающие прием и обработку вызовов (сообщений о происшествиях) от населения </w:t>
        <w:br/>
        <w:t>и организаций в зоне ответственности.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В состав Системы-112 Забайкальского края входят:</w:t>
      </w:r>
    </w:p>
    <w:p>
      <w:pPr>
        <w:pStyle w:val="basictext1"/>
        <w:numPr>
          <w:ilvl w:val="0"/>
          <w:numId w:val="26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Центр обработки вызовов Системы-112 (ЦОВ-АЦ) с серверной группировкой (ЦОД);</w:t>
      </w:r>
    </w:p>
    <w:p>
      <w:pPr>
        <w:pStyle w:val="basictext1"/>
        <w:numPr>
          <w:ilvl w:val="0"/>
          <w:numId w:val="26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Резервный центр обработки вызовов (РЦОВ) с серверной группировкой (РЦОД);</w:t>
      </w:r>
      <w:bookmarkStart w:id="34" w:name="_Hlk179812590"/>
      <w:bookmarkEnd w:id="34"/>
    </w:p>
    <w:p>
      <w:pPr>
        <w:pStyle w:val="basictext1"/>
        <w:numPr>
          <w:ilvl w:val="0"/>
          <w:numId w:val="26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Единые дежурно-диспетчерская служба (ЕДДС);</w:t>
      </w:r>
    </w:p>
    <w:p>
      <w:pPr>
        <w:pStyle w:val="basictext1"/>
        <w:numPr>
          <w:ilvl w:val="0"/>
          <w:numId w:val="26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ДДС ЭОС в составе:</w:t>
      </w:r>
    </w:p>
    <w:p>
      <w:pPr>
        <w:pStyle w:val="basictext1"/>
        <w:numPr>
          <w:ilvl w:val="0"/>
          <w:numId w:val="2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 xml:space="preserve">Служба пожарной охраны; </w:t>
      </w:r>
    </w:p>
    <w:p>
      <w:pPr>
        <w:pStyle w:val="basictext1"/>
        <w:numPr>
          <w:ilvl w:val="0"/>
          <w:numId w:val="2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 xml:space="preserve">Служба полиции; </w:t>
      </w:r>
    </w:p>
    <w:p>
      <w:pPr>
        <w:pStyle w:val="basictext1"/>
        <w:numPr>
          <w:ilvl w:val="0"/>
          <w:numId w:val="2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 xml:space="preserve">Служба скорой медицинской помощи; </w:t>
      </w:r>
    </w:p>
    <w:p>
      <w:pPr>
        <w:pStyle w:val="basictext1"/>
        <w:numPr>
          <w:ilvl w:val="0"/>
          <w:numId w:val="2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Центр управления в кризисных ситуациях (ЦУКС);</w:t>
      </w:r>
    </w:p>
    <w:p>
      <w:pPr>
        <w:pStyle w:val="basictext1"/>
        <w:numPr>
          <w:ilvl w:val="0"/>
          <w:numId w:val="2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Служба «Антитеррор».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ДДС и ЕДДС Забайкальского края входят в соответствующие организационно-штатные структуры территориальных органов федеральных органов исполнительной власти, органов исполнительной власти Забайкальского края и органов местного самоуправления муниципальных районов,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Для обеспечения координации взаимодействия при реагировании на вызовы (сообщения </w:t>
        <w:br/>
        <w:t>о происшествиях) вышеперечисленные объекты должны быть обеспечены единой транспортной инфраструктурой (каналами связи) и ПТК (АРМ).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Решение задач Системы-112 обеспечивают развернутые на функциональных объектах подсистемы (информационно-коммуникационная, телекоммуникационная, геоинформационная, мониторинга, консультативного обслуживания населения, обеспечения информационной безопасности).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В состав Системы-112 Забайкальского края входят следующие функциональные подсистемы:</w:t>
      </w:r>
    </w:p>
    <w:p>
      <w:pPr>
        <w:pStyle w:val="Style61"/>
        <w:numPr>
          <w:ilvl w:val="0"/>
          <w:numId w:val="44"/>
        </w:numPr>
        <w:tabs>
          <w:tab w:val="clear" w:pos="708"/>
        </w:tabs>
        <w:spacing w:lineRule="auto" w:line="240" w:before="0" w:after="0"/>
        <w:rPr/>
      </w:pPr>
      <w:r>
        <w:rPr/>
        <w:t>Информационно-коммуникационная подсистема;</w:t>
      </w:r>
    </w:p>
    <w:p>
      <w:pPr>
        <w:pStyle w:val="Style61"/>
        <w:numPr>
          <w:ilvl w:val="0"/>
          <w:numId w:val="17"/>
        </w:numPr>
        <w:tabs>
          <w:tab w:val="clear" w:pos="708"/>
        </w:tabs>
        <w:spacing w:lineRule="auto" w:line="240" w:before="0" w:after="0"/>
        <w:rPr/>
      </w:pPr>
      <w:r>
        <w:rPr/>
        <w:t>Телекоммуникационная подсистема;</w:t>
      </w:r>
    </w:p>
    <w:p>
      <w:pPr>
        <w:pStyle w:val="Style61"/>
        <w:numPr>
          <w:ilvl w:val="0"/>
          <w:numId w:val="17"/>
        </w:numPr>
        <w:spacing w:lineRule="auto" w:line="240" w:before="0" w:after="0"/>
        <w:rPr/>
      </w:pPr>
      <w:r>
        <w:rPr/>
        <w:t>Геоинформационная подсистема;</w:t>
      </w:r>
    </w:p>
    <w:p>
      <w:pPr>
        <w:pStyle w:val="Style61"/>
        <w:numPr>
          <w:ilvl w:val="0"/>
          <w:numId w:val="17"/>
        </w:numPr>
        <w:spacing w:lineRule="auto" w:line="240" w:before="0" w:after="0"/>
        <w:rPr/>
      </w:pPr>
      <w:r>
        <w:rPr/>
        <w:t>Подсистема мониторинга;</w:t>
      </w:r>
    </w:p>
    <w:p>
      <w:pPr>
        <w:pStyle w:val="Style61"/>
        <w:numPr>
          <w:ilvl w:val="0"/>
          <w:numId w:val="17"/>
        </w:numPr>
        <w:spacing w:lineRule="auto" w:line="240" w:before="0" w:after="0"/>
        <w:rPr/>
      </w:pPr>
      <w:r>
        <w:rPr/>
        <w:t>Подсистема консультационного обслуживания;</w:t>
      </w:r>
    </w:p>
    <w:p>
      <w:pPr>
        <w:pStyle w:val="Style61"/>
        <w:numPr>
          <w:ilvl w:val="0"/>
          <w:numId w:val="17"/>
        </w:numPr>
        <w:spacing w:lineRule="auto" w:line="240" w:before="0" w:after="0"/>
        <w:rPr/>
      </w:pPr>
      <w:r>
        <w:rPr/>
        <w:t>Подсистема обеспечения информационной безопасности.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b/>
          <w:szCs w:val="24"/>
        </w:rPr>
        <w:t>Информационно-коммуникационная подсистема</w:t>
      </w:r>
      <w:r>
        <w:rPr>
          <w:szCs w:val="24"/>
        </w:rPr>
        <w:t xml:space="preserve"> обеспечивает приём и обработку вызовов (сообщений о происшествиях) по единому номеру «112», передачу </w:t>
        <w:br/>
        <w:t xml:space="preserve">во взаимодействующие экстренные оперативные службы сообщений о вызовах с возможностью их подключения к разговорам. 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b/>
          <w:szCs w:val="24"/>
        </w:rPr>
        <w:t>Телекоммуникационная подсистема</w:t>
      </w:r>
      <w:r>
        <w:rPr>
          <w:szCs w:val="24"/>
        </w:rPr>
        <w:t xml:space="preserve"> предназначена для обеспечения прохождения вызовов (сообщений о происшествиях), включая телефонные вызовы, короткие текстовые сообщения (SMS), от пользователей (абонентов) сетей фиксированной или подвижной связи </w:t>
        <w:br/>
        <w:t>в Систему-112 и взаимодействия объектов в рамках Системы-112.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b/>
          <w:szCs w:val="24"/>
        </w:rPr>
        <w:t>Геоинформационная подсистема</w:t>
      </w:r>
      <w:r>
        <w:rPr>
          <w:szCs w:val="24"/>
        </w:rPr>
        <w:t xml:space="preserve"> обеспечивает отображение на основе цифровых карт Забайкальского края:</w:t>
      </w:r>
    </w:p>
    <w:p>
      <w:pPr>
        <w:pStyle w:val="list11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ab/>
        <w:t>природно-географических, социально-демографических, экономических и других характеристик территории;</w:t>
      </w:r>
    </w:p>
    <w:p>
      <w:pPr>
        <w:pStyle w:val="list11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ab/>
        <w:t>местонахождение лица, обратившегося по номеру «112», и (или) абонентского устройства, с которого осуществлен вызов (сообщение о происшествии), место происшествия.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b/>
          <w:szCs w:val="24"/>
        </w:rPr>
        <w:t>Подсистема мониторинга</w:t>
      </w:r>
      <w:r>
        <w:rPr>
          <w:szCs w:val="24"/>
        </w:rPr>
        <w:t xml:space="preserve"> обеспечивает прием и обработку информации и сигналов, поступающих от автомобильных терминалов системы экстренного реагирования при авариях «ЭРА-ГЛОНАСС».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b/>
          <w:szCs w:val="24"/>
        </w:rPr>
        <w:t>Подсистема консультативного обслуживания</w:t>
      </w:r>
      <w:r>
        <w:rPr>
          <w:szCs w:val="24"/>
        </w:rPr>
        <w:t xml:space="preserve"> обеспечивает оказание информационно-справочной помощи лицам, обратившимся по номеру «112» с территории Забайкальского края, по вопросам обеспечения безопасности жизнедеятельности.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b/>
          <w:szCs w:val="24"/>
        </w:rPr>
        <w:t>Подсистема обеспечения информационной безопасности</w:t>
      </w:r>
      <w:r>
        <w:rPr>
          <w:szCs w:val="24"/>
        </w:rPr>
        <w:t xml:space="preserve"> обеспечивает защиту информации и средств её обработки в Системе-112 Забайкальского края.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ПОИБ должна обеспечивать необходимую и достаточную защиту информационных ресурсов Системы-112 от характерных угроз безопасности 24 часа 7 дней в неделю.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1134" w:leader="none"/>
        </w:tabs>
        <w:ind w:firstLine="709" w:start="709"/>
        <w:outlineLvl w:val="1"/>
        <w:rPr>
          <w:b/>
          <w:bCs/>
          <w:szCs w:val="24"/>
        </w:rPr>
      </w:pPr>
      <w:bookmarkStart w:id="35" w:name="_Toc1128672"/>
      <w:r>
        <w:rPr>
          <w:b/>
          <w:bCs/>
          <w:szCs w:val="24"/>
        </w:rPr>
        <w:t>2.2. Единая дежурно-диспетчерская служба</w:t>
      </w:r>
      <w:bookmarkEnd w:id="35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ЕДДС является подразделением муниципального образования Забайкальского края, предназначена для приема и передачи сигналов оповещения ГО от вышестоящих органов управления, сигналов на изменение режимов функционирования муниципальных звеньев территориальной подсистемы РСЧС, приема сообщений о ЧС (происшествиях) от населения </w:t>
        <w:br/>
        <w:t xml:space="preserve">и организаций, оперативного доведения данной информации до соответствующих ЭОС </w:t>
        <w:br/>
        <w:t>и организаций (объектов), координации совместных действий ЭОС и организаций, оперативного управления силами и средствами соответствующего звена территориальной подсистемы РСЧС, оповещения руководящего состава муниципального звена и населения об угрозе возникновения или возникновении ЧС (происшествий).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Общее руководство ЕДДС муниципального образования осуществляет руководитель органа местного самоуправления, непосредственное - руководитель ЕДДС муниципального образования.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Основные задачи ЕДДС: 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прием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анализ и оценка достоверности поступившей информации, доведение ее до ДДС, </w:t>
        <w:br/>
        <w:t>в компетенцию которых входит реагирование на принятое сообщение;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сбор от ДДС, служб контроля и наблюдения за окружающей средой </w:t>
        <w:br/>
        <w:t>и распространение между ДДС города полученной информации об угрозе или факте возникновения ЧС (происшествий), сложившейся обстановке и действиях сил и средств по ликвидации ЧС;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обработка и анализ данных о ЧС, определение ее масштаба и уточнение состава ДДС, привлекаемых для реагирования на ЧС, их оповещение о переводе в высшие режимы функционирования;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обобщение, оценка и контроль данных обстановки, принятых мер по ликвидации чрезвычайной ситуации, подготовка и коррекция заранее разработанных и согласованных </w:t>
        <w:br/>
        <w:t>с городскими службами вариантов управленческих решений по ликвидации ЧС, принятие необходимых решений (в пределах, установленных вышестоящими органами полномочий);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информирование ДДС, привлекаемых к ликвидации ЧС, подчиненных сил постоянной готовности об обстановке, принятых и рекомендуемых мерах;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представление докладов (донесений) об угрозе или возникновении ЧС, сложившейся обстановке, возможных вариантах решений и действиях по ликвидации ЧС (на основе ранее подготовленных и согласованных планов) вышестоящим органам управления по подчиненности;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доведение задач, поставленных вышестоящими органами РСЧС, до ДДС </w:t>
        <w:br/>
        <w:t>и подчиненных сил постоянной готовности, контроль их выполнения и организация взаимодействия;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обобщение информации о произошедших ЧС (за сутки дежурства), ходе работ </w:t>
        <w:br/>
        <w:t>по их ликвидации и представление соответствующих докладов по подчиненности.</w:t>
      </w:r>
    </w:p>
    <w:p>
      <w:pPr>
        <w:pStyle w:val="Normal"/>
        <w:tabs>
          <w:tab w:val="clear" w:pos="708"/>
          <w:tab w:val="left" w:pos="284" w:leader="none"/>
          <w:tab w:val="left" w:pos="851" w:leader="none"/>
          <w:tab w:val="left" w:pos="1134" w:leader="none"/>
        </w:tabs>
        <w:spacing w:before="0" w:after="0"/>
        <w:ind w:firstLine="709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ind w:firstLine="709" w:start="709"/>
        <w:outlineLvl w:val="1"/>
        <w:rPr>
          <w:b/>
          <w:bCs/>
          <w:szCs w:val="24"/>
        </w:rPr>
      </w:pPr>
      <w:bookmarkStart w:id="36" w:name="_Toc1128673"/>
      <w:r>
        <w:rPr>
          <w:b/>
          <w:bCs/>
          <w:szCs w:val="24"/>
        </w:rPr>
        <w:t xml:space="preserve">2.3. Центр обработки вызовов </w:t>
      </w:r>
      <w:bookmarkEnd w:id="36"/>
      <w:r>
        <w:rPr>
          <w:b/>
          <w:bCs/>
          <w:szCs w:val="24"/>
        </w:rPr>
        <w:t>административного центра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 xml:space="preserve">ЦОВ-АЦ создан на базе центра обработки вызовов Забайкальского края и предназначен для централизованного приема и обработки вызовов от населения, проживающего </w:t>
        <w:br/>
        <w:t xml:space="preserve">в Забайкальском крае, а также для взаимодействия с ЕДДС, ДДС, взаимодействия </w:t>
        <w:br/>
        <w:t>с региональным ЦУКС МЧС России (в рамках Системы-112).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ЦОВ-АЦ функционирует в круглосуточном режиме.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Оборудование ЦОВ-АЦ включает: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автоматизированные рабочие места операторов дежурной смены;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активное оборудование локальной вычислительной сети;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серверное оборудование;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системы хранения данных;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структурированную кабельную сеть;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средства связи;</w:t>
      </w:r>
    </w:p>
    <w:p>
      <w:pPr>
        <w:pStyle w:val="basictext1"/>
        <w:numPr>
          <w:ilvl w:val="0"/>
          <w:numId w:val="28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источники гарантированного электропитания.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На ЦОВ-АЦ возложены следующие основные задачи:</w:t>
      </w:r>
    </w:p>
    <w:p>
      <w:pPr>
        <w:pStyle w:val="basictext1"/>
        <w:numPr>
          <w:ilvl w:val="0"/>
          <w:numId w:val="29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прием, регистрация, документирование вызовов (сообщений), переадресация вызовов, поступивших по номеру «112»;</w:t>
      </w:r>
    </w:p>
    <w:p>
      <w:pPr>
        <w:pStyle w:val="basictext1"/>
        <w:numPr>
          <w:ilvl w:val="0"/>
          <w:numId w:val="29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автоматизированное восстановление соединения с пользовательским (оконечным) оборудованием лица, обратившегося по номеру «112», в случае внезапного прерывания соединения;</w:t>
      </w:r>
    </w:p>
    <w:p>
      <w:pPr>
        <w:pStyle w:val="basictext1"/>
        <w:numPr>
          <w:ilvl w:val="0"/>
          <w:numId w:val="29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обеспечение консультативной поддержки населению при обращении по вопросам обеспечения безопасности жизнедеятельности;</w:t>
      </w:r>
    </w:p>
    <w:p>
      <w:pPr>
        <w:pStyle w:val="basictext1"/>
        <w:numPr>
          <w:ilvl w:val="0"/>
          <w:numId w:val="29"/>
        </w:numPr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при необходимости подключение к разговору с абонентом психолога или переводчика.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ind w:firstLine="709" w:start="567"/>
        <w:rPr>
          <w:szCs w:val="24"/>
        </w:rPr>
      </w:pPr>
      <w:r>
        <w:rPr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ind w:firstLine="709" w:start="709"/>
        <w:outlineLvl w:val="1"/>
        <w:rPr>
          <w:b/>
          <w:bCs/>
          <w:szCs w:val="24"/>
        </w:rPr>
      </w:pPr>
      <w:r>
        <w:rPr>
          <w:b/>
          <w:bCs/>
          <w:szCs w:val="24"/>
        </w:rPr>
        <w:t>2.4. Резервный центр обработки вызовов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/>
      </w:pPr>
      <w:r>
        <w:rPr/>
        <w:t xml:space="preserve">РЦОВ является интегрирующим объектом Системы-112  субъекта, и участвует совместно с ЦОВ-АЦ в осуществлении централизованного управления, обеспечении информационной безопасности, ведении баз данных, формировании статистических отчётов, регистрации действий персонала, обобщении, оценке и контроле данных об оперативной обстановке, анализе поступающей информации обо всех происшествиях, обеспечении консультативной и психологической поддержки в рамках Системы-112  субъекта. 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/>
      </w:pPr>
      <w:r>
        <w:rPr/>
        <w:t>Резервный центр обработки вызовов РЦОВ создан на территории Забайкальского края с целью резервирования ЦОВ-АЦ. РЦОВ обеспечивает выполнение всех функций ЦОВ-АЦ в полном объеме в случае выхода ЦОВ-АЦ из строя (в том числе прием и обработку вызовов от населения Забайкальского края, и передачу на реагирование в соответствующие ДДС ЭОС и/или ЕДДС, взаимодействие с региональным ЦУКС МЧС России, навигационно-информационным центром системы экстренного реагирования при авариях ЭРА-ГЛОНАСС).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/>
      </w:pPr>
      <w:r>
        <w:rPr/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2.5. Центр обработки вызовов единой дежурно-диспетчерской службы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ЕДДС созданы на базе существующих ЕДДС муниципальных районов Забайкальского края, предназначены для приема и обработки вызовов от населения, проживающего в зоне обслуживания ЕДДС, а также для взаимодействия с ЦОВ-АЦ, РЦОВ, ДДС (в рамках Системы-112).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ЕДДС функционирует в круглосуточном режиме.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Оборудование ЕДДС включает: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автоматизированные рабочие места операторов дежурной смены;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активное оборудование локальной вычислительной сети;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структурированную кабельную сеть;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комплект оргтехники;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средства связи;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источники гарантированного электропитания.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Должны быть приняты необходимые организационные и технические решения для обеспечения резервированной работоспособности ЕДДС в минимальном функционале автоматизированного приема и обработки вызовов и взаимодействия с ДДС в случае потери доступа к ЦОВ-АЦ, РЦОВ.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Минимальный состав дежурной смены – 2 оператора.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7" w:name="_Toc1128674"/>
      <w:r>
        <w:rPr>
          <w:rFonts w:cs="Times New Roman" w:ascii="Times New Roman" w:hAnsi="Times New Roman"/>
          <w:b/>
          <w:bCs/>
          <w:sz w:val="24"/>
          <w:szCs w:val="24"/>
        </w:rPr>
        <w:t>2.6. Служба пожарной охраны</w:t>
      </w:r>
      <w:bookmarkEnd w:id="37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ДДС пожарной охраны является подразделением территориальной службы пожарной охраны, располагается, в одной из частей гарнизона пожарной охраны, в оперативном отношении подчиняется оперативному дежурному и начальнику гарнизона.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 ДДС пожарной охраны возложены следующие основные задачи: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принимать сообщения о вызовах подразделений пожарной охраны по телефонным линиям связи с номером «01»;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направлять к месту вызова силы и средства подразделений пожарной охраны в соответствии с расписанием выезда (планом привлечения сил и средств),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обеспечивать в установленном порядке передислокацию дежурных смен, пожарных и аварийно-спасательных расчетов подразделений;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обобщать сведения о наличии сил и средств в подразделениях;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проверять наличие связи с подразделениями и службами жизнеобеспечения;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информировать должностных лиц об изменениях оперативной обстановки, выезде подразделений;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знать оперативную обстановку в районе (подрайоне) выезда подразделения, перечень объектов, на которые составлены планы и карточки тушения пожаров и при пожаре высылаются силы и средства подразделения по повышенному номеру (рангу) пожара, места расположения важных, взрывопожароопасных объектов, противопожарное водоснабжение, безводные участки, проезды, тактико-технические характеристики пожарной и аварийно-спасательной техники, пожарного инструмента и аварийно-спасательного оборудования, имеющегося на вооружении подразделения;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обеспечивать подразделения информацией об оперативно-тактических особенностях объекта, уровне загазованности, радиационной обстановке на месте вызова;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 необходимости в установленном порядке организовывать (обеспечивать) оповещение и сбор личного состава органов управления и подразделений к месту вызова.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Для мониторинга транспортных средств службы пожарной охраны используется сопряжение Системы-112 с МНИС ГЛОНАСС.</w:t>
      </w:r>
    </w:p>
    <w:p>
      <w:pPr>
        <w:pStyle w:val="Normal"/>
        <w:keepNext w:val="true"/>
        <w:numPr>
          <w:ilvl w:val="0"/>
          <w:numId w:val="0"/>
        </w:numPr>
        <w:ind w:firstLine="709" w:start="0"/>
        <w:outlineLvl w:val="1"/>
        <w:rPr>
          <w:b/>
          <w:bCs/>
          <w:szCs w:val="24"/>
        </w:rPr>
      </w:pPr>
      <w:bookmarkStart w:id="38" w:name="_Toc1128675"/>
      <w:r>
        <w:rPr>
          <w:b/>
          <w:bCs/>
          <w:szCs w:val="24"/>
        </w:rPr>
        <w:t>2.7. Служба полиции</w:t>
      </w:r>
      <w:bookmarkEnd w:id="38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ДДС полиции является территориальным подразделением МВД России, располагается, в помещении районного органа внутренних дел, подчиняется начальнику органа внутренних дел, непосредственно подчинена начальнику дежурной части органа внутренних дел.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 ДДС полиции возлагаются следующие основные задачи: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принимать и регистрировать (в том числе в электронной форме) заявления и сообщения о преступлениях, об административных правонарушениях, о происшествиях; 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передавать (направлять) заявления и сообщения о преступлениях, об административных правонарушениях, о происшествиях в государственные и муниципальные органы, организации или должностному лицу, к компетенции которых относится решение соответствующих вопросов, с уведомлением об этом в течение 24 часов заявителя; 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информировать соответствующие государственные и муниципальные органы, организации и должностных лиц этих органов и организаций о ставших известными полиции фактах, требующих их оперативного реагирования;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организовывать незамедлительное прибытие должностных лиц на место совершения преступления, административного правонарушения, место происшествия для пресечения противоправных деяний, устранения угроз безопасности граждан и общественной безопасности, документирования обстоятельства совершения преступления, административного правонарушения, обстоятельства происшествия, обеспечения сохранности следов преступления, административного правонарушения, происшествия;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организовывать оказание первой помощи лицам, пострадавшим от преступлений, административных правонарушений и несчастных случаев, а также лицам, находящимся в беспомощном состоянии либо в состоянии, опасном для их жизни и здоровья, если специализированная помощь не может быть получена ими своевременно или отсутствует;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принимать при чрезвычайных ситуациях неотложные меры по спасению граждан, охране имущества, оставшегося без присмотра, содействовать в этих условиях бесперебойной работе спасательных служб; обеспечивать общественный порядок при проведении карантинных мероприятий во время эпидемий и эпизоотий;</w:t>
      </w:r>
    </w:p>
    <w:p>
      <w:pPr>
        <w:pStyle w:val="Normal"/>
        <w:numPr>
          <w:ilvl w:val="0"/>
          <w:numId w:val="24"/>
        </w:numPr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участвовать в мероприятиях по противодействию терроризму и в обеспечении правового режима контртеррористической операции, а также в обеспечении защиты потенциальных объектов террористических посягательств и мест массового пребывания граждан, в проведении экспертной оценки состояния антитеррористической защищенности и безопасности объектов.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Сопряжение Системы-112 с АРМ Службы полиции реализовано посредством информационного взаимодействия (сопряжения) с СОДЧ ИСОД МВД России.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567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9" w:name="_Toc1128676"/>
      <w:r>
        <w:rPr>
          <w:rFonts w:cs="Times New Roman" w:ascii="Times New Roman" w:hAnsi="Times New Roman"/>
          <w:b/>
          <w:bCs/>
          <w:sz w:val="24"/>
          <w:szCs w:val="24"/>
        </w:rPr>
        <w:t>2.8. Служба скорой медицинской помощи</w:t>
      </w:r>
      <w:bookmarkEnd w:id="39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ДДС скорой медицинской помощи является подразделением территориального уровня Министерства здравоохранения Российской Федерации, располагается, на территории обслуживаемого муниципального образования, непосредственно подчиняется начальнику станции скорой помощи, подчинена руководителю ЕДДС муниципального образования.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 ДДС скорой медицинской помощи возлагаются следующие основные задачи: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режиме повседневной работы - организация и оказание скорой медицинской помощи заболевшим и пострадавшим на месте происшествия и во время их транспортировки в стационары.</w:t>
      </w:r>
    </w:p>
    <w:p>
      <w:pPr>
        <w:pStyle w:val="Normal"/>
        <w:numPr>
          <w:ilvl w:val="0"/>
          <w:numId w:val="24"/>
        </w:numPr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режиме чрезвычайной ситуации - по указанию окружного Территориального центра медицины катастроф направляет в зону чрезвычайной ситуации выездные бригады скорой медицинской помощи согласно плану работы по ликвидации медико-санитарных последствий чрезвычайный ситуаций.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Сопряжение Системы-112 с АРМ Службы скорой медицинской помощи реализовано посредством информационного взаимодействия (сопряжения) с системой «КИС-ССМП».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0" w:name="_Toc1128677"/>
      <w:r>
        <w:rPr>
          <w:rFonts w:cs="Times New Roman" w:ascii="Times New Roman" w:hAnsi="Times New Roman"/>
          <w:b/>
          <w:bCs/>
          <w:sz w:val="24"/>
          <w:szCs w:val="24"/>
        </w:rPr>
        <w:t>2.9. Аварийная служба газовой сети</w:t>
      </w:r>
      <w:bookmarkEnd w:id="40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ДДС аварийной службы газовой сети является территориальным подразделением эксплуатационного управления Забайкальского края, располагается, на территории обслуживаемого муниципального образования, подчиняется начальнику управления, непосредственно подчинена начальнику дежурной службы.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 ДДС газовой сети возложены следующие основные задачи: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прием заявок от граждан о возникновении аварийной ситуации на газовом оборудовании, газопроводах;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оперативное реагирование на заявки для локализации и ликвидации аварий, повреждений, неисправностей газового оборудования и газопроводов.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567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276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1" w:name="_Toc1128678"/>
      <w:r>
        <w:rPr>
          <w:rFonts w:cs="Times New Roman" w:ascii="Times New Roman" w:hAnsi="Times New Roman"/>
          <w:b/>
          <w:bCs/>
          <w:sz w:val="24"/>
          <w:szCs w:val="24"/>
        </w:rPr>
        <w:t>2.10. Служба «Антитеррор»</w:t>
      </w:r>
      <w:bookmarkEnd w:id="41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ДДС службы «Антитеррор» является подразделением антитеррористической комиссии Забайкальского края.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 ДДС службы «Антитеррор» возложены следующие основные задачи:</w:t>
      </w:r>
    </w:p>
    <w:p>
      <w:pPr>
        <w:pStyle w:val="Normal"/>
        <w:numPr>
          <w:ilvl w:val="0"/>
          <w:numId w:val="3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прием заявок от граждан о фактах подготовки или проведения террористических актов;</w:t>
      </w:r>
    </w:p>
    <w:p>
      <w:pPr>
        <w:pStyle w:val="Normal"/>
        <w:numPr>
          <w:ilvl w:val="0"/>
          <w:numId w:val="3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оперативное реагирование на заявки, координация действий ЭОС.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567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Normal"/>
        <w:keepNext w:val="true"/>
        <w:numPr>
          <w:ilvl w:val="0"/>
          <w:numId w:val="0"/>
        </w:numPr>
        <w:ind w:firstLine="709" w:start="0"/>
        <w:outlineLvl w:val="1"/>
        <w:rPr>
          <w:b/>
          <w:bCs/>
          <w:szCs w:val="24"/>
        </w:rPr>
      </w:pPr>
      <w:r>
        <w:rPr>
          <w:b/>
          <w:bCs/>
          <w:szCs w:val="24"/>
        </w:rPr>
        <w:t>2.11. Региональный Центр управления в кризисных ситуациях МЧС России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Региональный ЦУКС МЧС России является органом повседневного управления РСЧС и предназначен для обеспечения реализации функций территориальных органов МЧС России по управлению и координации деятельности сил и средств РСЧС на территории Забайкальского края.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Основные задачи регионального ЦУКС МЧС России: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сбор, обработка и представление органам управления РСЧС оперативной информации о ЧС, организация мониторинга и прогнозирования ЧС, а также учет сил и средств, ресурсов, задействованных для ликвидации ЧС;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оперативное управление действиями подразделений при выполнении мероприятий по экстренному предупреждению и ликвидации ЧС;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координация деятельности органов повседневного управления РСЧС при угрозе возникновения ЧС;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обеспечение управления силами и средствами, предназначенными для предупреждения и ликвидации чрезвычайных ситуаций на территории Забайкальского края;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сбор, обработка, обмен и выдача информации в области защиты населения и территорий от чрезвычайных ситуаций;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осуществление своевременного оповещения и информирования населения о чрезвычайных ситуациях в местах массового пребывания людей, а также об опасностях, возникающих при ведении военных действий или вследствие этих действий на территории Забайкальского края;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обеспечение управления силами и средствами, предназначенными и выделяемыми для борьбы с пожарами, возникшими при ведении военных действий или вследствие этих действий на территории Забайкальского края;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осуществление функций пункта управления Главного управления МЧС России Забайкальского края;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организация повседневного управления деятельностью единых дежурно-диспетчерских служб муниципальных районов и городских округов области и взаимодействия с дежурно-диспетчерскими службами органов исполнительной власти Забайкальского края, территориальных органов федеральных органов исполнительной власти, учреждений и организаций области;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 xml:space="preserve">реализация государственной политики в области защиты населения и территорий от чрезвычайных ситуаций, обеспечения пожарной безопасности и безопасности людей на водных объектах на территории Забайкальского края в пределах установленных полномочий; 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осуществление контроля наличия и готовности сил и средств оперативного реагирования Главного управления, его подчиненных органов управления;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 xml:space="preserve">сбор, обработка и представление вышестоящим, взаимодействующим и нижестоящим органам управления РСЧС оперативной информации о чрезвычайных ситуациях, прогнозной информации о тенденциях их развития и последствиях, задействованных силах, средствах </w:t>
        <w:br/>
        <w:t>и ресурсах;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оперативное управление, в пределах предоставленных полномочий, действиями подчинённых подразделений при выполнении мероприятий по предупреждению и ликвидации ЧС;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обеспечение оповещения и информирование населения о прогнозируемых и возникших ЧС мирного и военного времени, пожарах, мерах по обеспечению безопасности населения и территорий, приемах и способах защиты;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координация деятельности взаимодействующих ведомственных дежурно-диспетчерских служб при угрозе или возникновении ЧС;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информационное обеспечение работы координационных и постоянно действующих органов управления РСЧС области;</w:t>
      </w:r>
    </w:p>
    <w:p>
      <w:pPr>
        <w:pStyle w:val="basictext1"/>
        <w:numPr>
          <w:ilvl w:val="0"/>
          <w:numId w:val="25"/>
        </w:numPr>
        <w:tabs>
          <w:tab w:val="clear" w:pos="708"/>
          <w:tab w:val="left" w:pos="1276" w:leader="none"/>
        </w:tabs>
        <w:spacing w:lineRule="auto" w:line="240" w:before="0" w:after="0"/>
        <w:ind w:firstLine="709" w:start="0"/>
        <w:rPr>
          <w:szCs w:val="24"/>
        </w:rPr>
      </w:pPr>
      <w:r>
        <w:rPr>
          <w:szCs w:val="24"/>
        </w:rPr>
        <w:t>осуществление мероприятий по информированию населения о возникших и прогнозируемых чрезвычайных ситуациях, и пожарах, и по пропаганде безопасности жизнедеятельности.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  <w:t>Региональный ЦУКС МЧС России интегрирован в Систему-112 путём установки в нем АРМ Системы-112.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rPr>
          <w:szCs w:val="24"/>
        </w:rPr>
      </w:pPr>
      <w:r>
        <w:rPr>
          <w:szCs w:val="24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2" w:name="_Toc1128680"/>
      <w:r>
        <w:rPr>
          <w:rFonts w:cs="Times New Roman" w:ascii="Times New Roman" w:hAnsi="Times New Roman"/>
          <w:b/>
          <w:bCs/>
          <w:sz w:val="24"/>
          <w:szCs w:val="24"/>
        </w:rPr>
        <w:t>2.12. Общие сведения об автоматизируемых процессах</w:t>
      </w:r>
      <w:bookmarkEnd w:id="42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Прием и обработка вызовов (сообщений о происшествиях) в системе-112 включает:</w:t>
      </w:r>
    </w:p>
    <w:p>
      <w:pPr>
        <w:pStyle w:val="Normal"/>
        <w:numPr>
          <w:ilvl w:val="0"/>
          <w:numId w:val="31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Normal"/>
        <w:numPr>
          <w:ilvl w:val="0"/>
          <w:numId w:val="31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</w:t>
        <w:br/>
        <w:t>об оперативной обстановке, о принятых и реализуемых мерах;</w:t>
      </w:r>
    </w:p>
    <w:p>
      <w:pPr>
        <w:pStyle w:val="Normal"/>
        <w:numPr>
          <w:ilvl w:val="0"/>
          <w:numId w:val="31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размещение в информационной системе данных о ходе и об окончании мероприятий по экстренному реагированию на принятый вызов (сообщение о происшествии).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Приём вызовов (сообщений о происшествиях) осуществляется операторами ЦОВ-АЦ, РЦОВ и ЕДДС по признаку территориальной принадлежности к их зоне ответственности. Все обращения в систему-112 регистрируются и, при необходимости, направляются дежурным диспетчерам соответствующих ДДС.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Взаимодействие операторов ЦОВ-АЦ, РЦОВ и ЕДДС с диспетчерами ДДС производится согласно регламенту информационного обмена и включает значительный объем как голосовой, так и текстовой информации.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Диспетчеры ДДС при получении сообщений о происшествии выполняют меры по реагированию в соответствии с внутренними инструкциями и вводят в информационную систему (Систему-112) уточненные данные по происшествию и информацию по реагированию на него.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общем виде процесс обработки вызова экстренных оперативных служб по единому номеру «112» включает в себя следующие технологические операции:</w:t>
      </w:r>
    </w:p>
    <w:p>
      <w:pPr>
        <w:pStyle w:val="Normal"/>
        <w:numPr>
          <w:ilvl w:val="0"/>
          <w:numId w:val="32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Normal"/>
        <w:numPr>
          <w:ilvl w:val="0"/>
          <w:numId w:val="32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передача оператором унифицированной карточки информационного обмена в Системе-112 в задействуемые ДДС, по необходимости подключение диспетчеров к разговору или переадресация вызова;</w:t>
      </w:r>
    </w:p>
    <w:p>
      <w:pPr>
        <w:pStyle w:val="Normal"/>
        <w:numPr>
          <w:ilvl w:val="0"/>
          <w:numId w:val="32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происшествие;</w:t>
      </w:r>
    </w:p>
    <w:p>
      <w:pPr>
        <w:pStyle w:val="Normal"/>
        <w:numPr>
          <w:ilvl w:val="0"/>
          <w:numId w:val="32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направление сил и средств ДДС диспетчером на место происшествия для уточнения полученной информации, оказания помощи и ликвидации происшествия;</w:t>
      </w:r>
    </w:p>
    <w:p>
      <w:pPr>
        <w:pStyle w:val="Normal"/>
        <w:numPr>
          <w:ilvl w:val="0"/>
          <w:numId w:val="32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оказание помощи и ликвидация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оператором.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Оператор, принимающий вызов, в программе регистрирует сведения о вызове и о происшествии. Для получения необходимых сведений оператор задает уточняющие вопросы.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с адресными данными геоинформационной системы.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Указанные решения оператор принимает самостоятельно на основании инструкций или рекомендаций соответствующего диспетчера.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После принятия диспетчером решения о направлении к заявителю (на место происшествия) сил и средств соответствующей ДДС для экстренной оперативной помощи диспетчер или оператор сообщают об этом заявителю, выдают ему рекомендации о необходимых действиях до прибытия помощи и завершают телефонный вызов для обеспечения готовности к принятию следующего вызова.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На всех последующих этапах обслуживания вызова происходит отслеживание изменения обстановки и статуса реагирования на чрезвычайную ситуацию. Закрытие унифицированной карточки информационного обмена в системе-112 происходит после завершения реагирования всех привлеченных по данному происшествию ДДС.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tabs>
          <w:tab w:val="clear" w:pos="708"/>
          <w:tab w:val="left" w:pos="284" w:leader="none"/>
          <w:tab w:val="left" w:pos="1276" w:leader="none"/>
        </w:tabs>
        <w:ind w:firstLine="709" w:start="567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2.13. Целевые показатели функционирования системы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/>
      </w:pPr>
      <w:r>
        <w:rPr/>
        <w:t>Система-112 функционирует в режиме 24/7/365 (24 часа в сутки, 7 дней в неделю, круглый год) и находится в постоянной готовности к обеспечению экстренного реагирования на вызовы от населения и сообщения о происшествиях, возникающих на территориях муниципальных образований и Забайкальского края в целом.</w:t>
      </w:r>
    </w:p>
    <w:p>
      <w:pPr>
        <w:pStyle w:val="Style61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b/>
          <w:bCs/>
          <w:caps/>
        </w:rPr>
      </w:pPr>
      <w:r>
        <w:rPr>
          <w:b/>
          <w:bCs/>
          <w:caps/>
        </w:rPr>
      </w:r>
      <w:bookmarkStart w:id="43" w:name="_Toc1128681"/>
      <w:bookmarkStart w:id="44" w:name="_Toc1128681"/>
      <w:bookmarkEnd w:id="44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1276" w:leader="none"/>
        </w:tabs>
        <w:ind w:firstLine="709" w:start="567"/>
        <w:outlineLvl w:val="1"/>
        <w:rPr>
          <w:b/>
          <w:bCs/>
          <w:szCs w:val="24"/>
        </w:rPr>
      </w:pPr>
      <w:r>
        <w:rPr>
          <w:b/>
          <w:bCs/>
          <w:szCs w:val="24"/>
        </w:rPr>
        <w:t xml:space="preserve">3. </w:t>
      </w:r>
      <w:bookmarkStart w:id="45" w:name="_Toc1128682"/>
      <w:r>
        <w:rPr>
          <w:b/>
          <w:bCs/>
          <w:szCs w:val="24"/>
        </w:rPr>
        <w:t>Требования к Услуге в целом</w:t>
      </w:r>
      <w:bookmarkEnd w:id="45"/>
    </w:p>
    <w:p>
      <w:pPr>
        <w:pStyle w:val="Normal"/>
        <w:ind w:firstLine="709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6" w:name="_Toc1128683"/>
      <w:r>
        <w:rPr>
          <w:rFonts w:cs="Times New Roman" w:ascii="Times New Roman" w:hAnsi="Times New Roman"/>
          <w:b/>
          <w:bCs/>
          <w:sz w:val="24"/>
          <w:szCs w:val="24"/>
        </w:rPr>
        <w:t>3.1. Требования к структуре и функционированию услуги</w:t>
      </w:r>
      <w:bookmarkEnd w:id="46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Услуга предназначена для обеспечения функционирования информационного взаимодействия Центров обработки вызовов ЕДДС, центра обработки вызова административного центра, резервного центра обработки вызовов и единых дежурно-диспетчерских служб муниципальных образований Забайкальского края, а также ЭОС.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Исполнитель обязуется соблюдать полную конфиденциальность любой информации и документации, ставшей известной и/или полученной в процессе предоставления услуг (работ), осуществляемых им в рамках договора на предоставление услуги.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 использованием услуги в интересах Забайкальского края должно быть обеспечено выполнение функций Системы-112 в соответствии с Техническим проектом построения Системы-112 в Забайкальского края, в том числе: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прием и обработка вызовов </w:t>
      </w:r>
      <w:r>
        <w:rPr>
          <w:szCs w:val="24"/>
        </w:rPr>
        <w:t>и коротких текстовых сообщений (SMS)</w:t>
      </w:r>
      <w:r>
        <w:rPr>
          <w:rFonts w:eastAsia="Calibri"/>
          <w:szCs w:val="24"/>
          <w:lang w:eastAsia="en-US"/>
        </w:rPr>
        <w:t>, поступающих на единый номер «112» от населения через операторов связи, расположенных на территории Забайкальского края;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передача в дежурно-диспетчерские службы экстренных оперативных служб сообщений о вызовах с возможностью подключения их диспетчеров к разговорам с позвонившим лицом;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координацию действий ДДС при реагировании на вызовы;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прохождение всех вызовов через УОЭВОС в соответствии с Приказом Минкомсвязи России «Об утверждении правил применения оборудования узлов обслуживания вызовов экстренных оперативных служб» № 346 от 15.09.2015;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интеграция и информационное взаимодействие с системой «ЭРА-ГЛОНАСС» (при отсутствии);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интеграция и информационное взаимодействие с системой «КИС-ССМП» (при отсутствии);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bookmarkStart w:id="47" w:name="_Hlk179827746"/>
      <w:r>
        <w:rPr>
          <w:rFonts w:eastAsia="Calibri"/>
          <w:szCs w:val="24"/>
          <w:lang w:eastAsia="en-US"/>
        </w:rPr>
        <w:t xml:space="preserve">интеграция и информационное взаимодействие с </w:t>
      </w:r>
      <w:bookmarkEnd w:id="47"/>
      <w:r>
        <w:rPr>
          <w:rFonts w:eastAsia="Calibri"/>
          <w:szCs w:val="24"/>
          <w:lang w:eastAsia="en-US"/>
        </w:rPr>
        <w:t>«СОДЧ ИСОД МВД РФ» (при отсутствии);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интеграция и информационное взаимодействие с «МНИС ГЛОНАСС» (при отсутствии);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интеграция и информационное взаимодействие с «ГИС ЦССИ-112» (при отсутствии)</w:t>
      </w:r>
    </w:p>
    <w:p>
      <w:pPr>
        <w:pStyle w:val="Normal"/>
        <w:numPr>
          <w:ilvl w:val="0"/>
          <w:numId w:val="34"/>
        </w:numPr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интеграция и информационное взаимодействие с операторами связи в рамках передачи координат и персональных данных: </w:t>
      </w:r>
      <w:r>
        <w:rPr>
          <w:szCs w:val="24"/>
        </w:rPr>
        <w:t>ПАО «Мобильные телесистемы»</w:t>
      </w:r>
      <w:r>
        <w:rPr>
          <w:rFonts w:eastAsia="Calibri"/>
          <w:szCs w:val="24"/>
          <w:lang w:eastAsia="en-US"/>
        </w:rPr>
        <w:t>, ПАО «Вымпелком», ПАО «Мегафон», ПАО «Ростелеком».</w:t>
      </w:r>
    </w:p>
    <w:p>
      <w:pPr>
        <w:pStyle w:val="Normal"/>
        <w:numPr>
          <w:ilvl w:val="0"/>
          <w:numId w:val="33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709" w:start="0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прохождения вызова в рамках межсубъектовой интеграции;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Под круглосуточной технической поддержкой СПО-112 Системы-112, установленного на АРМ ЦОВ-АЦ, РЦОВ, ЕДДС, ДДС подразумевается организация Исполнителем службы технической поддержки с порядком обращений, описанном в п. 4 настоящего Технического задания.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Услуга предоставления телекоммуникационной инфраструктуры предназначена для обеспечения прохождения вызовов, включая телефонные вызовы, короткие текстовые сообщения (SMS), от пользователей (абонентов) сетей фиксированной или подвижной связи в Систему-112, взаимодействия объектов в рамках Системы-112 в соответствии с требованиями и функционалом, предусмотренными Техническим проектом системы 112. </w:t>
      </w:r>
    </w:p>
    <w:p>
      <w:pPr>
        <w:pStyle w:val="Normal"/>
        <w:numPr>
          <w:ilvl w:val="0"/>
          <w:numId w:val="35"/>
        </w:numPr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рамках оказания данной услуги Заказчик Исполнителю должен предоставить круглосуточный доступ к порту на сетевом оборудовании на объектах согласно Приложению А к настоящему Техническому заданию;</w:t>
      </w:r>
    </w:p>
    <w:p>
      <w:pPr>
        <w:pStyle w:val="Normal"/>
        <w:numPr>
          <w:ilvl w:val="0"/>
          <w:numId w:val="35"/>
        </w:numPr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Перечень используемого оборудования (Приложение В, Г);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рамках данной услуги Исполнитель должен: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обеспечить сопряжение с системой ЭРА-ГЛОНАСС, в том числе автоматизированный ситуационных карточек с данными и голосовой информации системы ЭРА-ГЛОНАСС (при существующей интеграции-поддерживать сопряжение);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обеспечить сопряжение с системой АИС 03 (КИС-ССМП), в том числе автоматизированный ситуационных карточек с данными и голосовой информации системы АИС 03 (КИС-ССМП) (при существующей интеграции-поддерживать сопряжение);;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обеспечить сопряжение с системой АИС 02 (СОДЧ ИСОД МВД РФ), в том числе автоматизированный ситуационных карточек с данными и голосовой информации системы АИС 02 (СОДЧ ИСОД МВД РФ) (при существующей интеграции-поддерживать сопряжение) 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обеспечить сопряжение с системой МНИС ГЛОНАСС (при существующей интеграции-поддерживать сопряжение);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обеспечить сопряжение с ГИС ЦССИ-112 (при существующей интеграции-поддерживать сопряжение);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обеспечить получение данных о местонахождении вызывающего абонентского устройства, а также иных данных от ТСМН, необходимых для обеспечения реагирования по вызову (технические условия для подключения к сервисам, предоставляющих информацию о местоположении вызывающего абонентского устройства, предоставляет Заказчик) (при действующей системе определения местонахождения-поддерживать систему в работоспособном состоянии);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обеспечить получение </w:t>
      </w:r>
      <w:r>
        <w:rPr>
          <w:rFonts w:eastAsia="Calibri"/>
          <w:lang w:eastAsia="en-US"/>
        </w:rPr>
        <w:t>коротких текстовых сообщений, адресованных на единый номер «112» от операторов связи, на абонентской станции которых зарегистрировано данное сообщение;</w:t>
      </w:r>
    </w:p>
    <w:p>
      <w:pPr>
        <w:pStyle w:val="Normal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lang w:eastAsia="en-US"/>
        </w:rPr>
        <w:t xml:space="preserve">обеспечение поддержки установленного программного обеспечения ЦОВ, РЦОВ, ЦУКС, ЕДДС, ДДС ЭОС; 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обеспечить доступ с АРМ диспетчерского персонала Заказчика Системы-112 через выделенную сеть к СПО-112. 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обеспечить межсубъектовое сопряжение с соседними субъектами (Республика Бурятия, Иркутская область, Амурская область, Республика Саха (Якутия)</w:t>
      </w:r>
      <w:r>
        <w:rPr>
          <w:rFonts w:eastAsia="Calibri"/>
          <w:szCs w:val="24"/>
          <w:lang w:eastAsia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(при наличии технической возможности, соглашения);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по заявке Заказчика загружать в систему отредактированные карты (нанесение название улиц, нумерации домов и административных центров районов Забайкальского края через ресурс openstreetmap.org).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управлять обновлениями СПО-112в соответствии с пп. 1.8.1.1 настоящего ТЗ.</w:t>
      </w:r>
    </w:p>
    <w:p>
      <w:pPr>
        <w:pStyle w:val="ListParagraph"/>
        <w:numPr>
          <w:ilvl w:val="0"/>
          <w:numId w:val="35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Оказывать техническое сопровождение ПО, оборудования согласно Приложениям Б, В, Г.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Исполнитель обеспечивает предоставление телекоммуникационной инфраструктуры для функционирования Системы-112 Забайкальского края: </w:t>
      </w:r>
    </w:p>
    <w:p>
      <w:pPr>
        <w:pStyle w:val="Normal"/>
        <w:numPr>
          <w:ilvl w:val="0"/>
          <w:numId w:val="36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предоставление выделенной сети передачи данных с использованием технологии IP/MPLS и обеспечение передачи данных по ней между объектами. Список объектов (ЦОВ-АЦ(ЦОД), РЦОВ, РЦОД, ЕДДС), участвующих в информационном обмене в рамках предоставления услуги, и с требованиями к скорости доступа для каждого из объектов, приведен в Приложении А к данному техническому заданию;</w:t>
      </w:r>
    </w:p>
    <w:p>
      <w:pPr>
        <w:pStyle w:val="Normal"/>
        <w:numPr>
          <w:ilvl w:val="0"/>
          <w:numId w:val="36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присоединение к местным телефонным сетям должно быть организовано по линиям связи с цифровым или аналоговым интерфейсом с использованием телекоммуникационного медиашлюза по линиям связи с цифровым интерфейсом E1 не менее чем по одному потоку или по IP-сети с применением протокола SIP. Должен быть реализован принцип автоматического перехода на использование аналоговых телефонных аппаратов для связи ЦОВ-АЦ, РЦОВ, ЕДДС, ДДС, ТФОП;</w:t>
      </w:r>
    </w:p>
    <w:p>
      <w:pPr>
        <w:pStyle w:val="Normal"/>
        <w:numPr>
          <w:ilvl w:val="0"/>
          <w:numId w:val="36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случае выхода из строя персонального компьютера АРМ оператора, должна быть обеспечена возможность приема вызовов с использованием SIP-телефона на рабочем месте оператора.</w:t>
      </w:r>
    </w:p>
    <w:p>
      <w:pPr>
        <w:pStyle w:val="ListParagraph"/>
        <w:widowControl/>
        <w:numPr>
          <w:ilvl w:val="0"/>
          <w:numId w:val="36"/>
        </w:numPr>
        <w:tabs>
          <w:tab w:val="clear" w:pos="708"/>
          <w:tab w:val="left" w:pos="1134" w:leader="none"/>
        </w:tabs>
        <w:ind w:firstLine="709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прием запросов по проблемам, сбоям от Исполнителя по телефону или/и </w:t>
      </w:r>
      <w:r>
        <w:rPr>
          <w:rFonts w:cs="Times New Roman" w:ascii="Times New Roman" w:hAnsi="Times New Roman"/>
          <w:sz w:val="24"/>
          <w:szCs w:val="24"/>
          <w:lang w:val="en-US"/>
        </w:rPr>
        <w:t>e</w:t>
      </w:r>
      <w:r>
        <w:rPr>
          <w:rFonts w:cs="Times New Roman" w:ascii="Times New Roman" w:hAnsi="Times New Roman"/>
          <w:sz w:val="24"/>
          <w:szCs w:val="24"/>
        </w:rPr>
        <w:t>-</w:t>
      </w:r>
      <w:r>
        <w:rPr>
          <w:rFonts w:cs="Times New Roman" w:ascii="Times New Roman" w:hAnsi="Times New Roman"/>
          <w:sz w:val="24"/>
          <w:szCs w:val="24"/>
          <w:lang w:val="en-US"/>
        </w:rPr>
        <w:t>mail</w:t>
      </w:r>
      <w:r>
        <w:rPr>
          <w:rFonts w:cs="Times New Roman" w:ascii="Times New Roman" w:hAnsi="Times New Roman"/>
          <w:sz w:val="24"/>
          <w:szCs w:val="24"/>
        </w:rPr>
        <w:t xml:space="preserve"> или через автоматизированную систему управления запросами (при наличии такой системы).</w:t>
      </w:r>
    </w:p>
    <w:p>
      <w:pPr>
        <w:pStyle w:val="Normal"/>
        <w:ind w:firstLine="709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>В ходе предоставления услуги должны быть предусмотрены расходы по переносу, переключению и настройке минимум трех абонентов из одного адреса на другой (при необходимости) согласно перечня адресов Приложения А (ЦОВ, РЦОВ, ЕДДС) (в</w:t>
      </w:r>
      <w:r>
        <w:rPr>
          <w:szCs w:val="24"/>
        </w:rPr>
        <w:t xml:space="preserve"> период эксплуатации возможны случаи смены адресов ЦОВ, РЦОВ, ЕДДС Системы – 112 Забайкальского края). При смене адреса - требования к организации каналов связи должны соответствовать Приложению 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/>
      </w:pPr>
      <w:r>
        <w:rPr>
          <w:rFonts w:eastAsia="Calibri"/>
          <w:szCs w:val="24"/>
          <w:lang w:eastAsia="en-US"/>
        </w:rPr>
        <w:t>Услуга должна предусматривать использование оборудования Заказчика, установленного в ЦОД, ЦОВ-АЦ, РЦОД, РЦОВ и ЕДДС.</w:t>
      </w:r>
    </w:p>
    <w:p>
      <w:pPr>
        <w:pStyle w:val="Normal"/>
        <w:ind w:firstLine="709" w:start="567"/>
        <w:rPr>
          <w:rFonts w:eastAsia="Calibri" w:eastAsiaTheme="minorHAnsi"/>
          <w:b/>
          <w:bCs/>
          <w:szCs w:val="24"/>
        </w:rPr>
      </w:pPr>
      <w:r>
        <w:rPr>
          <w:rFonts w:eastAsia="Calibri" w:eastAsiaTheme="minorHAnsi"/>
          <w:b/>
          <w:bCs/>
          <w:szCs w:val="24"/>
        </w:rPr>
      </w:r>
    </w:p>
    <w:p>
      <w:pPr>
        <w:pStyle w:val="Normal"/>
        <w:ind w:firstLine="709" w:start="567"/>
        <w:rPr>
          <w:rFonts w:eastAsia="Calibri" w:eastAsiaTheme="minorHAnsi"/>
          <w:b/>
          <w:bCs/>
          <w:szCs w:val="24"/>
        </w:rPr>
      </w:pPr>
      <w:r>
        <w:rPr>
          <w:rFonts w:eastAsia="Calibri" w:eastAsiaTheme="minorHAnsi"/>
          <w:b/>
          <w:bCs/>
          <w:szCs w:val="24"/>
        </w:rPr>
        <w:t>3.2. Требования по оказанию технического сопровождения ПОИБ Системы-112</w:t>
      </w:r>
    </w:p>
    <w:p>
      <w:pPr>
        <w:pStyle w:val="Normal"/>
        <w:ind w:firstLine="709" w:start="567"/>
        <w:rPr>
          <w:rFonts w:eastAsia="Calibri" w:eastAsiaTheme="minorHAnsi"/>
          <w:b/>
          <w:bCs/>
          <w:szCs w:val="24"/>
        </w:rPr>
      </w:pPr>
      <w:r>
        <w:rPr>
          <w:rFonts w:eastAsia="Calibri" w:eastAsiaTheme="minorHAnsi"/>
          <w:b/>
          <w:bCs/>
          <w:szCs w:val="24"/>
        </w:rPr>
      </w:r>
    </w:p>
    <w:p>
      <w:pPr>
        <w:pStyle w:val="ListParagraph"/>
        <w:tabs>
          <w:tab w:val="clear" w:pos="708"/>
          <w:tab w:val="left" w:pos="1134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ПОИБ Системы-112 включает в себя защищенную </w:t>
      </w:r>
      <w:r>
        <w:rPr>
          <w:rFonts w:cs="Times New Roman" w:ascii="Times New Roman" w:hAnsi="Times New Roman"/>
          <w:sz w:val="24"/>
          <w:szCs w:val="24"/>
          <w:lang w:val="en-US"/>
        </w:rPr>
        <w:t>ViPNet</w:t>
      </w:r>
      <w:r>
        <w:rPr>
          <w:rFonts w:cs="Times New Roman" w:ascii="Times New Roman" w:hAnsi="Times New Roman"/>
          <w:sz w:val="24"/>
          <w:szCs w:val="24"/>
        </w:rPr>
        <w:t>-сеть 11647, средства антивирусной защиты, средства защиты информации от несанкционированного доступа (в том числе встроенные в операционные системы) для защиты конечных устройств, систему централизованного сбора, анализа и корреляции событий информационной безопасности, средств обнаружения вторжений, средства защиты каналов связи, межсетевого экранирования, средства доверенной загрузки операционных систем, средства анализа защищенности. Наименования и количество средств защиты информации указаны в Приложении Б.</w:t>
      </w:r>
    </w:p>
    <w:p>
      <w:pPr>
        <w:pStyle w:val="ListParagraph"/>
        <w:tabs>
          <w:tab w:val="clear" w:pos="708"/>
          <w:tab w:val="left" w:pos="1134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Услуги по технической поддержке защищенной </w:t>
      </w:r>
      <w:r>
        <w:rPr>
          <w:rFonts w:cs="Times New Roman" w:ascii="Times New Roman" w:hAnsi="Times New Roman"/>
          <w:sz w:val="24"/>
          <w:szCs w:val="24"/>
          <w:lang w:val="en-US"/>
        </w:rPr>
        <w:t>ViPNet</w:t>
      </w:r>
      <w:r>
        <w:rPr>
          <w:rFonts w:cs="Times New Roman" w:ascii="Times New Roman" w:hAnsi="Times New Roman"/>
          <w:sz w:val="24"/>
          <w:szCs w:val="24"/>
        </w:rPr>
        <w:t>-сети 11647 включает в себя: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поставку сертификатов технической поддержки согласно Приложению Д. Сертификаты технической поддержки предоставляют Заказчику право на: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1) Восстановление работоспособности оборудования защищенной </w:t>
      </w:r>
      <w:r>
        <w:rPr>
          <w:rFonts w:cs="Times New Roman" w:ascii="Times New Roman" w:hAnsi="Times New Roman"/>
          <w:sz w:val="24"/>
          <w:szCs w:val="24"/>
          <w:lang w:val="en-US"/>
        </w:rPr>
        <w:t>ViPNet</w:t>
      </w:r>
      <w:r>
        <w:rPr>
          <w:rFonts w:cs="Times New Roman" w:ascii="Times New Roman" w:hAnsi="Times New Roman"/>
          <w:sz w:val="24"/>
          <w:szCs w:val="24"/>
        </w:rPr>
        <w:t>-сети 11647 в случаях выхода его из строя в рамках SLA производителя оборудования.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Предоставление актуальных версий программного обеспечения для оборудования защищенной </w:t>
      </w:r>
      <w:r>
        <w:rPr>
          <w:rFonts w:cs="Times New Roman" w:ascii="Times New Roman" w:hAnsi="Times New Roman"/>
          <w:sz w:val="24"/>
          <w:szCs w:val="24"/>
          <w:lang w:val="en-US"/>
        </w:rPr>
        <w:t>ViPNet</w:t>
      </w:r>
      <w:r>
        <w:rPr>
          <w:rFonts w:cs="Times New Roman" w:ascii="Times New Roman" w:hAnsi="Times New Roman"/>
          <w:sz w:val="24"/>
          <w:szCs w:val="24"/>
        </w:rPr>
        <w:t>-сети 11647.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Предоставление технической поддержки на оборудование защищенной ViPNet-сети 11647 в рамках SLA производителя оборудования.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Резервное копирование конфигураций, обновление ПО и настроек оборудования защищенной ViPNet-сети 11647, разъяснение характеристик и спецификаций в объеме эксплуатационной документации.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Диагностику и локализацию проблем: определение причин неисправности, определение границ влияния сбоя на Систему. 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Мониторинг состояния оборудования защищенной ViPNet-сети 11647 Системы-112.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Обновление сигнатур, баз данных угроз, политик безопасности защищенной ViPNet-сети 11647.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Выполнение работ по миграции с управляющего ПО ПО ViPNet Administrator 4.х на управляющее ПО ПО ViPNet Prime.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Выполнение работ по программному обновлению ПАК ViPNet Coordinator HW 4 Исполнение HW1000 до версии ПАК ViPNet Coordinator HW 5 Исполнение HW1000 с расширением функционала с Base до Advanced в ЦОД и РЦОД.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Выполнение работ по программному обновлению ПАК ViPNet Coordinator HW 4 Исполнение HW1000 до версии ПАК ViPNet Coordinator HW 5 Исполнение HW1000 в РЦОВ.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Выполнение работ по программному обновлению ПАК ViPNet Coordinator HW 4 Исполнение HW50 до версии ПАК ViPNet Coordinator HW 5 Исполнение HW50 в ЕДДС МО.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Выполнение работ по программному обновлению ПАК ViPNet Coordinator HW 4 Исполнение HW100 до версии ПАК ViPNet Coordinator HW 5 Исполнение HW100 в ЕДДС МО.</w:t>
      </w:r>
    </w:p>
    <w:p>
      <w:pPr>
        <w:pStyle w:val="ListParagraph"/>
        <w:tabs>
          <w:tab w:val="clear" w:pos="708"/>
          <w:tab w:val="left" w:pos="567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- Восстановление функционирования защищенной ViPNet-сети 11647 в случае нештатных ситуаций: анализ возможных способов восстановления работоспособности защищенной ViPNet-сети 11647, проведение работ по восстановлению функционирования защищенной ViPNet-сети 11647, временное восстановление работоспособности защищенной ViPNet-сети 11647 до её возвращения в проектное состояние (при наличии технических средств в фонде замены Заказчика).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Ремонт оборудования, входящего в состав защищенной </w:t>
      </w:r>
      <w:r>
        <w:rPr>
          <w:rFonts w:cs="Times New Roman" w:ascii="Times New Roman" w:hAnsi="Times New Roman"/>
          <w:sz w:val="24"/>
          <w:szCs w:val="24"/>
          <w:lang w:val="en-US"/>
        </w:rPr>
        <w:t>ViPNet</w:t>
      </w:r>
      <w:r>
        <w:rPr>
          <w:rFonts w:cs="Times New Roman" w:ascii="Times New Roman" w:hAnsi="Times New Roman"/>
          <w:sz w:val="24"/>
          <w:szCs w:val="24"/>
        </w:rPr>
        <w:t xml:space="preserve">-сети 11647: информирование Заказчика о необходимости ремонта оборудования, организация ремонта оборудования в рамках </w:t>
      </w:r>
      <w:r>
        <w:rPr>
          <w:rFonts w:cs="Times New Roman" w:ascii="Times New Roman" w:hAnsi="Times New Roman"/>
          <w:sz w:val="24"/>
          <w:szCs w:val="24"/>
          <w:lang w:val="en-US"/>
        </w:rPr>
        <w:t>SLA</w:t>
      </w:r>
      <w:r>
        <w:rPr>
          <w:rFonts w:cs="Times New Roman" w:ascii="Times New Roman" w:hAnsi="Times New Roman"/>
          <w:sz w:val="24"/>
          <w:szCs w:val="24"/>
        </w:rPr>
        <w:t xml:space="preserve"> производителя, подбор функционального аналога. Настройка и установка нового оборудования, приобретенного Заказчиком, взамен вышедшего из строя производится Исполнителем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Поддержка при генерации, хранении, резервном копировании и восстановлении ключей.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Помощь в управлении жизненным циклом криптографических ключей (создание, активация, отзыв, уничтожение).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 по технической поддержке средств антивирусной защиты включают в себя:</w:t>
      </w:r>
    </w:p>
    <w:p>
      <w:pPr>
        <w:pStyle w:val="Normal"/>
        <w:ind w:firstLine="567"/>
        <w:jc w:val="both"/>
        <w:rPr>
          <w:szCs w:val="24"/>
        </w:rPr>
      </w:pPr>
      <w:r>
        <w:rPr>
          <w:szCs w:val="24"/>
        </w:rPr>
        <w:t>- Резервное копирование конфигураций, консультации по обновлению средств антивирусной защиты, разъяснение характеристик и спецификаций в объеме эксплуатационной документации.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Диагностику и локализацию проблем: определение причин неисправности, определение границ влияния сбоя на Систему-112.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Настройка правил, политик, профилей безопасности.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Мониторинг состояния средств антивирусной защиты информации в Системе-112.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Обновление сигнатур, баз данных угроз.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Восстановление функционирования средств антивирусной защиты в случае нештатных ситуаций: анализ возможных способов восстановления работоспособности, проведение работ.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ind w:hanging="0" w:start="567"/>
        <w:rPr>
          <w:szCs w:val="24"/>
        </w:rPr>
      </w:pPr>
      <w:r>
        <w:rPr>
          <w:szCs w:val="24"/>
        </w:rPr>
        <w:t>- Поставка пакетов актуализации ПОИБ (патчей, минорных и мажорных версий);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Обновление средств антивирусной защиты, при выходе новых сертифицированных версий.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Централизованное управление политиками безопасности, расписанием проверок и обновления в Системе-112.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Услуги по технической поддержке средств защиты информации от несанкционированного доступа в составе операционной системы специального назначения </w:t>
      </w:r>
      <w:r>
        <w:rPr>
          <w:rFonts w:cs="Times New Roman" w:ascii="Times New Roman" w:hAnsi="Times New Roman"/>
          <w:sz w:val="24"/>
          <w:szCs w:val="24"/>
          <w:lang w:val="en-US"/>
        </w:rPr>
        <w:t>Astra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Linux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Special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en-US"/>
        </w:rPr>
        <w:t>Edition</w:t>
      </w:r>
      <w:r>
        <w:rPr>
          <w:rFonts w:cs="Times New Roman" w:ascii="Times New Roman" w:hAnsi="Times New Roman"/>
          <w:sz w:val="24"/>
          <w:szCs w:val="24"/>
        </w:rPr>
        <w:t xml:space="preserve"> включают в себя:</w:t>
      </w:r>
    </w:p>
    <w:p>
      <w:pPr>
        <w:pStyle w:val="ListParagraph"/>
        <w:widowControl/>
        <w:numPr>
          <w:ilvl w:val="0"/>
          <w:numId w:val="40"/>
        </w:numPr>
        <w:tabs>
          <w:tab w:val="clear" w:pos="708"/>
          <w:tab w:val="left" w:pos="567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Диагностику и локализацию проблем: определение причин неисправности, определение границ влияния сбоя на Систему-112.</w:t>
      </w:r>
    </w:p>
    <w:p>
      <w:pPr>
        <w:pStyle w:val="ListParagraph"/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Настройка и оптимизация параметров функционирования.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Настройка правил, политик, профилей безопасности.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Восстановление функционирования в случае нештатных ситуаций: анализ возможных способов восстановления работоспособности, проведение работ </w:t>
        <w:br/>
        <w:t>по восстановлению функционирования.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ind w:hanging="0" w:start="567"/>
        <w:rPr>
          <w:szCs w:val="24"/>
        </w:rPr>
      </w:pPr>
      <w:r>
        <w:rPr>
          <w:szCs w:val="24"/>
        </w:rPr>
        <w:t>- Поставка пакетов актуализации (патчей, минорных и мажорных версий);</w:t>
      </w:r>
    </w:p>
    <w:p>
      <w:pPr>
        <w:pStyle w:val="basictext1"/>
        <w:tabs>
          <w:tab w:val="clear" w:pos="708"/>
          <w:tab w:val="left" w:pos="1134" w:leader="none"/>
        </w:tabs>
        <w:spacing w:lineRule="auto" w:line="240" w:before="0" w:after="0"/>
        <w:ind w:hanging="0" w:start="567"/>
        <w:rPr>
          <w:szCs w:val="24"/>
        </w:rPr>
      </w:pPr>
      <w:r>
        <w:rPr>
          <w:szCs w:val="24"/>
        </w:rPr>
        <w:t>- Обновление операционных систем и включённых в состав репозитория пакетов прикладного ПО, при выходе новых сертифицированных версий.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Услуги по технической поддержке системы централизованного сбора, анализа и корреляции событий информационной безопасности включают в себя: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Резервное копирование конфигураций, консультации по обновлению средств защиты информации, разъяснение характеристик и спецификаций в объеме эксплуатационной документации.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Диагностику и локализацию проблем: определение причин неисправности, определение границ влияния сбоя на Систему-112.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Обновление сигнатур, баз данных угроз, политик безопасности.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Настройка и корректировка правил корреляции, настройка дополнительных источников сбора событий информационной безопасности.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bCs/>
          <w:szCs w:val="24"/>
        </w:rPr>
      </w:pPr>
      <w:r>
        <w:rPr>
          <w:szCs w:val="24"/>
        </w:rPr>
        <w:t xml:space="preserve">- </w:t>
      </w:r>
      <w:r>
        <w:rPr>
          <w:bCs/>
          <w:szCs w:val="24"/>
        </w:rPr>
        <w:t>Централизованный сбор событий безопасности, их регистрация, анализ.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bCs/>
          <w:szCs w:val="24"/>
        </w:rPr>
      </w:pPr>
      <w:r>
        <w:rPr>
          <w:bCs/>
          <w:szCs w:val="24"/>
        </w:rPr>
        <w:t>- Выявление инцидентов информационной безопасности из собранный событий информационной безопасности, их регистрация и анализ.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Консолидация всех перехваченных данных в едином хранилище.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Ведение архива всей перехваченной информации.</w:t>
      </w:r>
    </w:p>
    <w:p>
      <w:pPr>
        <w:pStyle w:val="ListParagraph"/>
        <w:widowControl/>
        <w:tabs>
          <w:tab w:val="clear" w:pos="708"/>
          <w:tab w:val="left" w:pos="567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Проведение расследования инцидентов информационной безопасности и ретроспективного анализа.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Услуги по технической поддержке аппаратных модулей доверенной загрузки операционных систем включают в себя: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Диагностику и локализацию проблем: определение причин неисправности, определение границ влияния сбоя на Систему-112.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Настройка и оптимизация параметров функционирования.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- Настройка правил, политик, профилей безопасности.</w:t>
      </w:r>
    </w:p>
    <w:p>
      <w:pPr>
        <w:pStyle w:val="ListParagraph"/>
        <w:widowControl/>
        <w:tabs>
          <w:tab w:val="clear" w:pos="708"/>
          <w:tab w:val="left" w:pos="567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 xml:space="preserve">Восстановление функционирования в случае нештатных ситуаций: анализ возможных способов восстановления работоспособности, проведение работ </w:t>
        <w:br/>
        <w:t>по восстановлению функционирования, временное восстановление работоспособности до её возвращения в проектное состояние (при наличии технических средств в фонде замены Заказчика).</w:t>
      </w:r>
    </w:p>
    <w:p>
      <w:pPr>
        <w:pStyle w:val="basictext1"/>
        <w:tabs>
          <w:tab w:val="clear" w:pos="708"/>
          <w:tab w:val="left" w:pos="567" w:leader="none"/>
        </w:tabs>
        <w:spacing w:lineRule="auto" w:line="240" w:before="0" w:after="0"/>
        <w:ind w:firstLine="567"/>
        <w:rPr>
          <w:szCs w:val="24"/>
        </w:rPr>
      </w:pPr>
      <w:r>
        <w:rPr>
          <w:szCs w:val="24"/>
        </w:rPr>
        <w:t>Услуги по технической поддержке средства анализа защищенности включает в себя: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Настройка и оптимизация параметров функционирования.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Проведение анализа защищенности по требованию Заказчика и/или проведение анализа защищенности согласно плану проведения мероприятий по информационной безопасности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Восстановление функционирования в случае нештатных ситуаций: анализ возможных способов восстановления работоспособности, проведение работ </w:t>
        <w:br/>
        <w:t>по восстановлению функционирования.</w:t>
      </w:r>
    </w:p>
    <w:p>
      <w:pPr>
        <w:pStyle w:val="ListParagraph"/>
        <w:widowControl/>
        <w:tabs>
          <w:tab w:val="clear" w:pos="708"/>
          <w:tab w:val="left" w:pos="1134" w:leader="none"/>
        </w:tabs>
        <w:ind w:firstLine="567" w:star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Услуги по техническому сопровождению ПОИБ Системы-112 должны включать в себя:</w:t>
      </w:r>
    </w:p>
    <w:p>
      <w:pPr>
        <w:pStyle w:val="ListParagraph"/>
        <w:widowControl/>
        <w:tabs>
          <w:tab w:val="clear" w:pos="708"/>
          <w:tab w:val="left" w:pos="567" w:leader="none"/>
        </w:tabs>
        <w:ind w:firstLine="567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Консультирование: консультации по конфигурированию, консультации </w:t>
        <w:br/>
        <w:t>по резервному копированию конфигураций, консультации по обновлению программных продуктов, разъяснение характеристик и спецификаций в объеме эксплуатационной документации, консультированию по разработке и актуализации организационно-распорядительных документов.</w:t>
      </w:r>
    </w:p>
    <w:p>
      <w:pPr>
        <w:pStyle w:val="Normal"/>
        <w:tabs>
          <w:tab w:val="clear" w:pos="708"/>
          <w:tab w:val="left" w:pos="567" w:leader="none"/>
        </w:tabs>
        <w:ind w:firstLine="567"/>
        <w:jc w:val="both"/>
        <w:rPr>
          <w:szCs w:val="24"/>
        </w:rPr>
      </w:pPr>
      <w:r>
        <w:rPr>
          <w:rFonts w:cs="Times New Roman"/>
          <w:bCs/>
          <w:sz w:val="24"/>
          <w:szCs w:val="24"/>
        </w:rPr>
        <w:t>- Разъяснения по соответствию требованиям нормативных документов (ФСТЭК, ФСБ).</w:t>
      </w:r>
    </w:p>
    <w:p>
      <w:pPr>
        <w:pStyle w:val="Normal"/>
        <w:ind w:firstLine="709" w:start="567"/>
        <w:rPr>
          <w:rFonts w:eastAsia="Calibri" w:eastAsiaTheme="minorHAnsi"/>
          <w:b/>
          <w:bCs/>
          <w:szCs w:val="24"/>
        </w:rPr>
      </w:pPr>
      <w:r>
        <w:rPr>
          <w:rFonts w:eastAsia="Calibri" w:eastAsiaTheme="minorHAnsi"/>
          <w:b/>
          <w:bCs/>
          <w:szCs w:val="24"/>
        </w:rPr>
      </w:r>
    </w:p>
    <w:p>
      <w:pPr>
        <w:pStyle w:val="ListParagraph"/>
        <w:tabs>
          <w:tab w:val="clear" w:pos="708"/>
          <w:tab w:val="left" w:pos="284" w:leader="none"/>
          <w:tab w:val="left" w:pos="1418" w:leader="none"/>
        </w:tabs>
        <w:ind w:firstLine="709" w:start="567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3.3. Требования к Исполнителю услуги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Исполнитель обеспечивает соответствие требованиям, установленным в соответствии с законодательством российской Федерации к лицам, осуществляющим выполнение работ, оказание услуги, являющихся объектом закупки: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bookmarkStart w:id="48" w:name="_Hlk214615138"/>
      <w:r>
        <w:rPr>
          <w:rFonts w:eastAsia="Calibri"/>
          <w:szCs w:val="24"/>
          <w:lang w:eastAsia="en-US"/>
        </w:rPr>
        <w:t xml:space="preserve">Требование к Исполнителю: исполнитель должен иметь действующие лицензии </w:t>
      </w:r>
      <w:bookmarkEnd w:id="48"/>
      <w:r>
        <w:rPr>
          <w:rFonts w:eastAsia="Calibri"/>
          <w:szCs w:val="24"/>
          <w:lang w:eastAsia="en-US"/>
        </w:rPr>
        <w:t xml:space="preserve">1) в соответствии с пунктом 1 статьи 12 Федерального закона от 04.05.2011г. №99-ФЗ "О лицензировании отдельных видов деятельности", Постановлением Правительства РФ от 16 апреля 2012 г. N 313 «Положение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средств»,  участник закупки должен обладать действующей лицензией Федеральной службой безопасности Российской Федерации на осуществление 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включающей работы (услуги) по: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>Монтаж, установка (инсталляция), наладка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Федерации.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>Монтаж, установка (инсталляция), наладка защищенных с использованием шифровальных (криптографических) средств информационных систем.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 xml:space="preserve">Работы по обслуживанию шифровальных (криптографических) средств, предусмотренные технической и эксплуатационной документацией на эти средства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(за исключением случая, если указанные работы проводятся для обеспечения собственных нужд юридического лица или индивидуального предпринимателя).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>Передача шифровальных (криптографических) средств, за исключением шифровальных (криптографических) средств защиты фискальных данных, разработанных для применения в составе контрольно-кассовой техники, сертифицированных Федеральной службой безопасности Российской Федерации, и шифровальных (криптографических) средств, разработанных для применения в составе технологии, реализуемой промежуточными элементами интеллектуальной системы учета электрической энергии (мощности) и приборами учета электрической энергии, сертифицированных Федеральной службой безопасности Российской Федерации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2) в соответствии с пунктом 5 статьи 12 Федерального закона от 04.05.2011г. №99-ФЗ "О лицензировании отдельных видов деятельности", Постановлением Правительства РФ от 3 февраля 2012 г. N 79 "О лицензировании деятельности по технической защите конфиденциальной информации" участник закупки должен обладать действующей лицензией ФСТЭК России на деятельность по технической защите конфиденциальной информации включающей работы (услуги):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 xml:space="preserve">услуги по контролю защищенности конфиденциальной информации от утечки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по техническим каналам: в средствах и системах информатизации; в технических средствах (системах), не обрабатывающих конфиденциальную информацию, но размещенных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 помещениях, где она обрабатывается; в помещениях со средствами (системами), подлежащими защите; в помещениях, предназначенных для ведения конфиденциальных переговоров;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 xml:space="preserve">услуги по контролю защищенности конфиденциальной информации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от несанкционированного доступа и ее модификации в средствах и системах информатизации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 xml:space="preserve">работы и услуги по аттестационным испытаниям и аттестации на соответствие требованиям по защите информации: средств и систем информатизации; помещений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со средствами (системами) информатизации, подлежащими защите; защищаемых помещений;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‒</w:t>
      </w:r>
      <w:r>
        <w:rPr>
          <w:rFonts w:eastAsia="Calibri"/>
          <w:szCs w:val="24"/>
          <w:lang w:eastAsia="en-US"/>
        </w:rPr>
        <w:tab/>
        <w:t>услуги по установке, монтажу, наладке, испытаниям, ремонту средств защиты информации (технических средств защиты информации, защищенных технических средств обработки информации, технических средств контроля эффективности мер защиты информации, 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эффективности защиты информации).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3) в соответствии с пунктом 36 части 1 статьи 12 Федерального закона от 04.05.2011 № 99 «О лицензировании отдельных видов деятельности», Федерального закона «О связи» от 07.07.2003 № 126, Постановление Правительства РФ «О лицензировании деятельности в области оказания услуг связи и признании утратившими силу некоторых актов правительства российской федерации» от 30.12.2020 N 2385 участник закупки должен иметь лицензию на оказание услуг связи, включающую: 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</w:t>
        <w:tab/>
        <w:t>телематические услуги связи;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</w:t>
        <w:tab/>
        <w:t>услуги связи по передаче данных, за исключением услуг связи по передаче данных для целей передачи голосовой информации;</w:t>
      </w:r>
    </w:p>
    <w:p>
      <w:pPr>
        <w:pStyle w:val="Normal"/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-</w:t>
        <w:tab/>
        <w:t>услуги по предоставлению каналов связи.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418" w:leader="none"/>
        </w:tabs>
        <w:ind w:firstLine="709" w:start="567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49" w:name="_Toc1128684"/>
      <w:r>
        <w:rPr>
          <w:rFonts w:cs="Times New Roman" w:ascii="Times New Roman" w:hAnsi="Times New Roman"/>
          <w:b/>
          <w:bCs/>
          <w:sz w:val="24"/>
          <w:szCs w:val="24"/>
        </w:rPr>
        <w:t>3.4. Показатели назначения</w:t>
      </w:r>
      <w:bookmarkEnd w:id="49"/>
      <w:r>
        <w:rPr>
          <w:rFonts w:cs="Times New Roman" w:ascii="Times New Roman" w:hAnsi="Times New Roman"/>
          <w:b/>
          <w:bCs/>
          <w:sz w:val="24"/>
          <w:szCs w:val="24"/>
        </w:rPr>
        <w:t xml:space="preserve"> Системы-112 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Услуга должна обеспечивать следующие показатели назначения: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постоянную доступность для осуществления экстренного вызова по прямому номеру «112» со всех терминалов фиксированных и подвижных телефонных сетей вне зависимости от эксплуатирующих их операторов связи (исключение могут составлять телефонные терминалы корпоративных сетей связи, где набору «112» может предшествовать цифра (цифры) выхода в сеть связи общего пользования);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уровень автоматизации Системы-112 должен обеспечивать время реагирования (от поступления вызова до доведения команды до сил реагирования) ДДС, определяемое соответствующими нормативами;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единый пользовательский интерфейс оператора (диспетчера) в виде одного приложения для доступа к функциям системы и возможность взаимодействия с приложениями электронной картографии;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возможность смены версий специального программного обеспечения, обслуживание, подключение и отключение АРМ операторов и диспетчеров без полной остановки системы;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возможность расширения состава реализуемых функций и технологий, а также масштабирования Системы-112 без повторного проектирования;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изменение конфигурации Системы-112;</w:t>
      </w:r>
    </w:p>
    <w:p>
      <w:pPr>
        <w:pStyle w:val="Normal"/>
        <w:numPr>
          <w:ilvl w:val="0"/>
          <w:numId w:val="37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однократный ввод данных: данные о происшествиях в систему-112 должны вводиться только один раз и быть доступны для других приложений без их копирования.</w:t>
      </w:r>
    </w:p>
    <w:p>
      <w:pPr>
        <w:pStyle w:val="Normal"/>
        <w:tabs>
          <w:tab w:val="clear" w:pos="708"/>
          <w:tab w:val="left" w:pos="1134" w:leader="none"/>
        </w:tabs>
        <w:ind w:firstLine="709" w:start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firstLine="709" w:start="567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0" w:name="_Toc1128685"/>
      <w:r>
        <w:rPr>
          <w:rFonts w:cs="Times New Roman" w:ascii="Times New Roman" w:hAnsi="Times New Roman"/>
          <w:b/>
          <w:bCs/>
          <w:sz w:val="24"/>
          <w:szCs w:val="24"/>
        </w:rPr>
        <w:t>3.5. Требования к надежности</w:t>
      </w:r>
      <w:bookmarkEnd w:id="50"/>
      <w:r>
        <w:rPr>
          <w:rFonts w:cs="Times New Roman" w:ascii="Times New Roman" w:hAnsi="Times New Roman"/>
          <w:b/>
          <w:bCs/>
          <w:sz w:val="24"/>
          <w:szCs w:val="24"/>
        </w:rPr>
        <w:t xml:space="preserve"> Системы-112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Качество предоставления услуги, обеспечивающей функционирование Системы-112, должно обеспечивать: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функционирование системы в режиме – 24х7;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вероятность потери вызова – не более 0,1%;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надежность с коэффициентом готовности не ниже 0,999; 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время задержки отклика специального программного обеспечения на единичное действие оператора (диспетчера) – не более 1 сек.;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суммарная задержка реагирования специального программного обеспечения на действия оператора (диспетчера) при обработке единичного вызова – не более 3 сек.;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устойчивость к сетевым перегрузкам;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резервирование основных объектов автоматизации (каналы к объектам ЕДДС, ЦОВ, РЦОВ);</w:t>
      </w:r>
    </w:p>
    <w:p>
      <w:pPr>
        <w:pStyle w:val="Normal"/>
        <w:numPr>
          <w:ilvl w:val="0"/>
          <w:numId w:val="38"/>
        </w:numPr>
        <w:tabs>
          <w:tab w:val="clear" w:pos="708"/>
          <w:tab w:val="left" w:pos="1134" w:leader="none"/>
        </w:tabs>
        <w:ind w:firstLine="709" w:start="0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возможность перераспределения вызовов между объектами оказания услуги, дежурно-диспетчерскими службами и организациями.</w:t>
      </w:r>
    </w:p>
    <w:p>
      <w:pPr>
        <w:pStyle w:val="Normal"/>
        <w:tabs>
          <w:tab w:val="clear" w:pos="708"/>
          <w:tab w:val="left" w:pos="1134" w:leader="none"/>
        </w:tabs>
        <w:ind w:firstLine="709" w:start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418" w:leader="none"/>
        </w:tabs>
        <w:ind w:firstLine="709" w:start="567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1" w:name="_Toc1128686"/>
      <w:r>
        <w:rPr>
          <w:rFonts w:cs="Times New Roman" w:ascii="Times New Roman" w:hAnsi="Times New Roman"/>
          <w:b/>
          <w:bCs/>
          <w:sz w:val="24"/>
          <w:szCs w:val="24"/>
        </w:rPr>
        <w:t>3.6. Требования к безопасности</w:t>
      </w:r>
      <w:bookmarkEnd w:id="51"/>
      <w:r>
        <w:rPr>
          <w:rFonts w:cs="Times New Roman" w:ascii="Times New Roman" w:hAnsi="Times New Roman"/>
          <w:b/>
          <w:bCs/>
          <w:sz w:val="24"/>
          <w:szCs w:val="24"/>
        </w:rPr>
        <w:t xml:space="preserve"> Системы-112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Система-112 должна обеспечивать безопасность персонала Заказчика при эксплуатации, техническом обслуживании и ремонте с учетом требований нормативных документов по:</w:t>
      </w:r>
    </w:p>
    <w:p>
      <w:pPr>
        <w:pStyle w:val="Normal"/>
        <w:numPr>
          <w:ilvl w:val="0"/>
          <w:numId w:val="39"/>
        </w:numPr>
        <w:tabs>
          <w:tab w:val="clear" w:pos="708"/>
          <w:tab w:val="left" w:pos="1134" w:leader="none"/>
        </w:tabs>
        <w:ind w:firstLine="709" w:start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электробезопасности;</w:t>
      </w:r>
    </w:p>
    <w:p>
      <w:pPr>
        <w:pStyle w:val="Normal"/>
        <w:numPr>
          <w:ilvl w:val="0"/>
          <w:numId w:val="39"/>
        </w:numPr>
        <w:tabs>
          <w:tab w:val="clear" w:pos="708"/>
          <w:tab w:val="left" w:pos="1134" w:leader="none"/>
        </w:tabs>
        <w:ind w:firstLine="709" w:start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пожарной безопасности (в части требований пожарной безопасности в производственных помещениях);</w:t>
      </w:r>
    </w:p>
    <w:p>
      <w:pPr>
        <w:pStyle w:val="Normal"/>
        <w:numPr>
          <w:ilvl w:val="0"/>
          <w:numId w:val="39"/>
        </w:numPr>
        <w:tabs>
          <w:tab w:val="clear" w:pos="708"/>
          <w:tab w:val="left" w:pos="1134" w:leader="none"/>
        </w:tabs>
        <w:ind w:firstLine="709" w:start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общим требованиям безопасности по обеспечению силового электроснабжения.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Технические средства должны отвечать действующей системе государственных стандартов безопасности труда и иметь сертификаты по электробезопасности и электромагнитной безопасности.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Факторы, оказывающие вредные воздействия на здоровье персонала Заказчика со стороны всех элементов Системы-112 (в том числе инфракрасное, ультрафиолетовое, рентгеновское </w:t>
        <w:br/>
        <w:t>и электромагнитное излучения, вибрация, шум, электростатические поля, ультразвук строчной частоты и т.д.), не должны превышать действующих норм.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08"/>
          <w:tab w:val="left" w:pos="284" w:leader="none"/>
          <w:tab w:val="left" w:pos="1276" w:leader="none"/>
        </w:tabs>
        <w:ind w:firstLine="709" w:start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yle61"/>
        <w:numPr>
          <w:ilvl w:val="0"/>
          <w:numId w:val="0"/>
        </w:numPr>
        <w:ind w:firstLine="709" w:start="709"/>
        <w:rPr>
          <w:b/>
        </w:rPr>
      </w:pPr>
      <w:bookmarkStart w:id="52" w:name="_Toc1128700"/>
      <w:bookmarkStart w:id="53" w:name="_Hlk147328693"/>
      <w:bookmarkEnd w:id="53"/>
      <w:r>
        <w:rPr>
          <w:b/>
        </w:rPr>
        <w:t>5. ПОРЯДОК КОНТРОЛЯ И ПРИЕМКИ УСЛУГИ</w:t>
      </w:r>
      <w:bookmarkEnd w:id="52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Результатом Услуги является функционирование приема и обработки вызова экстренных оперативных служб по единому номеру «112» на территории Забайкальского края, на объектах, указанных в Приложении А в части зон ответственности (в случае не точности адреса (не достоверности) к настоящему Техническому заданию по письменному согласию Заказчика, удовлетворяющее требованиям настоящего Технического задания. </w:t>
      </w:r>
      <w:bookmarkStart w:id="54" w:name="_Toc1128703"/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b/>
          <w:bCs/>
          <w:caps/>
          <w:szCs w:val="24"/>
        </w:rPr>
      </w:pPr>
      <w:r>
        <w:rPr>
          <w:b/>
          <w:bCs/>
          <w:caps/>
          <w:szCs w:val="24"/>
        </w:rPr>
      </w:r>
    </w:p>
    <w:p>
      <w:pPr>
        <w:pStyle w:val="Style61"/>
        <w:numPr>
          <w:ilvl w:val="0"/>
          <w:numId w:val="27"/>
        </w:numPr>
        <w:ind w:firstLine="709" w:start="0"/>
        <w:outlineLvl w:val="1"/>
        <w:rPr>
          <w:b/>
        </w:rPr>
      </w:pPr>
      <w:r>
        <w:rPr>
          <w:b/>
        </w:rPr>
        <w:t>ТРЕБОВАНИЯ К ДОКУМЕНТИРОВАНИЮ</w:t>
      </w:r>
      <w:bookmarkEnd w:id="54"/>
    </w:p>
    <w:p>
      <w:pPr>
        <w:pStyle w:val="Heading3"/>
        <w:ind w:firstLine="709"/>
        <w:rPr>
          <w:rFonts w:ascii="Times New Roman" w:hAnsi="Times New Roman"/>
          <w:b/>
          <w:bCs/>
          <w:szCs w:val="24"/>
        </w:rPr>
      </w:pPr>
      <w:bookmarkStart w:id="55" w:name="_Toc1128704"/>
      <w:r>
        <w:rPr>
          <w:rFonts w:ascii="Times New Roman" w:hAnsi="Times New Roman"/>
          <w:b/>
          <w:bCs/>
          <w:szCs w:val="24"/>
        </w:rPr>
        <w:t>6.1. Формы отчетной документации</w:t>
      </w:r>
      <w:bookmarkEnd w:id="55"/>
    </w:p>
    <w:p>
      <w:pPr>
        <w:pStyle w:val="Normal"/>
        <w:widowControl w:val="false"/>
        <w:numPr>
          <w:ilvl w:val="0"/>
          <w:numId w:val="40"/>
        </w:numPr>
        <w:tabs>
          <w:tab w:val="clear" w:pos="708"/>
          <w:tab w:val="left" w:pos="1134" w:leader="none"/>
        </w:tabs>
        <w:spacing w:before="0" w:after="0"/>
        <w:ind w:firstLine="709" w:start="0"/>
        <w:contextualSpacing/>
        <w:rPr>
          <w:b/>
          <w:szCs w:val="24"/>
        </w:rPr>
      </w:pPr>
      <w:r>
        <w:rPr>
          <w:rFonts w:eastAsia="Calibri"/>
          <w:b/>
          <w:szCs w:val="24"/>
          <w:lang w:eastAsia="en-US"/>
        </w:rPr>
        <w:t>Отчет по доступности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contextualSpacing/>
        <w:rPr>
          <w:b/>
          <w:szCs w:val="24"/>
        </w:rPr>
      </w:pPr>
      <w:r>
        <w:rPr>
          <w:b/>
          <w:szCs w:val="24"/>
        </w:rPr>
      </w:r>
    </w:p>
    <w:tbl>
      <w:tblPr>
        <w:tblW w:w="4950" w:type="pct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42"/>
        <w:gridCol w:w="1445"/>
        <w:gridCol w:w="1606"/>
        <w:gridCol w:w="1894"/>
        <w:gridCol w:w="2044"/>
        <w:gridCol w:w="2392"/>
      </w:tblGrid>
      <w:tr>
        <w:trPr>
          <w:trHeight w:val="570" w:hRule="atLeast"/>
        </w:trPr>
        <w:tc>
          <w:tcPr>
            <w:tcW w:w="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N</w:t>
            </w:r>
          </w:p>
        </w:tc>
        <w:tc>
          <w:tcPr>
            <w:tcW w:w="1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Приоритет</w:t>
            </w:r>
          </w:p>
        </w:tc>
        <w:tc>
          <w:tcPr>
            <w:tcW w:w="1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Число Инцидентов</w:t>
            </w:r>
          </w:p>
        </w:tc>
        <w:tc>
          <w:tcPr>
            <w:tcW w:w="1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Период недоступности, час</w:t>
            </w:r>
          </w:p>
        </w:tc>
        <w:tc>
          <w:tcPr>
            <w:tcW w:w="2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Доступность Услуги, %</w:t>
            </w:r>
          </w:p>
        </w:tc>
        <w:tc>
          <w:tcPr>
            <w:tcW w:w="2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Отклонение от SLA</w:t>
            </w:r>
          </w:p>
        </w:tc>
      </w:tr>
      <w:tr>
        <w:trPr>
          <w:trHeight w:val="338" w:hRule="atLeast"/>
        </w:trPr>
        <w:tc>
          <w:tcPr>
            <w:tcW w:w="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6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8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0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</w:tbl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numPr>
          <w:ilvl w:val="0"/>
          <w:numId w:val="40"/>
        </w:numPr>
        <w:tabs>
          <w:tab w:val="clear" w:pos="708"/>
          <w:tab w:val="left" w:pos="1134" w:leader="none"/>
        </w:tabs>
        <w:spacing w:before="0" w:after="0"/>
        <w:ind w:firstLine="567" w:start="0"/>
        <w:contextualSpacing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Отчет по инцидентам</w:t>
      </w:r>
    </w:p>
    <w:p>
      <w:pPr>
        <w:pStyle w:val="Normal"/>
        <w:tabs>
          <w:tab w:val="clear" w:pos="708"/>
          <w:tab w:val="left" w:pos="1134" w:leader="none"/>
        </w:tabs>
        <w:ind w:firstLine="567"/>
        <w:rPr>
          <w:szCs w:val="24"/>
        </w:rPr>
      </w:pPr>
      <w:r>
        <w:rPr>
          <w:szCs w:val="24"/>
        </w:rPr>
        <w:t>Отчет по инцидентам за период с «__»________ по «__»_________ 201_г.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tbl>
      <w:tblPr>
        <w:tblW w:w="5000" w:type="pct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42"/>
        <w:gridCol w:w="731"/>
        <w:gridCol w:w="1901"/>
        <w:gridCol w:w="1601"/>
        <w:gridCol w:w="1168"/>
        <w:gridCol w:w="1167"/>
        <w:gridCol w:w="1312"/>
        <w:gridCol w:w="1601"/>
      </w:tblGrid>
      <w:tr>
        <w:trPr>
          <w:trHeight w:val="570" w:hRule="atLeast"/>
        </w:trPr>
        <w:tc>
          <w:tcPr>
            <w:tcW w:w="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</w:t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Код</w:t>
            </w:r>
          </w:p>
        </w:tc>
        <w:tc>
          <w:tcPr>
            <w:tcW w:w="1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Тема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Приоритет</w:t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Статус</w:t>
            </w:r>
          </w:p>
        </w:tc>
        <w:tc>
          <w:tcPr>
            <w:tcW w:w="11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Дата создания</w:t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Дата закрытия</w:t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567" w:start="-62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Отклонение от SLA</w:t>
            </w:r>
          </w:p>
        </w:tc>
      </w:tr>
      <w:tr>
        <w:trPr>
          <w:trHeight w:val="275" w:hRule="atLeast"/>
        </w:trPr>
        <w:tc>
          <w:tcPr>
            <w:tcW w:w="4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7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9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1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1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3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6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</w:tr>
    </w:tbl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numPr>
          <w:ilvl w:val="0"/>
          <w:numId w:val="40"/>
        </w:numPr>
        <w:tabs>
          <w:tab w:val="clear" w:pos="708"/>
          <w:tab w:val="left" w:pos="1134" w:leader="none"/>
        </w:tabs>
        <w:spacing w:before="0" w:after="0"/>
        <w:ind w:firstLine="567" w:start="0"/>
        <w:contextualSpacing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Отчет о проведении регламентных работ</w:t>
      </w:r>
    </w:p>
    <w:tbl>
      <w:tblPr>
        <w:tblW w:w="4950" w:type="pct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10"/>
        <w:gridCol w:w="1912"/>
        <w:gridCol w:w="3203"/>
        <w:gridCol w:w="3998"/>
      </w:tblGrid>
      <w:tr>
        <w:trPr>
          <w:trHeight w:val="326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Код сервиса (мероприятия)</w:t>
            </w:r>
          </w:p>
        </w:tc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работ</w:t>
            </w:r>
          </w:p>
        </w:tc>
        <w:tc>
          <w:tcPr>
            <w:tcW w:w="399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Время проведения работ</w:t>
            </w:r>
          </w:p>
        </w:tc>
      </w:tr>
      <w:tr>
        <w:trPr>
          <w:trHeight w:val="326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399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  <w:bookmarkStart w:id="56" w:name="_Hlk147328693_Копия_1"/>
      <w:bookmarkStart w:id="57" w:name="_Hlk147328693_Копия_1"/>
      <w:bookmarkEnd w:id="57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ind w:hanging="0" w:start="567"/>
        <w:jc w:val="center"/>
        <w:outlineLvl w:val="0"/>
        <w:rPr>
          <w:b/>
          <w:bCs/>
          <w:caps/>
        </w:rPr>
      </w:pPr>
      <w:r>
        <w:rPr>
          <w:b/>
          <w:bCs/>
          <w:caps/>
        </w:rPr>
      </w:r>
    </w:p>
    <w:p>
      <w:pPr>
        <w:pStyle w:val="Normal"/>
        <w:rPr>
          <w:b/>
          <w:bCs/>
          <w:caps/>
        </w:rPr>
      </w:pPr>
      <w:r>
        <w:rPr>
          <w:b/>
          <w:bCs/>
          <w:caps/>
        </w:rPr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hanging="0" w:start="567"/>
        <w:jc w:val="center"/>
        <w:outlineLvl w:val="0"/>
        <w:rPr>
          <w:b/>
          <w:bCs/>
          <w:caps/>
        </w:rPr>
      </w:pPr>
      <w:bookmarkStart w:id="58" w:name="_Toc1128705"/>
      <w:r>
        <w:rPr>
          <w:b/>
          <w:bCs/>
          <w:caps/>
        </w:rPr>
        <w:t>ПРИЛОЖЕНИЕ А</w:t>
      </w:r>
      <w:bookmarkEnd w:id="58"/>
    </w:p>
    <w:p>
      <w:pPr>
        <w:pStyle w:val="Normal"/>
        <w:tabs>
          <w:tab w:val="clear" w:pos="708"/>
          <w:tab w:val="left" w:pos="1134" w:leader="none"/>
        </w:tabs>
        <w:ind w:firstLine="567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Список объектов (ЦОВ-АЦ, Единых дежурно-диспетчерских служб), участвующих </w:t>
        <w:br/>
        <w:t xml:space="preserve">в информационном обмене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W w:w="10519" w:type="dxa"/>
        <w:jc w:val="start"/>
        <w:tblInd w:w="-45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2"/>
        <w:gridCol w:w="1418"/>
        <w:gridCol w:w="1735"/>
        <w:gridCol w:w="1984"/>
        <w:gridCol w:w="2413"/>
        <w:gridCol w:w="1276"/>
        <w:gridCol w:w="1131"/>
      </w:tblGrid>
      <w:tr>
        <w:trPr>
          <w:trHeight w:val="1285" w:hRule="atLeast"/>
        </w:trPr>
        <w:tc>
          <w:tcPr>
            <w:tcW w:w="5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  <w:t>Этап</w:t>
            </w:r>
          </w:p>
        </w:tc>
        <w:tc>
          <w:tcPr>
            <w:tcW w:w="1735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  <w:t>Нас. пункт</w:t>
            </w:r>
          </w:p>
        </w:tc>
        <w:tc>
          <w:tcPr>
            <w:tcW w:w="2413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  <w:t>Адрес</w:t>
            </w:r>
          </w:p>
        </w:tc>
        <w:tc>
          <w:tcPr>
            <w:tcW w:w="1276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  <w:t>Количество рабочих мест</w:t>
            </w:r>
          </w:p>
        </w:tc>
        <w:tc>
          <w:tcPr>
            <w:tcW w:w="1131" w:type="dxa"/>
            <w:tcBorders>
              <w:top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b/>
                <w:bCs/>
                <w:i/>
                <w:iCs/>
                <w:color w:themeColor="text1" w:val="000000"/>
                <w:szCs w:val="24"/>
              </w:rPr>
            </w:pPr>
            <w:r>
              <w:rPr>
                <w:b/>
                <w:bCs/>
                <w:i/>
                <w:iCs/>
                <w:color w:themeColor="text1" w:val="000000"/>
                <w:szCs w:val="24"/>
              </w:rPr>
              <w:t>скорость, Мбит/с ( согласно проекту)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  <w:t>г. Чита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ЦОВ (ЦОД)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ул. Лермонтова, д. 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17 АРМ</w:t>
            </w:r>
          </w:p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1(Серверная группировка)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10 Мбит/с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РЦОВ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ул. Лермонтова, д. 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 АРМ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10 Мбит/с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РЦОД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Кочеткова ул., 2Б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Серверная группировка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10 Мбит/с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Бутина, д. 39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ЦУКС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Костюшко-Григоровича, 29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Петрозаводская, д. 53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8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Анохина д. 35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 Читинского района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Гагарина 1а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03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Казачья 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Серверная группировка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10 Мбит/с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УМВД по Забайкальскому краю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П-Осипенко ул., 21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ФСБ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84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color w:themeColor="text1" w:val="000000"/>
                <w:szCs w:val="24"/>
              </w:rPr>
            </w:pPr>
            <w:r>
              <w:rPr>
                <w:b/>
                <w:bCs/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 Читинского р-на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Чита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 157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Горный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ЗАТО Горный</w:t>
            </w:r>
          </w:p>
        </w:tc>
        <w:tc>
          <w:tcPr>
            <w:tcW w:w="2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Дружбы, д. 26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ЗАТО Горный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Тюрина д. 20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Агинский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 п. Агинское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Агинский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43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bookmarkStart w:id="59" w:name="OLE_LINK5"/>
            <w:bookmarkStart w:id="60" w:name="OLE_LINK6"/>
            <w:r>
              <w:rPr>
                <w:color w:themeColor="text1" w:val="000000"/>
                <w:szCs w:val="24"/>
              </w:rPr>
              <w:t>пгт</w:t>
            </w:r>
            <w:bookmarkEnd w:id="59"/>
            <w:bookmarkEnd w:id="60"/>
            <w:r>
              <w:rPr>
                <w:color w:themeColor="text1" w:val="000000"/>
                <w:szCs w:val="24"/>
              </w:rPr>
              <w:t>. Агинский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Цибинова, 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lang w:val="en-US"/>
              </w:rPr>
            </w:pPr>
            <w:r>
              <w:rPr>
                <w:color w:themeColor="text1" w:val="000000"/>
                <w:szCs w:val="24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lang w:val="en-US"/>
              </w:rPr>
            </w:pPr>
            <w:r>
              <w:rPr>
                <w:color w:themeColor="text1" w:val="000000"/>
                <w:szCs w:val="24"/>
                <w:lang w:val="en-US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Агинский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29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Акшинский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Акша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Партзанская,д. 20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Акша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Октябрьская, д. 33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Акша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Советская,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50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Александрово-Заводский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bookmarkStart w:id="61" w:name="OLE_LINK9"/>
            <w:bookmarkStart w:id="62" w:name="OLE_LINK8"/>
            <w:bookmarkStart w:id="63" w:name="OLE_LINK7"/>
            <w:r>
              <w:rPr>
                <w:color w:themeColor="text1" w:val="000000"/>
                <w:szCs w:val="24"/>
              </w:rPr>
              <w:t>с.</w:t>
            </w:r>
            <w:bookmarkEnd w:id="61"/>
            <w:bookmarkEnd w:id="62"/>
            <w:bookmarkEnd w:id="63"/>
            <w:r>
              <w:rPr>
                <w:color w:themeColor="text1" w:val="000000"/>
                <w:szCs w:val="24"/>
              </w:rPr>
              <w:t xml:space="preserve"> Александровский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50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Александровский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Журавлева, д. 42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450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Александровский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12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Балейский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Балей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24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Балей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Профсоюзная,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Балей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Погодаева, д. 41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38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Борзинский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Борзя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37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510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Борзя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Школьный, д. 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Борзя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Советская, д. 11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Газимуро-Заводский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Газимурский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Журавлева, д. 32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80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Газимурский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Новая, д. 20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Газимурский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Журавлева, д.10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Дульдургинский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Дульдурга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Советская, д. 28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Дульдурга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50 Лет Октября, д. 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Дульдурга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21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bookmarkStart w:id="64" w:name="OLE_LINK10"/>
            <w:r>
              <w:rPr>
                <w:color w:themeColor="text1" w:val="000000"/>
                <w:szCs w:val="24"/>
              </w:rPr>
              <w:t>Забайкальск</w:t>
            </w:r>
            <w:bookmarkEnd w:id="64"/>
            <w:r>
              <w:rPr>
                <w:color w:themeColor="text1" w:val="000000"/>
                <w:szCs w:val="24"/>
              </w:rPr>
              <w:t>ий</w:t>
            </w:r>
          </w:p>
        </w:tc>
        <w:tc>
          <w:tcPr>
            <w:tcW w:w="173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bookmarkStart w:id="65" w:name="OLE_LINK19"/>
            <w:bookmarkStart w:id="66" w:name="OLE_LINK18"/>
            <w:bookmarkStart w:id="67" w:name="OLE_LINK11"/>
            <w:bookmarkStart w:id="68" w:name="OLE_LINK12"/>
            <w:bookmarkStart w:id="69" w:name="OLE_LINK13"/>
            <w:r>
              <w:rPr>
                <w:color w:themeColor="text1" w:val="000000"/>
                <w:szCs w:val="24"/>
              </w:rPr>
              <w:t>пгт</w:t>
            </w:r>
            <w:bookmarkEnd w:id="67"/>
            <w:bookmarkEnd w:id="68"/>
            <w:bookmarkEnd w:id="69"/>
            <w:r>
              <w:rPr>
                <w:color w:themeColor="text1" w:val="000000"/>
                <w:szCs w:val="24"/>
              </w:rPr>
              <w:t xml:space="preserve">. </w:t>
            </w:r>
            <w:bookmarkEnd w:id="65"/>
            <w:bookmarkEnd w:id="66"/>
            <w:r>
              <w:rPr>
                <w:color w:themeColor="text1" w:val="000000"/>
                <w:szCs w:val="24"/>
              </w:rPr>
              <w:t>Забайкальск</w:t>
            </w:r>
          </w:p>
        </w:tc>
        <w:tc>
          <w:tcPr>
            <w:tcW w:w="24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Красноармейская, д. 40 «а»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Забайкальск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Октябрьская, д. 1 «д»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Забайкальск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49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Каларский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Чара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Пионерская,8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с.Чара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Строительная, д. 3 «а»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bookmarkStart w:id="70" w:name="OLE_LINK14"/>
            <w:bookmarkStart w:id="71" w:name="OLE_LINK15"/>
            <w:bookmarkStart w:id="72" w:name="OLE_LINK16"/>
            <w:bookmarkStart w:id="73" w:name="OLE_LINK17"/>
            <w:r>
              <w:rPr>
                <w:color w:themeColor="text1" w:val="000000"/>
                <w:szCs w:val="24"/>
              </w:rPr>
              <w:t xml:space="preserve">с. </w:t>
            </w:r>
            <w:bookmarkEnd w:id="70"/>
            <w:bookmarkEnd w:id="71"/>
            <w:bookmarkEnd w:id="72"/>
            <w:bookmarkEnd w:id="73"/>
            <w:r>
              <w:rPr>
                <w:color w:themeColor="text1" w:val="000000"/>
                <w:szCs w:val="24"/>
              </w:rPr>
              <w:t>Новая Чара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Юбилейная,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Калганский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Калга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60 лет Октября, д. 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Калга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Хлебозаводская, д. 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Калга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Хлебозаводская, д. 5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Карымский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Карымское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Ленинградская, д. 77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Карымское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Красноармейская, д. 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lang w:val="en-US"/>
              </w:rPr>
            </w:pPr>
            <w:r>
              <w:rPr>
                <w:color w:themeColor="text1" w:val="000000"/>
                <w:szCs w:val="24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lang w:val="en-US"/>
              </w:rPr>
            </w:pPr>
            <w:r>
              <w:rPr>
                <w:color w:themeColor="text1" w:val="000000"/>
                <w:szCs w:val="24"/>
                <w:lang w:val="en-US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Карымское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Ленинградская, д. 66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Краснокаменский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Краснокаменск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зд.общ.организаций, мкр. № 505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Краснокаменск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ПР.строителей, стр. 23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Краснокаменск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Проспект Строителей, д. 19, корпус 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Красночикойский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Красный Чикой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Первомайская, д. 59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3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Красный Чикой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Пролетарская, д. 111 «а»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Красный Чикой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Первомайская, д. 91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Кыринский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Кыра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38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Кыра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Новая, д. 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lang w:val="en-US"/>
              </w:rPr>
            </w:pPr>
            <w:r>
              <w:rPr>
                <w:color w:themeColor="text1" w:val="000000"/>
                <w:szCs w:val="24"/>
                <w:lang w:val="en-US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lang w:val="en-US"/>
              </w:rPr>
            </w:pPr>
            <w:r>
              <w:rPr>
                <w:color w:themeColor="text1" w:val="000000"/>
                <w:szCs w:val="24"/>
                <w:lang w:val="en-US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Кыра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57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Могойтуйский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Могойтуй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Гагарина, 19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Могойтуй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50 лет октября, д.4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Могойтуй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Гагарина, д. 14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Могочинский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Могоча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13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Могоча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Проворкина, д. 13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89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Могоча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27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Нерчиснский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Нерчинск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Шилова, д. 5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Нерчинск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Советская, д. 52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м Нерчинск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Советская, д. 69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Нерчинско-Заводский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Нерчинский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Красноармейская, д. 62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Нерчинский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30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Нерчинский Завод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Совхозная, д. 37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50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Ононский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Нижний Цасучей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35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300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Нижний Цасучей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Коммунальная, д. 23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450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Нижний Цасучей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23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Оловяннинский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Оловянная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Московская, д. 47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 Оловянная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Московская, д. 89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Ясногорск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мкр. Степной, д. 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95" w:hRule="atLeast"/>
        </w:trPr>
        <w:tc>
          <w:tcPr>
            <w:tcW w:w="5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  <w:highlight w:val="yellow"/>
              </w:rPr>
            </w:pPr>
            <w:r>
              <w:rPr>
                <w:color w:themeColor="text1" w:val="000000"/>
                <w:szCs w:val="24"/>
              </w:rPr>
              <w:t>г. Петровск-Забайкальский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Петровск-Забайкальский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Горбачевского, д. 19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Петровск-Забайкальский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50 лет ВЛКСМ, д. 12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675" w:hRule="atLeast"/>
        </w:trPr>
        <w:tc>
          <w:tcPr>
            <w:tcW w:w="5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Петровск-Забайкальский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51 лет ВЛКСМ, д. 14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24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Приаргунский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Приаргунск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Приаргунск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Губина, 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 Приаргунск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Луговая, 10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25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Сретенский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Сретенск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Кочеткова, д. 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8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Сретенск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Гладкова,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Сретенск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Набережная, д. 26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26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Тунгокоченский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Верхние Усугли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Пролетарская, д. 1 «а»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330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Верхние Усугли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Первомайская,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450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п.  Вершино-Дарасунский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Октябрьская д. 17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391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27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Тунгиро-Олёкминский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Тупик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Нагорная, д. 22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34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Тупик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Нагорная, д. 27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28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Улетовский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Улёты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Кирова, д. 68 «а»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49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Улёты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Советская, д. 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31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Улёты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Кирова,143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29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Хилокский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Хилок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Хилок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набережная, д. 39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Хилок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Комсомольская, д. 12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30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Чернышевский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Чернышевск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Калинина д. 14 «б»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70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Чернышевск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Энергетиков, д. 51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пгт.  Чернышевск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Центральная, д. 19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5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31</w:t>
            </w:r>
          </w:p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Шелопугинский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Шелопугино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Лазо, д.6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37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Шелопугино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Первомайская,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с. Шелопугино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Юбилейная, д. 6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32</w:t>
            </w:r>
          </w:p>
        </w:tc>
        <w:tc>
          <w:tcPr>
            <w:tcW w:w="1418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Шилкинский</w:t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ЕДДС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Шилка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80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01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Шилка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Баданина, д. 1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1024Кбит/с</w:t>
            </w:r>
          </w:p>
        </w:tc>
      </w:tr>
      <w:tr>
        <w:trPr>
          <w:trHeight w:val="225" w:hRule="atLeast"/>
        </w:trPr>
        <w:tc>
          <w:tcPr>
            <w:tcW w:w="56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418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</w:r>
          </w:p>
        </w:tc>
        <w:tc>
          <w:tcPr>
            <w:tcW w:w="1735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ДДС 02</w:t>
            </w:r>
          </w:p>
        </w:tc>
        <w:tc>
          <w:tcPr>
            <w:tcW w:w="1984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г. Шилка</w:t>
            </w:r>
          </w:p>
        </w:tc>
        <w:tc>
          <w:tcPr>
            <w:tcW w:w="2413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Ленина, д. 94</w:t>
            </w:r>
          </w:p>
        </w:tc>
        <w:tc>
          <w:tcPr>
            <w:tcW w:w="1276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</w:t>
            </w:r>
          </w:p>
        </w:tc>
        <w:tc>
          <w:tcPr>
            <w:tcW w:w="1131" w:type="dxa"/>
            <w:tcBorders>
              <w:bottom w:val="single" w:sz="4" w:space="0" w:color="000000"/>
              <w:end w:val="single" w:sz="4" w:space="0" w:color="000000"/>
            </w:tcBorders>
            <w:shd w:color="000000" w:fill="FFFFFF" w:val="clear"/>
          </w:tcPr>
          <w:p>
            <w:pPr>
              <w:pStyle w:val="Normal"/>
              <w:jc w:val="center"/>
              <w:rPr>
                <w:color w:themeColor="text1" w:val="000000"/>
                <w:szCs w:val="24"/>
              </w:rPr>
            </w:pPr>
            <w:r>
              <w:rPr>
                <w:color w:themeColor="text1" w:val="000000"/>
                <w:szCs w:val="24"/>
              </w:rPr>
              <w:t>2048Кбит/с</w:t>
            </w:r>
          </w:p>
        </w:tc>
      </w:tr>
      <w:tr>
        <w:trPr>
          <w:trHeight w:val="240" w:hRule="atLeast"/>
        </w:trPr>
        <w:tc>
          <w:tcPr>
            <w:tcW w:w="562" w:type="dxa"/>
            <w:tcBorders/>
            <w:shd w:color="000000" w:fill="FFFFFF" w:val="clear"/>
            <w:vAlign w:val="bottom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418" w:type="dxa"/>
            <w:tcBorders/>
            <w:shd w:color="000000" w:fill="FFFFFF" w:val="clear"/>
            <w:vAlign w:val="bottom"/>
          </w:tcPr>
          <w:p>
            <w:pPr>
              <w:pStyle w:val="Normal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1735" w:type="dxa"/>
            <w:tcBorders/>
            <w:shd w:color="000000" w:fill="FFFFFF" w:val="clear"/>
            <w:vAlign w:val="bottom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84" w:type="dxa"/>
            <w:tcBorders/>
            <w:shd w:color="000000" w:fill="FFFFFF" w:val="clear"/>
            <w:vAlign w:val="bottom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413" w:type="dxa"/>
            <w:tcBorders/>
            <w:shd w:color="000000" w:fill="FFFFFF" w:val="clear"/>
            <w:vAlign w:val="bottom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276" w:type="dxa"/>
            <w:tcBorders/>
            <w:shd w:color="000000" w:fill="FFFFFF" w:val="clear"/>
            <w:vAlign w:val="bottom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131" w:type="dxa"/>
            <w:tcBorders/>
            <w:shd w:color="000000" w:fill="FFFFFF" w:val="clear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ind w:firstLine="567" w:start="-426"/>
        <w:jc w:val="both"/>
        <w:rPr>
          <w:caps/>
          <w:szCs w:val="24"/>
        </w:rPr>
      </w:pPr>
      <w:r>
        <w:rPr>
          <w:caps/>
          <w:szCs w:val="24"/>
        </w:rPr>
        <w:t>в</w:t>
      </w:r>
      <w:r>
        <w:rPr>
          <w:szCs w:val="24"/>
        </w:rPr>
        <w:t xml:space="preserve"> случае изменения адресной составляющей и скорости передачи данных</w:t>
      </w:r>
      <w:r>
        <w:rPr>
          <w:caps/>
          <w:szCs w:val="24"/>
        </w:rPr>
        <w:t xml:space="preserve">, </w:t>
      </w:r>
      <w:r>
        <w:rPr>
          <w:szCs w:val="24"/>
        </w:rPr>
        <w:t>требуется перенастройка оборудования на новый адрес (без изменения стоимости контракта).</w:t>
      </w:r>
    </w:p>
    <w:p>
      <w:pPr>
        <w:pStyle w:val="Normal"/>
        <w:jc w:val="both"/>
        <w:rPr>
          <w:caps/>
          <w:highlight w:val="yellow"/>
        </w:rPr>
      </w:pPr>
      <w:r>
        <w:rPr>
          <w:caps/>
          <w:highlight w:val="yellow"/>
        </w:rPr>
      </w:r>
      <w:r>
        <w:br w:type="page"/>
      </w:r>
    </w:p>
    <w:p>
      <w:pPr>
        <w:pStyle w:val="Heading1"/>
        <w:spacing w:before="0" w:after="60"/>
        <w:jc w:val="center"/>
        <w:rPr>
          <w:rFonts w:ascii="Times New Roman" w:hAnsi="Times New Roman"/>
          <w:bCs/>
          <w:caps/>
          <w:sz w:val="24"/>
          <w:szCs w:val="24"/>
        </w:rPr>
      </w:pPr>
      <w:r>
        <w:rPr>
          <w:rFonts w:ascii="Times New Roman" w:hAnsi="Times New Roman"/>
          <w:bCs/>
          <w:caps/>
          <w:sz w:val="24"/>
          <w:szCs w:val="24"/>
        </w:rPr>
        <w:t>ПРИЛОЖЕНИЕ Б</w:t>
      </w:r>
    </w:p>
    <w:tbl>
      <w:tblPr>
        <w:tblStyle w:val="64"/>
        <w:tblW w:w="9918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672"/>
        <w:gridCol w:w="5246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Наименование технического средства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ПАК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 xml:space="preserve"> ViPNet Coordinator HW100 C 4.x (+unlim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1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ПАК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 xml:space="preserve"> ViPNet Coordinator HW50 A 4.x (+unlim)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2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ПАК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 xml:space="preserve"> ViPNet Coordinator HW1000 4.x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ПО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 xml:space="preserve"> ViPNet Administrator 4.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х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 xml:space="preserve"> (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КС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2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1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Программно-аппаратный комплекс АПМДЗ Соболь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9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 xml:space="preserve">Средство антивирусной защиты 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Kaspersky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Endpoint</w:t>
            </w: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Security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110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Операционная система специального назначения «Astra Linux Special Edition» для 64-х разрядной платформы на базе процессорной архитектуры х86-64, уровень защищенности «Усиленный» («Воронеж»), РУСБ.10015-01 (ФСТЭК)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95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 xml:space="preserve">Система управления и реагирования на события информационной безопасности </w:t>
            </w: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RuSIEM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Рутокен ЭЦП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5</w:t>
            </w:r>
          </w:p>
        </w:tc>
      </w:tr>
    </w:tbl>
    <w:p>
      <w:pPr>
        <w:pStyle w:val="Normal"/>
        <w:ind w:firstLine="708"/>
        <w:jc w:val="both"/>
        <w:rPr>
          <w:caps/>
          <w:szCs w:val="24"/>
        </w:rPr>
      </w:pPr>
      <w:r>
        <w:rPr>
          <w:caps/>
          <w:szCs w:val="24"/>
        </w:rPr>
        <w:t>в</w:t>
      </w:r>
      <w:r>
        <w:rPr>
          <w:szCs w:val="24"/>
        </w:rPr>
        <w:t xml:space="preserve"> случае несовпадения перечня оборудования (количества)</w:t>
      </w:r>
      <w:r>
        <w:rPr>
          <w:caps/>
          <w:szCs w:val="24"/>
        </w:rPr>
        <w:t xml:space="preserve">, </w:t>
      </w:r>
      <w:r>
        <w:rPr>
          <w:szCs w:val="24"/>
        </w:rPr>
        <w:t>требуется согласование с Заказчиком (без изменения цены контракта).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center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center"/>
        <w:rPr>
          <w:rFonts w:eastAsia="Calibri"/>
          <w:b/>
          <w:szCs w:val="24"/>
          <w:lang w:val="en-US" w:eastAsia="en-US"/>
        </w:rPr>
      </w:pPr>
      <w:r>
        <w:rPr>
          <w:rFonts w:eastAsia="Calibri"/>
          <w:b/>
          <w:szCs w:val="24"/>
          <w:lang w:eastAsia="en-US"/>
        </w:rPr>
        <w:t xml:space="preserve">Список объектов (ЦОВ-АЦ), участвующих в межсубъектовом информационном обмене в рамках предоставления услуги предоставления каналов связи посредством технологии </w:t>
      </w:r>
      <w:r>
        <w:rPr>
          <w:rFonts w:eastAsia="Calibri"/>
          <w:b/>
          <w:szCs w:val="24"/>
          <w:lang w:val="en-US" w:eastAsia="en-US"/>
        </w:rPr>
        <w:t>VPN</w:t>
      </w:r>
      <w:r>
        <w:rPr>
          <w:rFonts w:eastAsia="Calibri"/>
          <w:b/>
          <w:szCs w:val="24"/>
          <w:lang w:eastAsia="en-US"/>
        </w:rPr>
        <w:t xml:space="preserve"> с возможностью перехода на технологию </w:t>
      </w:r>
      <w:r>
        <w:rPr>
          <w:rFonts w:eastAsia="Calibri"/>
          <w:b/>
          <w:szCs w:val="24"/>
          <w:lang w:val="en-US" w:eastAsia="en-US"/>
        </w:rPr>
        <w:t>IPoE</w:t>
      </w:r>
    </w:p>
    <w:p>
      <w:pPr>
        <w:pStyle w:val="Normal"/>
        <w:widowControl w:val="false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Style w:val="affff7"/>
        <w:tblW w:w="9918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16"/>
        <w:gridCol w:w="3827"/>
        <w:gridCol w:w="5675"/>
      </w:tblGrid>
      <w:tr>
        <w:trPr/>
        <w:tc>
          <w:tcPr>
            <w:tcW w:w="41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ru-RU" w:eastAsia="ru-RU" w:bidi="ar-SA"/>
              </w:rPr>
              <w:t>Объект системы 112</w:t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ru-RU" w:eastAsia="ru-RU" w:bidi="ar-SA"/>
              </w:rPr>
              <w:t xml:space="preserve">Интеграция по средствам </w:t>
            </w:r>
            <w:r>
              <w:rPr>
                <w:b/>
                <w:kern w:val="0"/>
                <w:szCs w:val="24"/>
                <w:lang w:val="en-US" w:eastAsia="ru-RU" w:bidi="ar-SA"/>
              </w:rPr>
              <w:t>ViPNet</w:t>
            </w:r>
            <w:r>
              <w:rPr>
                <w:b/>
                <w:kern w:val="0"/>
                <w:szCs w:val="24"/>
                <w:lang w:val="ru-RU" w:eastAsia="ru-RU" w:bidi="ar-SA"/>
              </w:rPr>
              <w:t xml:space="preserve"> Субъектов РФ, граничащих с Забайкальский краем</w:t>
            </w:r>
          </w:p>
        </w:tc>
      </w:tr>
      <w:tr>
        <w:trPr/>
        <w:tc>
          <w:tcPr>
            <w:tcW w:w="4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ru-RU" w:eastAsia="ru-RU" w:bidi="ar-SA"/>
              </w:rPr>
              <w:t>1</w:t>
            </w:r>
          </w:p>
        </w:tc>
        <w:tc>
          <w:tcPr>
            <w:tcW w:w="3827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start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Забайкальский край, город Чита, ул. Лермонтова 1, ЦОВ-АЦ</w:t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Республика Бурятия, г. Улан-Удэ</w:t>
            </w:r>
          </w:p>
        </w:tc>
      </w:tr>
      <w:tr>
        <w:trPr/>
        <w:tc>
          <w:tcPr>
            <w:tcW w:w="4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Иркутская область, г. Иркутск</w:t>
            </w:r>
          </w:p>
        </w:tc>
      </w:tr>
      <w:tr>
        <w:trPr/>
        <w:tc>
          <w:tcPr>
            <w:tcW w:w="4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Республика Саха (Якутия)</w:t>
            </w:r>
          </w:p>
        </w:tc>
      </w:tr>
      <w:tr>
        <w:trPr/>
        <w:tc>
          <w:tcPr>
            <w:tcW w:w="4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Амурская область, г. Благовещенск</w:t>
            </w:r>
          </w:p>
        </w:tc>
      </w:tr>
      <w:tr>
        <w:trPr/>
        <w:tc>
          <w:tcPr>
            <w:tcW w:w="4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kern w:val="0"/>
                <w:szCs w:val="24"/>
                <w:lang w:val="ru-RU" w:eastAsia="ru-RU" w:bidi="ar-SA"/>
              </w:rPr>
              <w:t>2</w:t>
            </w:r>
          </w:p>
        </w:tc>
        <w:tc>
          <w:tcPr>
            <w:tcW w:w="3827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Забайкальский край, город Чита, ул. Кочеткова 2б, РЦОД</w:t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Республика Бурятия, г. Улан-Удэ</w:t>
            </w:r>
          </w:p>
        </w:tc>
      </w:tr>
      <w:tr>
        <w:trPr/>
        <w:tc>
          <w:tcPr>
            <w:tcW w:w="4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Иркутская область, г. Иркутск</w:t>
            </w:r>
          </w:p>
        </w:tc>
      </w:tr>
      <w:tr>
        <w:trPr/>
        <w:tc>
          <w:tcPr>
            <w:tcW w:w="4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Республика Саха (Якутия)</w:t>
            </w:r>
          </w:p>
        </w:tc>
      </w:tr>
      <w:tr>
        <w:trPr/>
        <w:tc>
          <w:tcPr>
            <w:tcW w:w="4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827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567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4"/>
              </w:rPr>
            </w:pPr>
            <w:r>
              <w:rPr>
                <w:kern w:val="0"/>
                <w:szCs w:val="24"/>
                <w:lang w:val="ru-RU" w:eastAsia="ru-RU" w:bidi="ar-SA"/>
              </w:rPr>
              <w:t>Амурская область, г. Благовещенск</w:t>
            </w:r>
          </w:p>
        </w:tc>
      </w:tr>
    </w:tbl>
    <w:p>
      <w:pPr>
        <w:pStyle w:val="Normal"/>
        <w:widowControl w:val="false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Heading1"/>
        <w:jc w:val="center"/>
        <w:rPr>
          <w:rFonts w:ascii="Times New Roman" w:hAnsi="Times New Roman"/>
          <w:bCs/>
          <w:caps/>
          <w:sz w:val="24"/>
          <w:szCs w:val="24"/>
        </w:rPr>
      </w:pPr>
      <w:r>
        <w:rPr>
          <w:rFonts w:ascii="Times New Roman" w:hAnsi="Times New Roman"/>
          <w:bCs/>
          <w:caps/>
          <w:sz w:val="24"/>
          <w:szCs w:val="24"/>
        </w:rPr>
        <w:t>ПРИЛОЖЕНИЕ В</w:t>
      </w:r>
    </w:p>
    <w:tbl>
      <w:tblPr>
        <w:tblStyle w:val="63"/>
        <w:tblW w:w="991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672"/>
        <w:gridCol w:w="5246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Наименование технического средства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kern w:val="0"/>
                <w:szCs w:val="20"/>
                <w:lang w:val="ru-RU" w:eastAsia="ru-RU" w:bidi="ru-RU"/>
              </w:rPr>
              <w:t>Многофункциональный интеллектуальный шлюз Tiger.MS.60/2000;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4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kern w:val="0"/>
                <w:szCs w:val="20"/>
                <w:lang w:val="ru-RU" w:eastAsia="ru-RU" w:bidi="ru-RU"/>
              </w:rPr>
              <w:t>Многофункциональный интеллектуальный шлюз Tiger.MS</w:t>
            </w:r>
            <w:r>
              <w:rPr>
                <w:kern w:val="0"/>
                <w:szCs w:val="20"/>
                <w:lang w:val="en-US" w:eastAsia="ru-RU" w:bidi="ru-RU"/>
              </w:rPr>
              <w:t>C</w:t>
            </w:r>
            <w:r>
              <w:rPr>
                <w:kern w:val="0"/>
                <w:szCs w:val="20"/>
                <w:lang w:val="ru-RU" w:eastAsia="ru-RU" w:bidi="ru-RU"/>
              </w:rPr>
              <w:t>.60/2000;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val="ru-RU" w:eastAsia="en-US" w:bidi="ar-SA"/>
              </w:rPr>
              <w:t>31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kern w:val="0"/>
                <w:szCs w:val="20"/>
                <w:lang w:val="ru-RU" w:eastAsia="ru-RU" w:bidi="ru-RU"/>
              </w:rPr>
              <w:t>Протей-imSwitch5 Автоматическая телефонная станция (АТС Протей-imSwitch5 112Т5)</w:t>
            </w:r>
          </w:p>
        </w:tc>
        <w:tc>
          <w:tcPr>
            <w:tcW w:w="5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/>
                <w:szCs w:val="24"/>
                <w:lang w:val="en-US" w:eastAsia="en-US"/>
              </w:rPr>
            </w:pPr>
            <w:r>
              <w:rPr>
                <w:rFonts w:eastAsia="Calibri"/>
                <w:kern w:val="0"/>
                <w:szCs w:val="24"/>
                <w:lang w:val="en-US" w:eastAsia="en-US" w:bidi="ar-SA"/>
              </w:rPr>
              <w:t>2</w:t>
            </w:r>
          </w:p>
        </w:tc>
      </w:tr>
    </w:tbl>
    <w:p>
      <w:pPr>
        <w:pStyle w:val="Normal"/>
        <w:ind w:firstLine="708"/>
        <w:jc w:val="both"/>
        <w:rPr>
          <w:caps/>
          <w:szCs w:val="24"/>
        </w:rPr>
      </w:pPr>
      <w:r>
        <w:rPr>
          <w:caps/>
          <w:szCs w:val="24"/>
        </w:rPr>
        <w:t>в</w:t>
      </w:r>
      <w:r>
        <w:rPr>
          <w:szCs w:val="24"/>
        </w:rPr>
        <w:t xml:space="preserve"> случае несовпадения перечня оборудования (количества)</w:t>
      </w:r>
      <w:r>
        <w:rPr>
          <w:caps/>
          <w:szCs w:val="24"/>
        </w:rPr>
        <w:t xml:space="preserve">, </w:t>
      </w:r>
      <w:r>
        <w:rPr>
          <w:szCs w:val="24"/>
        </w:rPr>
        <w:t>требуется согласование с Заказчиком (без изменения цены контракта).</w:t>
      </w:r>
    </w:p>
    <w:p>
      <w:pPr>
        <w:pStyle w:val="Normal"/>
        <w:tabs>
          <w:tab w:val="clear" w:pos="708"/>
          <w:tab w:val="left" w:pos="7365" w:leader="none"/>
        </w:tabs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ПРИЛОЖЕНИЕ Г</w:t>
      </w:r>
    </w:p>
    <w:p>
      <w:pPr>
        <w:pStyle w:val="Normal"/>
        <w:jc w:val="center"/>
        <w:rPr>
          <w:b/>
        </w:rPr>
      </w:pPr>
      <w:r>
        <w:rPr>
          <w:b/>
        </w:rPr>
        <w:t>Перечень оборудования</w:t>
      </w:r>
    </w:p>
    <w:p>
      <w:pPr>
        <w:pStyle w:val="Normal"/>
        <w:jc w:val="center"/>
        <w:rPr/>
      </w:pPr>
      <w:r>
        <w:rPr/>
      </w:r>
    </w:p>
    <w:tbl>
      <w:tblPr>
        <w:tblStyle w:val="affff7"/>
        <w:tblW w:w="9918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2"/>
        <w:gridCol w:w="7513"/>
        <w:gridCol w:w="1843"/>
      </w:tblGrid>
      <w:tr>
        <w:trPr>
          <w:trHeight w:val="455" w:hRule="atLeast"/>
        </w:trPr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end"/>
              <w:rPr>
                <w:kern w:val="0"/>
                <w:szCs w:val="20"/>
                <w:lang w:val="ru-RU" w:eastAsia="ru-RU" w:bidi="ar-SA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 xml:space="preserve">№ </w:t>
            </w:r>
            <w:r>
              <w:rPr>
                <w:color w:val="000000"/>
                <w:kern w:val="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Наименование оборудования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Количество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(шт.)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1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Программно-аппаратный комплекс ViPNet Coordinator HW1000 4.x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2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  <w:szCs w:val="20"/>
                <w:lang w:val="ru-RU" w:eastAsia="ru-RU" w:bidi="ar-SA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Программно-аппаратный комплекс ViPNet Coordinator HW100C 4.x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3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Программно-аппаратный комплекс ViPNet Coordinator HW50. В 4.x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21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4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 xml:space="preserve">Телекоммуникационный шлюз Tiger. </w:t>
            </w:r>
            <w:r>
              <w:rPr>
                <w:color w:val="000000"/>
                <w:kern w:val="0"/>
                <w:szCs w:val="24"/>
                <w:lang w:val="en-US" w:eastAsia="ru-RU" w:bidi="ar-SA"/>
              </w:rPr>
              <w:t>MSC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szCs w:val="20"/>
                <w:lang w:val="en-US" w:eastAsia="ru-RU" w:bidi="ar-SA"/>
              </w:rPr>
              <w:t>35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5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 xml:space="preserve">Телекоммуникационный шлюз Tiger. </w:t>
            </w:r>
            <w:r>
              <w:rPr>
                <w:color w:val="000000"/>
                <w:kern w:val="0"/>
                <w:szCs w:val="24"/>
                <w:lang w:val="en-US" w:eastAsia="ru-RU" w:bidi="ar-SA"/>
              </w:rPr>
              <w:t>MS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szCs w:val="20"/>
                <w:lang w:val="en-US" w:eastAsia="ru-RU" w:bidi="ar-SA"/>
              </w:rPr>
              <w:t>4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6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themeColor="text1" w:val="000000"/>
                <w:kern w:val="0"/>
                <w:szCs w:val="24"/>
                <w:lang w:val="ru-RU" w:eastAsia="ru-RU" w:bidi="ar-SA"/>
              </w:rPr>
              <w:t>Сервер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18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7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 xml:space="preserve">АТС </w:t>
            </w:r>
            <w:r>
              <w:rPr>
                <w:color w:val="000000"/>
                <w:kern w:val="0"/>
                <w:szCs w:val="24"/>
                <w:lang w:val="en-US" w:eastAsia="ru-RU" w:bidi="ar-SA"/>
              </w:rPr>
              <w:t>imSwitch5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szCs w:val="20"/>
                <w:lang w:val="en-US" w:eastAsia="ru-RU" w:bidi="ar-SA"/>
              </w:rPr>
              <w:t>2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8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ИБП серверного оборудования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37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9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Коммутатор доступа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38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10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Маршрутизатор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39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11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Система хранения данных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12</w:t>
            </w:r>
          </w:p>
        </w:tc>
        <w:tc>
          <w:tcPr>
            <w:tcW w:w="7513" w:type="dxa"/>
            <w:tcBorders/>
            <w:vAlign w:val="bottom"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Консоль выдвижная (ноутбук) серверная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13</w:t>
            </w:r>
          </w:p>
        </w:tc>
        <w:tc>
          <w:tcPr>
            <w:tcW w:w="935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kern w:val="0"/>
                <w:szCs w:val="20"/>
                <w:lang w:val="ru-RU" w:eastAsia="ru-RU" w:bidi="ar-SA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АРМ рабочего места оператора в составе: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14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Системный блок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95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15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Клавиатура</w:t>
            </w:r>
            <w:r>
              <w:rPr>
                <w:color w:val="000000"/>
                <w:kern w:val="0"/>
                <w:szCs w:val="24"/>
                <w:lang w:val="en-US" w:eastAsia="ru-RU" w:bidi="ar-SA"/>
              </w:rPr>
              <w:t xml:space="preserve"> </w:t>
            </w:r>
            <w:r>
              <w:rPr>
                <w:color w:val="000000"/>
                <w:kern w:val="0"/>
                <w:szCs w:val="24"/>
                <w:lang w:val="ru-RU" w:eastAsia="ru-RU" w:bidi="ar-SA"/>
              </w:rPr>
              <w:t>+</w:t>
            </w:r>
            <w:r>
              <w:rPr>
                <w:color w:val="000000"/>
                <w:kern w:val="0"/>
                <w:szCs w:val="24"/>
                <w:lang w:val="en-US" w:eastAsia="ru-RU" w:bidi="ar-SA"/>
              </w:rPr>
              <w:t xml:space="preserve"> </w:t>
            </w:r>
            <w:r>
              <w:rPr>
                <w:color w:val="000000"/>
                <w:kern w:val="0"/>
                <w:szCs w:val="24"/>
                <w:lang w:val="ru-RU" w:eastAsia="ru-RU" w:bidi="ar-SA"/>
              </w:rPr>
              <w:t>мышь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95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16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Монитор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190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17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Телефон</w:t>
            </w:r>
            <w:r>
              <w:rPr>
                <w:color w:val="000000"/>
                <w:kern w:val="0"/>
                <w:szCs w:val="24"/>
                <w:lang w:val="en-US" w:eastAsia="ru-RU" w:bidi="ar-SA"/>
              </w:rPr>
              <w:t xml:space="preserve"> SIP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en-US" w:eastAsia="ru-RU" w:bidi="ar-SA"/>
              </w:rPr>
              <w:t>9</w:t>
            </w:r>
            <w:r>
              <w:rPr>
                <w:kern w:val="0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18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ИБП для ПК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en-US" w:eastAsia="ru-RU" w:bidi="ar-SA"/>
              </w:rPr>
              <w:t>9</w:t>
            </w:r>
            <w:r>
              <w:rPr>
                <w:kern w:val="0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19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Гарнитура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95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20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005" w:leader="none"/>
              </w:tabs>
              <w:spacing w:before="0" w:after="0"/>
              <w:jc w:val="start"/>
              <w:rPr>
                <w:color w:val="000000"/>
                <w:szCs w:val="24"/>
              </w:rPr>
            </w:pPr>
            <w:r>
              <w:rPr>
                <w:color w:val="000000"/>
                <w:kern w:val="0"/>
                <w:szCs w:val="24"/>
                <w:lang w:val="ru-RU" w:eastAsia="ru-RU" w:bidi="ar-SA"/>
              </w:rPr>
              <w:t>ПАК АМПДЗ «Соболь»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szCs w:val="20"/>
                <w:lang w:val="ru-RU" w:eastAsia="ru-RU" w:bidi="ar-SA"/>
              </w:rPr>
            </w:pPr>
            <w:r>
              <w:rPr>
                <w:kern w:val="0"/>
                <w:szCs w:val="20"/>
                <w:lang w:val="ru-RU" w:eastAsia="ru-RU" w:bidi="ar-SA"/>
              </w:rPr>
              <w:t>95</w:t>
            </w:r>
          </w:p>
        </w:tc>
      </w:tr>
    </w:tbl>
    <w:p>
      <w:pPr>
        <w:pStyle w:val="Normal"/>
        <w:ind w:firstLine="708"/>
        <w:jc w:val="both"/>
        <w:rPr>
          <w:szCs w:val="24"/>
        </w:rPr>
      </w:pPr>
      <w:r>
        <w:rPr>
          <w:caps/>
          <w:szCs w:val="24"/>
        </w:rPr>
        <w:t>в</w:t>
      </w:r>
      <w:r>
        <w:rPr>
          <w:szCs w:val="24"/>
        </w:rPr>
        <w:t xml:space="preserve"> случае несовпадения перечня оборудования (количества)</w:t>
      </w:r>
      <w:r>
        <w:rPr>
          <w:caps/>
          <w:szCs w:val="24"/>
        </w:rPr>
        <w:t xml:space="preserve">, </w:t>
      </w:r>
      <w:r>
        <w:rPr>
          <w:szCs w:val="24"/>
        </w:rPr>
        <w:t>требуется согласование с Заказчиком (без изменения цены контракта).</w:t>
      </w:r>
    </w:p>
    <w:p>
      <w:pPr>
        <w:pStyle w:val="Normal"/>
        <w:rPr>
          <w:szCs w:val="24"/>
        </w:rPr>
      </w:pPr>
      <w:r>
        <w:rPr>
          <w:szCs w:val="24"/>
        </w:rPr>
      </w:r>
      <w:r>
        <w:br w:type="page"/>
      </w:r>
    </w:p>
    <w:p>
      <w:pPr>
        <w:pStyle w:val="Normal"/>
        <w:spacing w:before="0" w:after="0"/>
        <w:jc w:val="center"/>
        <w:rPr>
          <w:b/>
          <w:bCs/>
          <w:caps/>
          <w:szCs w:val="24"/>
        </w:rPr>
      </w:pPr>
      <w:r>
        <w:rPr>
          <w:b/>
          <w:bCs/>
          <w:szCs w:val="24"/>
        </w:rPr>
        <w:t>ПРИЛОЖЕНИЕ Д</w:t>
      </w:r>
    </w:p>
    <w:p>
      <w:pPr>
        <w:pStyle w:val="Normal"/>
        <w:jc w:val="center"/>
        <w:rPr>
          <w:b/>
          <w:bCs/>
          <w:caps/>
          <w:szCs w:val="24"/>
        </w:rPr>
      </w:pPr>
      <w:r>
        <w:rPr>
          <w:b/>
          <w:bCs/>
          <w:szCs w:val="24"/>
        </w:rPr>
        <w:t>Поставляемые сертификаты технической поддержки</w:t>
      </w:r>
    </w:p>
    <w:p>
      <w:pPr>
        <w:pStyle w:val="Normal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</w:r>
    </w:p>
    <w:tbl>
      <w:tblPr>
        <w:tblW w:w="9636" w:type="dxa"/>
        <w:jc w:val="start"/>
        <w:tblInd w:w="10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532"/>
        <w:gridCol w:w="7709"/>
        <w:gridCol w:w="1395"/>
      </w:tblGrid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технического средства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активации сервиса совместной технической поддержки ПАК </w:t>
            </w:r>
            <w:r>
              <w:rPr>
                <w:rFonts w:ascii="Times New Roman" w:hAnsi="Times New Roman"/>
                <w:lang w:val="en-US"/>
              </w:rPr>
              <w:t>ViPNet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Coordinator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HW</w:t>
            </w:r>
            <w:r>
              <w:rPr>
                <w:rFonts w:ascii="Times New Roman" w:hAnsi="Times New Roman"/>
              </w:rPr>
              <w:t>1000 4.</w:t>
            </w:r>
            <w:r>
              <w:rPr>
                <w:rFonts w:ascii="Times New Roman" w:hAnsi="Times New Roman"/>
                <w:lang w:val="en-US"/>
              </w:rPr>
              <w:t>x</w:t>
            </w:r>
            <w:r>
              <w:rPr>
                <w:rFonts w:ascii="Times New Roman" w:hAnsi="Times New Roman"/>
              </w:rPr>
              <w:t xml:space="preserve"> на срок 1 год,уровень - Расширенный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активации сервиса совместной технической поддержки ПАК </w:t>
            </w:r>
            <w:r>
              <w:rPr>
                <w:rFonts w:ascii="Times New Roman" w:hAnsi="Times New Roman"/>
                <w:lang w:val="en-US"/>
              </w:rPr>
              <w:t>ViPNet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Coordinator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HW</w:t>
            </w:r>
            <w:r>
              <w:rPr>
                <w:rFonts w:ascii="Times New Roman" w:hAnsi="Times New Roman"/>
              </w:rPr>
              <w:t xml:space="preserve"> 4 Исполнение </w:t>
            </w:r>
            <w:r>
              <w:rPr>
                <w:rFonts w:ascii="Times New Roman" w:hAnsi="Times New Roman"/>
                <w:lang w:val="en-US"/>
              </w:rPr>
              <w:t>HW</w:t>
            </w:r>
            <w:r>
              <w:rPr>
                <w:rFonts w:ascii="Times New Roman" w:hAnsi="Times New Roman"/>
              </w:rPr>
              <w:t>50 на срок 1 год, уровень - Расширенный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активации сервиса совместной технической поддержки ПАК </w:t>
            </w:r>
            <w:r>
              <w:rPr>
                <w:rFonts w:ascii="Times New Roman" w:hAnsi="Times New Roman"/>
                <w:lang w:val="en-US"/>
              </w:rPr>
              <w:t>ViPNet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Coordinator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HW</w:t>
            </w:r>
            <w:r>
              <w:rPr>
                <w:rFonts w:ascii="Times New Roman" w:hAnsi="Times New Roman"/>
              </w:rPr>
              <w:t xml:space="preserve"> 4 Исполнение </w:t>
            </w:r>
            <w:r>
              <w:rPr>
                <w:rFonts w:ascii="Times New Roman" w:hAnsi="Times New Roman"/>
                <w:lang w:val="en-US"/>
              </w:rPr>
              <w:t>HW</w:t>
            </w:r>
            <w:r>
              <w:rPr>
                <w:rFonts w:ascii="Times New Roman" w:hAnsi="Times New Roman"/>
              </w:rPr>
              <w:t>100) на срок 1 год, уровень - Расширенный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активации сервиса совместной технической поддержки ПО ViPNet Prime) на срок 1 год, уровень -Расширенный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Дистрибутив ПО ViPNet Prime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на сопровождение (техподдержку) ОС Альт 8 СП Сервер, релиз 10, без права использования виртуализации, уровень стандартный, сроком на 12 мес.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Передача права на расширение функционала ПО ViPNet Prime. </w:t>
            </w: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Лицензия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модуль</w:t>
            </w:r>
            <w:r>
              <w:rPr>
                <w:rFonts w:ascii="Times New Roman" w:hAnsi="Times New Roman"/>
                <w:lang w:val="en-US"/>
              </w:rPr>
              <w:t xml:space="preserve"> Network Visibility System)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права на расширение функционала ПО ViPNet Prime. (Лицензия на модуль Policy Management)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права на расширение функционала ПО </w:t>
            </w:r>
            <w:r>
              <w:rPr>
                <w:rFonts w:ascii="Times New Roman" w:hAnsi="Times New Roman"/>
                <w:lang w:val="en-US"/>
              </w:rPr>
              <w:t>ViPNet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Prime</w:t>
            </w:r>
            <w:r>
              <w:rPr>
                <w:rFonts w:ascii="Times New Roman" w:hAnsi="Times New Roman"/>
              </w:rPr>
              <w:t xml:space="preserve">. (Лицензия на 1 узел мониторинга для модуля </w:t>
            </w:r>
            <w:r>
              <w:rPr>
                <w:rFonts w:ascii="Times New Roman" w:hAnsi="Times New Roman"/>
                <w:lang w:val="en-US"/>
              </w:rPr>
              <w:t>NVS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Передача права на расширение функционала ПО ViPNet Prime. (Лицензия на 1 узел управления для модуля PM)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активации сервиса совместной технической поддержки ПО ViPNet Prime. (Лицензия на 1 узел мониторинга для модуля NVS) на срок 1 год, уровень -Расширенный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активации сервиса совместной техническойподдержки ПО ViPNet Prime. (Лицензия на 1 узел управления для модуля PM) на срок 1 год, уровень - Расширенный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Права на программы для ЭВМ Лицензия на операционную систему специального назначения «Astra Linux Special Edition» для 64-х разрядной платформы на базе процессорной архитектуры х86-64, уровень защищенности</w:t>
            </w:r>
          </w:p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«Максимальный» («Смоленск»), РУСБ.10015-01 (ФСТЭК), способ передачи электронный, серверная до 2 сокетов или 1 виртуальный сервер, на срок действия исключительного права, с включенными обновлениями</w:t>
            </w:r>
          </w:p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1 на 12 мес.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numPr>
                <w:ilvl w:val="0"/>
                <w:numId w:val="2"/>
              </w:numPr>
              <w:ind w:hanging="0" w:start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Программно-аппаратный комплекс "Соболь".PCIe, A7, сертификаты ФСБ+ФСТЭК России</w:t>
            </w:r>
          </w:p>
        </w:tc>
        <w:tc>
          <w:tcPr>
            <w:tcW w:w="13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>
      <w:pPr>
        <w:pStyle w:val="Normal"/>
        <w:rPr>
          <w:caps/>
          <w:szCs w:val="24"/>
        </w:rPr>
      </w:pPr>
      <w:r>
        <w:rPr>
          <w:caps/>
          <w:szCs w:val="24"/>
        </w:rPr>
      </w:r>
    </w:p>
    <w:p>
      <w:pPr>
        <w:pStyle w:val="Normal"/>
        <w:rPr>
          <w:caps/>
          <w:szCs w:val="24"/>
        </w:rPr>
      </w:pPr>
      <w:r>
        <w:rPr>
          <w:caps/>
          <w:szCs w:val="24"/>
        </w:rPr>
      </w:r>
    </w:p>
    <w:p>
      <w:pPr>
        <w:pStyle w:val="Normal"/>
        <w:rPr>
          <w:caps/>
          <w:szCs w:val="24"/>
        </w:rPr>
      </w:pPr>
      <w:r>
        <w:rPr>
          <w:szCs w:val="24"/>
        </w:rPr>
        <w:t>в случае несовпадения перечня оборудования (количества), требуется согласование с Заказчиком (без изменения цены контракта).</w:t>
      </w:r>
    </w:p>
    <w:p>
      <w:pPr>
        <w:pStyle w:val="Normal"/>
        <w:rPr>
          <w:caps/>
          <w:szCs w:val="24"/>
        </w:rPr>
      </w:pPr>
      <w:r>
        <w:rPr>
          <w:caps/>
          <w:szCs w:val="24"/>
        </w:rPr>
      </w:r>
    </w:p>
    <w:p>
      <w:pPr>
        <w:pStyle w:val="Normal"/>
        <w:jc w:val="both"/>
        <w:rPr>
          <w:caps/>
          <w:szCs w:val="24"/>
        </w:rPr>
      </w:pPr>
      <w:r>
        <w:rPr>
          <w:caps/>
          <w:szCs w:val="24"/>
        </w:rPr>
      </w:r>
    </w:p>
    <w:p>
      <w:pPr>
        <w:pStyle w:val="Normal"/>
        <w:tabs>
          <w:tab w:val="clear" w:pos="708"/>
          <w:tab w:val="left" w:pos="7365" w:leader="none"/>
        </w:tabs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49" w:gutter="0" w:header="567" w:top="624" w:footer="0" w:bottom="993"/>
      <w:pgNumType w:start="75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Unicode MS">
    <w:charset w:val="01" w:characterSet="utf-8"/>
    <w:family w:val="swiss"/>
    <w:pitch w:val="variable"/>
  </w:font>
  <w:font w:name="Arial Narrow">
    <w:charset w:val="01" w:characterSet="utf-8"/>
    <w:family w:val="swiss"/>
    <w:pitch w:val="variable"/>
  </w:font>
  <w:font w:name="Courier">
    <w:altName w:val="Courier New"/>
    <w:charset w:val="01" w:characterSet="utf-8"/>
    <w:family w:val="roman"/>
    <w:pitch w:val="variable"/>
  </w:font>
  <w:font w:name="Consultant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Symbol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Cs w:val="24"/>
      </w:rPr>
    </w:pPr>
    <w:r>
      <w:rPr>
        <w:szCs w:val="24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1492"/>
        </w:tabs>
        <w:ind w:start="1492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926"/>
        </w:tabs>
        <w:ind w:start="926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1209"/>
        </w:tabs>
        <w:ind w:start="1209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492"/>
        </w:tabs>
        <w:ind w:start="149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1209"/>
        </w:tabs>
        <w:ind w:start="120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643"/>
        </w:tabs>
        <w:ind w:start="64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926"/>
        </w:tabs>
        <w:ind w:start="92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643"/>
        </w:tabs>
        <w:ind w:start="643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1">
    <w:lvl w:ilvl="0">
      <w:numFmt w:val="bullet"/>
      <w:lvlText w:val="-"/>
      <w:lvlJc w:val="start"/>
      <w:pPr>
        <w:tabs>
          <w:tab w:val="num" w:pos="360"/>
        </w:tabs>
        <w:ind w:star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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center"/>
      <w:pPr>
        <w:tabs>
          <w:tab w:val="num" w:pos="0"/>
        </w:tabs>
        <w:ind w:start="0" w:hanging="0"/>
      </w:pPr>
      <w:rPr>
        <w:b/>
        <w:i w:val="false"/>
      </w:rPr>
    </w:lvl>
    <w:lvl w:ilvl="1">
      <w:start w:val="1"/>
      <w:numFmt w:val="decimal"/>
      <w:lvlText w:val="%1.%2"/>
      <w:lvlJc w:val="start"/>
      <w:pPr>
        <w:tabs>
          <w:tab w:val="num" w:pos="851"/>
        </w:tabs>
        <w:ind w:start="851" w:hanging="851"/>
      </w:pPr>
      <w:rPr>
        <w:rFonts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start"/>
      <w:pPr>
        <w:tabs>
          <w:tab w:val="num" w:pos="851"/>
        </w:tabs>
        <w:ind w:start="851" w:hanging="851"/>
      </w:pPr>
      <w:rPr>
        <w:b w:val="false"/>
        <w:bCs w:val="false"/>
        <w:i w:val="false"/>
        <w:iCs w:val="false"/>
      </w:rPr>
    </w:lvl>
    <w:lvl w:ilvl="3">
      <w:start w:val="1"/>
      <w:numFmt w:val="lowerLetter"/>
      <w:lvlText w:val="%4)"/>
      <w:lvlJc w:val="start"/>
      <w:pPr>
        <w:tabs>
          <w:tab w:val="num" w:pos="1418"/>
        </w:tabs>
        <w:ind w:start="1418" w:hanging="567"/>
      </w:pPr>
      <w:rPr>
        <w:rFonts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auto"/>
        <w:spacing w:val="0"/>
        <w:position w:val="0"/>
        <w:sz w:val="20"/>
        <w:u w:val="none"/>
        <w:vertAlign w:val="baseline"/>
      </w:rPr>
    </w:lvl>
    <w:lvl w:ilvl="4">
      <w:start w:val="1"/>
      <w:numFmt w:val="lowerLetter"/>
      <w:lvlText w:val="%5)"/>
      <w:lvlJc w:val="start"/>
      <w:pPr>
        <w:tabs>
          <w:tab w:val="num" w:pos="1134"/>
        </w:tabs>
        <w:ind w:start="1134" w:hanging="567"/>
      </w:pPr>
      <w:rPr/>
    </w:lvl>
    <w:lvl w:ilvl="5">
      <w:start w:val="1"/>
      <w:numFmt w:val="bullet"/>
      <w:lvlText w:val=""/>
      <w:lvlJc w:val="start"/>
      <w:pPr>
        <w:tabs>
          <w:tab w:val="num" w:pos="1701"/>
        </w:tabs>
        <w:ind w:star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start"/>
      <w:pPr>
        <w:tabs>
          <w:tab w:val="num" w:pos="2268"/>
        </w:tabs>
        <w:ind w:start="2268" w:hanging="567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3978"/>
        </w:tabs>
        <w:ind w:start="2322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4698"/>
        </w:tabs>
        <w:ind w:start="2898" w:hanging="1440"/>
      </w:pPr>
      <w:rPr/>
    </w:lvl>
  </w:abstractNum>
  <w:abstractNum w:abstractNumId="14">
    <w:lvl w:ilvl="0">
      <w:numFmt w:val="bullet"/>
      <w:lvlText w:val="–"/>
      <w:lvlJc w:val="start"/>
      <w:pPr>
        <w:tabs>
          <w:tab w:val="num" w:pos="1620"/>
        </w:tabs>
        <w:ind w:start="1620" w:hanging="76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1571"/>
        </w:tabs>
        <w:ind w:start="157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1571"/>
        </w:tabs>
        <w:ind w:start="1571" w:hanging="358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284"/>
        </w:tabs>
        <w:ind w:start="0" w:firstLine="709"/>
      </w:pPr>
      <w:rPr/>
    </w:lvl>
    <w:lvl w:ilvl="1">
      <w:start w:val="1"/>
      <w:numFmt w:val="decimal"/>
      <w:lvlText w:val="%1.%2."/>
      <w:lvlJc w:val="start"/>
      <w:pPr>
        <w:tabs>
          <w:tab w:val="num" w:pos="284"/>
        </w:tabs>
        <w:ind w:start="0" w:firstLine="709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284"/>
        </w:tabs>
        <w:ind w:start="0" w:firstLine="709"/>
      </w:pPr>
      <w:rPr/>
    </w:lvl>
    <w:lvl w:ilvl="3">
      <w:start w:val="1"/>
      <w:numFmt w:val="decimal"/>
      <w:lvlText w:val="%1.%2.%3.%4."/>
      <w:lvlJc w:val="start"/>
      <w:pPr>
        <w:tabs>
          <w:tab w:val="num" w:pos="284"/>
        </w:tabs>
        <w:ind w:start="0" w:firstLine="709"/>
      </w:pPr>
      <w:rPr/>
    </w:lvl>
    <w:lvl w:ilvl="4">
      <w:start w:val="1"/>
      <w:numFmt w:val="decimal"/>
      <w:lvlText w:val="%1.%2.%3.%4.%5."/>
      <w:lvlJc w:val="start"/>
      <w:pPr>
        <w:tabs>
          <w:tab w:val="num" w:pos="284"/>
        </w:tabs>
        <w:ind w:start="0" w:firstLine="709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1861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2005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2149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2293" w:hanging="1584"/>
      </w:pPr>
      <w:rPr/>
    </w:lvl>
  </w:abstractNum>
  <w:abstractNum w:abstractNumId="18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31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45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52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67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74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8890" w:hanging="360"/>
      </w:pPr>
      <w:rPr>
        <w:rFonts w:ascii="Wingdings" w:hAnsi="Wingdings" w:cs="Wingdings" w:hint="default"/>
      </w:rPr>
    </w:lvl>
  </w:abstractNum>
  <w:abstractNum w:abstractNumId="19">
    <w:lvl w:ilvl="0">
      <w:start w:val="4"/>
      <w:numFmt w:val="bullet"/>
      <w:lvlText w:val=""/>
      <w:lvlJc w:val="start"/>
      <w:pPr>
        <w:tabs>
          <w:tab w:val="num" w:pos="0"/>
        </w:tabs>
        <w:ind w:start="10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37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0"/>
      </w:pPr>
      <w:rPr>
        <w:b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0" w:hanging="0"/>
      </w:pPr>
      <w:rPr/>
    </w:lvl>
  </w:abstractNum>
  <w:abstractNum w:abstractNumId="2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 %1.%2 "/>
      <w:lvlJc w:val="start"/>
      <w:pPr>
        <w:tabs>
          <w:tab w:val="num" w:pos="0"/>
        </w:tabs>
        <w:ind w:start="1080" w:hanging="360"/>
      </w:pPr>
      <w:rPr>
        <w:b/>
        <w:bCs/>
      </w:rPr>
    </w:lvl>
    <w:lvl w:ilvl="2">
      <w:start w:val="1"/>
      <w:numFmt w:val="decimal"/>
      <w:lvlText w:val=" %1.%2.%3 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 %1.%2.%3.%4 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 %1.%2.%3.%4.%5 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 %1.%2.%3.%4.%5.%6 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 %1.%2.%3.%4.%5.%6.%7 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 %1.%2.%3.%4.%5.%6.%7.%8 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 %1.%2.%3.%4.%5.%6.%7.%8.%9 "/>
      <w:lvlJc w:val="start"/>
      <w:pPr>
        <w:tabs>
          <w:tab w:val="num" w:pos="0"/>
        </w:tabs>
        <w:ind w:start="3600" w:hanging="360"/>
      </w:pPr>
      <w:rPr/>
    </w:lvl>
  </w:abstractNum>
  <w:abstractNum w:abstractNumId="2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0"/>
        </w:tabs>
        <w:ind w:start="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538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"/>
      <w:lvlJc w:val="start"/>
      <w:pPr>
        <w:tabs>
          <w:tab w:val="num" w:pos="0"/>
        </w:tabs>
        <w:ind w:star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48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−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decimal"/>
      <w:lvlText w:val="%1."/>
      <w:lvlJc w:val="start"/>
      <w:pPr>
        <w:tabs>
          <w:tab w:val="num" w:pos="0"/>
        </w:tabs>
        <w:ind w:start="2061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5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2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6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821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29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30">
    <w:lvl w:ilvl="0">
      <w:start w:val="1"/>
      <w:numFmt w:val="bullet"/>
      <w:lvlText w:val=""/>
      <w:lvlJc w:val="start"/>
      <w:pPr>
        <w:tabs>
          <w:tab w:val="num" w:pos="0"/>
        </w:tabs>
        <w:ind w:star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31" w:hanging="360"/>
      </w:pPr>
      <w:rPr>
        <w:rFonts w:ascii="Wingdings" w:hAnsi="Wingdings" w:cs="Wingdings" w:hint="default"/>
      </w:rPr>
    </w:lvl>
  </w:abstractNum>
  <w:abstractNum w:abstractNumId="31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2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3">
    <w:lvl w:ilvl="0">
      <w:start w:val="1"/>
      <w:numFmt w:val="bullet"/>
      <w:lvlText w:val=""/>
      <w:lvlJc w:val="start"/>
      <w:pPr>
        <w:tabs>
          <w:tab w:val="num" w:pos="0"/>
        </w:tabs>
        <w:ind w:start="1428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start"/>
      <w:pPr>
        <w:tabs>
          <w:tab w:val="num" w:pos="0"/>
        </w:tabs>
        <w:ind w:start="2148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bullet"/>
      <w:lvlText w:val=""/>
      <w:lvlJc w:val="start"/>
      <w:pPr>
        <w:tabs>
          <w:tab w:val="num" w:pos="0"/>
        </w:tabs>
        <w:ind w:star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6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7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8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9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0">
    <w:lvl w:ilvl="0">
      <w:start w:val="1"/>
      <w:numFmt w:val="decimal"/>
      <w:lvlText w:val="%1."/>
      <w:lvlJc w:val="start"/>
      <w:pPr>
        <w:tabs>
          <w:tab w:val="num" w:pos="0"/>
        </w:tabs>
        <w:ind w:start="1773" w:hanging="360"/>
      </w:pPr>
      <w:rPr>
        <w:rFonts w:eastAsia="Calibri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493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213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933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653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373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6093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813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533" w:hanging="180"/>
      </w:pPr>
      <w:rPr/>
    </w:lvl>
  </w:abstractNum>
  <w:abstractNum w:abstractNumId="41">
    <w:lvl w:ilvl="0">
      <w:start w:val="1"/>
      <w:numFmt w:val="bullet"/>
      <w:lvlText w:val=""/>
      <w:lvlJc w:val="start"/>
      <w:pPr>
        <w:tabs>
          <w:tab w:val="num" w:pos="0"/>
        </w:tabs>
        <w:ind w:star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920" w:hanging="360"/>
      </w:pPr>
      <w:rPr>
        <w:rFonts w:ascii="Wingdings" w:hAnsi="Wingdings" w:cs="Wingdings" w:hint="default"/>
      </w:rPr>
    </w:lvl>
  </w:abstractNum>
  <w:abstractNum w:abstractNumId="42">
    <w:lvl w:ilvl="0">
      <w:start w:val="1"/>
      <w:numFmt w:val="decimal"/>
      <w:lvlText w:val="%1."/>
      <w:lvlJc w:val="start"/>
      <w:pPr>
        <w:tabs>
          <w:tab w:val="num" w:pos="284"/>
        </w:tabs>
        <w:ind w:start="0" w:firstLine="709"/>
      </w:pPr>
      <w:rPr/>
    </w:lvl>
    <w:lvl w:ilvl="1">
      <w:start w:val="1"/>
      <w:numFmt w:val="decimal"/>
      <w:lvlText w:val="%1.%2."/>
      <w:lvlJc w:val="start"/>
      <w:pPr>
        <w:tabs>
          <w:tab w:val="num" w:pos="284"/>
        </w:tabs>
        <w:ind w:start="0" w:firstLine="709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284"/>
        </w:tabs>
        <w:ind w:start="0" w:firstLine="709"/>
      </w:pPr>
      <w:rPr/>
    </w:lvl>
    <w:lvl w:ilvl="3">
      <w:start w:val="1"/>
      <w:numFmt w:val="decimal"/>
      <w:lvlText w:val="%1.%2.%3.%4."/>
      <w:lvlJc w:val="start"/>
      <w:pPr>
        <w:tabs>
          <w:tab w:val="num" w:pos="284"/>
        </w:tabs>
        <w:ind w:start="0" w:firstLine="709"/>
      </w:pPr>
      <w:rPr/>
    </w:lvl>
    <w:lvl w:ilvl="4">
      <w:start w:val="1"/>
      <w:numFmt w:val="decimal"/>
      <w:lvlText w:val="%1.%2.%3.%4.%5."/>
      <w:lvlJc w:val="start"/>
      <w:pPr>
        <w:tabs>
          <w:tab w:val="num" w:pos="284"/>
        </w:tabs>
        <w:ind w:start="0" w:firstLine="709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1861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2005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2149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2293" w:hanging="1584"/>
      </w:pPr>
      <w:rPr/>
    </w:lvl>
  </w:abstractNum>
  <w:abstractNum w:abstractNumId="4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1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 w:qFormat="1"/>
    <w:lsdException w:name="index 2" w:uiPriority="0" w:semiHidden="1" w:unhideWhenUsed="1" w:qFormat="1"/>
    <w:lsdException w:name="index 3" w:uiPriority="0" w:semiHidden="1" w:unhideWhenUsed="1" w:qFormat="1"/>
    <w:lsdException w:name="index 4" w:uiPriority="0" w:semiHidden="1" w:unhideWhenUsed="1" w:qFormat="1"/>
    <w:lsdException w:name="index 5" w:uiPriority="0" w:semiHidden="1" w:unhideWhenUsed="1" w:qFormat="1"/>
    <w:lsdException w:name="index 6" w:uiPriority="0" w:semiHidden="1" w:unhideWhenUsed="1" w:qFormat="1"/>
    <w:lsdException w:name="index 7" w:uiPriority="0" w:semiHidden="1" w:unhideWhenUsed="1" w:qFormat="1"/>
    <w:lsdException w:name="index 8" w:uiPriority="0" w:semiHidden="1" w:unhideWhenUsed="1" w:qFormat="1"/>
    <w:lsdException w:name="index 9" w:uiPriority="0" w:semiHidden="1" w:unhideWhenUsed="1" w:qFormat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0" w:semiHidden="1" w:unhideWhenUsed="1" w:qFormat="1"/>
    <w:lsdException w:name="toc 5" w:uiPriority="0" w:semiHidden="1" w:unhideWhenUsed="1" w:qFormat="1"/>
    <w:lsdException w:name="toc 6" w:uiPriority="0" w:semiHidden="1" w:unhideWhenUsed="1" w:qFormat="1"/>
    <w:lsdException w:name="toc 7" w:uiPriority="0" w:semiHidden="1" w:unhideWhenUsed="1" w:qFormat="1"/>
    <w:lsdException w:name="toc 8" w:uiPriority="0" w:semiHidden="1" w:unhideWhenUsed="1" w:qFormat="1"/>
    <w:lsdException w:name="toc 9" w:uiPriority="0" w:semiHidden="1" w:unhideWhenUsed="1" w:qFormat="1"/>
    <w:lsdException w:name="Normal Indent" w:uiPriority="0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uiPriority="0" w:semiHidden="1" w:unhideWhenUsed="1" w:qFormat="1"/>
    <w:lsdException w:name="caption" w:uiPriority="10" w:semiHidden="1" w:unhideWhenUsed="1" w:qFormat="1"/>
    <w:lsdException w:name="table of figures" w:uiPriority="0" w:semiHidden="1" w:unhideWhenUsed="1" w:qFormat="1"/>
    <w:lsdException w:name="envelope address" w:uiPriority="0" w:semiHidden="1" w:unhideWhenUsed="1" w:qFormat="1"/>
    <w:lsdException w:name="envelope return" w:uiPriority="0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uiPriority="0" w:semiHidden="1" w:unhideWhenUsed="1" w:qFormat="1"/>
    <w:lsdException w:name="page number" w:uiPriority="0" w:semiHidden="1" w:unhideWhenUsed="1" w:qFormat="1"/>
    <w:lsdException w:name="endnote reference" w:uiPriority="0" w:semiHidden="1" w:unhideWhenUsed="1" w:qFormat="1"/>
    <w:lsdException w:name="endnote text" w:uiPriority="0" w:semiHidden="1" w:unhideWhenUsed="1" w:qFormat="1"/>
    <w:lsdException w:name="table of authorities" w:uiPriority="0" w:semiHidden="1" w:unhideWhenUsed="1" w:qFormat="1"/>
    <w:lsdException w:name="macro" w:uiPriority="0" w:semiHidden="1" w:qFormat="1"/>
    <w:lsdException w:name="toa heading" w:uiPriority="0" w:semiHidden="1" w:unhideWhenUsed="1" w:qFormat="1"/>
    <w:lsdException w:name="List" w:uiPriority="0" w:semiHidden="1" w:unhideWhenUsed="1" w:qFormat="1"/>
    <w:lsdException w:name="List Bullet" w:uiPriority="0" w:qFormat="1"/>
    <w:lsdException w:name="List Number" w:uiPriority="0" w:qFormat="1"/>
    <w:lsdException w:name="List 2" w:uiPriority="0" w:semiHidden="1" w:unhideWhenUsed="1" w:qFormat="1"/>
    <w:lsdException w:name="List 3" w:uiPriority="0" w:semiHidden="1" w:unhideWhenUsed="1" w:qFormat="1"/>
    <w:lsdException w:name="List 4" w:uiPriority="0" w:semiHidden="1" w:unhideWhenUsed="1" w:qFormat="1"/>
    <w:lsdException w:name="List 5" w:uiPriority="0" w:semiHidden="1" w:unhideWhenUsed="1" w:qFormat="1"/>
    <w:lsdException w:name="List Bullet 2" w:uiPriority="0" w:semiHidden="1" w:unhideWhenUsed="1" w:qFormat="1"/>
    <w:lsdException w:name="List Bullet 3" w:uiPriority="0" w:semiHidden="1" w:unhideWhenUsed="1" w:qFormat="1"/>
    <w:lsdException w:name="List Bullet 4" w:uiPriority="0" w:semiHidden="1" w:unhideWhenUsed="1" w:qFormat="1"/>
    <w:lsdException w:name="List Bullet 5" w:uiPriority="0" w:semiHidden="1" w:unhideWhenUsed="1" w:qFormat="1"/>
    <w:lsdException w:name="List Number 2" w:uiPriority="0" w:semiHidden="1" w:unhideWhenUsed="1" w:qFormat="1"/>
    <w:lsdException w:name="List Number 3" w:uiPriority="0" w:semiHidden="1" w:unhideWhenUsed="1" w:qFormat="1"/>
    <w:lsdException w:name="List Number 4" w:uiPriority="0" w:semiHidden="1" w:unhideWhenUsed="1" w:qFormat="1"/>
    <w:lsdException w:name="List Number 5" w:uiPriority="0" w:semiHidden="1" w:unhideWhenUsed="1" w:qFormat="1"/>
    <w:lsdException w:name="Title" w:uiPriority="0" w:qFormat="1"/>
    <w:lsdException w:name="Closing" w:uiPriority="0" w:semiHidden="1" w:unhideWhenUsed="1" w:qFormat="1"/>
    <w:lsdException w:name="Signature" w:uiPriority="0" w:semiHidden="1" w:unhideWhenUsed="1" w:qFormat="1"/>
    <w:lsdException w:name="Default Paragraph Font" w:uiPriority="1" w:semiHidden="1" w:unhideWhenUsed="1"/>
    <w:lsdException w:name="Body Text" w:uiPriority="0" w:semiHidden="1" w:unhideWhenUsed="1" w:qFormat="1"/>
    <w:lsdException w:name="Body Text Indent" w:uiPriority="0" w:semiHidden="1" w:unhideWhenUsed="1" w:qFormat="1"/>
    <w:lsdException w:name="List Continue" w:uiPriority="0" w:semiHidden="1" w:unhideWhenUsed="1" w:qFormat="1"/>
    <w:lsdException w:name="List Continue 2" w:uiPriority="0" w:semiHidden="1" w:unhideWhenUsed="1" w:qFormat="1"/>
    <w:lsdException w:name="List Continue 3" w:uiPriority="0" w:qFormat="1"/>
    <w:lsdException w:name="List Continue 4" w:uiPriority="0" w:qFormat="1"/>
    <w:lsdException w:name="List Continue 5" w:uiPriority="0" w:qFormat="1"/>
    <w:lsdException w:name="Message Header" w:uiPriority="0" w:qFormat="1"/>
    <w:lsdException w:name="Subtitle" w:uiPriority="0" w:qFormat="1"/>
    <w:lsdException w:name="Salutation" w:uiPriority="0" w:semiHidden="1" w:unhideWhenUsed="1" w:qFormat="1"/>
    <w:lsdException w:name="Date" w:uiPriority="0" w:semiHidden="1" w:unhideWhenUsed="1" w:qFormat="1"/>
    <w:lsdException w:name="Body Text First Indent" w:uiPriority="0" w:semiHidden="1" w:unhideWhenUsed="1" w:qFormat="1"/>
    <w:lsdException w:name="Body Text First Indent 2" w:uiPriority="0" w:semiHidden="1" w:unhideWhenUsed="1" w:qFormat="1"/>
    <w:lsdException w:name="Note Heading" w:uiPriority="0" w:semiHidden="1" w:unhideWhenUsed="1" w:qFormat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iPriority="0" w:semiHidden="1" w:unhideWhenUsed="1" w:qFormat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uiPriority="0" w:semiHidden="1" w:unhideWhenUsed="1" w:qFormat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customStyle="1">
    <w:name w:val="Normal"/>
    <w:qFormat/>
    <w:rsid w:val="001c2cd8"/>
    <w:pPr>
      <w:widowControl/>
      <w:suppressAutoHyphens w:val="true"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21"/>
    <w:qFormat/>
    <w:rsid w:val="001c2cd8"/>
    <w:pPr>
      <w:keepNext w:val="true"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21"/>
    <w:uiPriority w:val="9"/>
    <w:qFormat/>
    <w:rsid w:val="001c2cd8"/>
    <w:pPr>
      <w:keepNext w:val="true"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3"/>
    <w:uiPriority w:val="9"/>
    <w:qFormat/>
    <w:rsid w:val="001c2cd8"/>
    <w:pPr>
      <w:keepNext w:val="true"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4"/>
    <w:uiPriority w:val="9"/>
    <w:qFormat/>
    <w:rsid w:val="001c2cd8"/>
    <w:pPr>
      <w:keepNext w:val="true"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5"/>
    <w:qFormat/>
    <w:rsid w:val="001c2cd8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6"/>
    <w:qFormat/>
    <w:rsid w:val="001c2cd8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7"/>
    <w:qFormat/>
    <w:rsid w:val="001c2cd8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8"/>
    <w:qFormat/>
    <w:rsid w:val="001c2cd8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9"/>
    <w:qFormat/>
    <w:rsid w:val="001c2cd8"/>
    <w:pPr>
      <w:spacing w:before="240" w:after="60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llowedHyperlink">
    <w:name w:val="FollowedHyperlink"/>
    <w:uiPriority w:val="99"/>
    <w:qFormat/>
    <w:rsid w:val="001c2cd8"/>
    <w:rPr>
      <w:color w:val="800080"/>
      <w:u w:val="single"/>
    </w:rPr>
  </w:style>
  <w:style w:type="character" w:styleId="Style5">
    <w:name w:val="Символ сноски"/>
    <w:uiPriority w:val="99"/>
    <w:qFormat/>
    <w:rsid w:val="001c2cd8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uiPriority w:val="99"/>
    <w:semiHidden/>
    <w:qFormat/>
    <w:rsid w:val="001c2cd8"/>
    <w:rPr>
      <w:sz w:val="16"/>
    </w:rPr>
  </w:style>
  <w:style w:type="character" w:styleId="Style6">
    <w:name w:val="Символ концевой сноски"/>
    <w:semiHidden/>
    <w:qFormat/>
    <w:rsid w:val="001c2cd8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mphasis">
    <w:name w:val="Emphasis"/>
    <w:uiPriority w:val="20"/>
    <w:qFormat/>
    <w:rsid w:val="001c2cd8"/>
    <w:rPr>
      <w:i/>
    </w:rPr>
  </w:style>
  <w:style w:type="character" w:styleId="Hyperlink">
    <w:name w:val="Hyperlink"/>
    <w:uiPriority w:val="99"/>
    <w:qFormat/>
    <w:rsid w:val="001c2cd8"/>
    <w:rPr>
      <w:color w:val="0000FF"/>
      <w:u w:val="single"/>
    </w:rPr>
  </w:style>
  <w:style w:type="character" w:styleId="PageNumber">
    <w:name w:val="page number"/>
    <w:basedOn w:val="DefaultParagraphFont"/>
    <w:qFormat/>
    <w:rsid w:val="001c2cd8"/>
    <w:rPr/>
  </w:style>
  <w:style w:type="character" w:styleId="LineNumber">
    <w:name w:val="line number"/>
    <w:basedOn w:val="DefaultParagraphFont"/>
    <w:qFormat/>
    <w:rsid w:val="001c2cd8"/>
    <w:rPr/>
  </w:style>
  <w:style w:type="character" w:styleId="Strong">
    <w:name w:val="Strong"/>
    <w:uiPriority w:val="22"/>
    <w:qFormat/>
    <w:rsid w:val="001c2cd8"/>
    <w:rPr>
      <w:b/>
    </w:rPr>
  </w:style>
  <w:style w:type="character" w:styleId="Heading1Char" w:customStyle="1">
    <w:name w:val="Heading 1 Char"/>
    <w:basedOn w:val="DefaultParagraphFont"/>
    <w:uiPriority w:val="9"/>
    <w:qFormat/>
    <w:rsid w:val="001c2cd8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1c2cd8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sid w:val="001c2cd8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sid w:val="001c2cd8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1c2cd8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sid w:val="001c2cd8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1c2cd8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sid w:val="001c2cd8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sid w:val="001c2cd8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1c2cd8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1c2cd8"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sid w:val="001c2cd8"/>
    <w:rPr>
      <w:i/>
    </w:rPr>
  </w:style>
  <w:style w:type="character" w:styleId="Style7" w:customStyle="1">
    <w:name w:val="Выделенная цитата Знак"/>
    <w:link w:val="IntenseQuote"/>
    <w:uiPriority w:val="30"/>
    <w:qFormat/>
    <w:rsid w:val="001c2cd8"/>
    <w:rPr>
      <w:i/>
    </w:rPr>
  </w:style>
  <w:style w:type="character" w:styleId="HeaderChar" w:customStyle="1">
    <w:name w:val="Header Char"/>
    <w:basedOn w:val="DefaultParagraphFont"/>
    <w:uiPriority w:val="99"/>
    <w:qFormat/>
    <w:rsid w:val="001c2cd8"/>
    <w:rPr/>
  </w:style>
  <w:style w:type="character" w:styleId="CaptionChar" w:customStyle="1">
    <w:name w:val="Caption Char"/>
    <w:uiPriority w:val="99"/>
    <w:qFormat/>
    <w:rsid w:val="001c2cd8"/>
    <w:rPr/>
  </w:style>
  <w:style w:type="character" w:styleId="FootnoteTextChar" w:customStyle="1">
    <w:name w:val="Footnote Text Char"/>
    <w:uiPriority w:val="99"/>
    <w:qFormat/>
    <w:rsid w:val="001c2cd8"/>
    <w:rPr>
      <w:sz w:val="18"/>
    </w:rPr>
  </w:style>
  <w:style w:type="character" w:styleId="EndnoteTextChar" w:customStyle="1">
    <w:name w:val="Endnote Text Char"/>
    <w:uiPriority w:val="99"/>
    <w:qFormat/>
    <w:rsid w:val="001c2cd8"/>
    <w:rPr>
      <w:sz w:val="20"/>
    </w:rPr>
  </w:style>
  <w:style w:type="character" w:styleId="1" w:customStyle="1">
    <w:name w:val="Заголовок 1 Знак"/>
    <w:basedOn w:val="DefaultParagraphFont"/>
    <w:uiPriority w:val="9"/>
    <w:qFormat/>
    <w:rsid w:val="001c2cd8"/>
    <w:rPr>
      <w:rFonts w:ascii="Calibri Light" w:hAnsi="Calibri Light" w:eastAsia="Arial" w:cs="Arial" w:asciiTheme="majorHAnsi" w:cstheme="majorBidi" w:eastAsiaTheme="majorEastAsia" w:hAnsiTheme="majorHAnsi"/>
      <w:color w:themeColor="accent1" w:themeShade="bf" w:val="2E74B5"/>
      <w:sz w:val="32"/>
      <w:szCs w:val="32"/>
      <w:lang w:eastAsia="ru-RU"/>
    </w:rPr>
  </w:style>
  <w:style w:type="character" w:styleId="21" w:customStyle="1">
    <w:name w:val="Заголовок 2 Знак"/>
    <w:basedOn w:val="DefaultParagraphFont"/>
    <w:qFormat/>
    <w:rsid w:val="001c2cd8"/>
    <w:rPr>
      <w:rFonts w:ascii="Arial" w:hAnsi="Arial" w:eastAsia="Times New Roman" w:cs="Times New Roman"/>
      <w:b/>
      <w:i/>
      <w:sz w:val="24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c2cd8"/>
    <w:rPr>
      <w:rFonts w:ascii="Arial" w:hAnsi="Arial" w:eastAsia="Times New Roman" w:cs="Times New Roman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1c2cd8"/>
    <w:rPr>
      <w:rFonts w:ascii="Arial" w:hAnsi="Arial" w:eastAsia="Times New Roman" w:cs="Times New Roman"/>
      <w:b/>
      <w:sz w:val="24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1c2cd8"/>
    <w:rPr>
      <w:rFonts w:ascii="Times New Roman" w:hAnsi="Times New Roman" w:eastAsia="Times New Roman" w:cs="Times New Roman"/>
      <w:szCs w:val="20"/>
      <w:lang w:eastAsia="ru-RU"/>
    </w:rPr>
  </w:style>
  <w:style w:type="character" w:styleId="6" w:customStyle="1">
    <w:name w:val="Заголовок 6 Знак"/>
    <w:basedOn w:val="DefaultParagraphFont"/>
    <w:qFormat/>
    <w:rsid w:val="001c2cd8"/>
    <w:rPr>
      <w:rFonts w:ascii="Times New Roman" w:hAnsi="Times New Roman" w:eastAsia="Times New Roman" w:cs="Times New Roman"/>
      <w:i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1c2cd8"/>
    <w:rPr>
      <w:rFonts w:ascii="Arial" w:hAnsi="Arial" w:eastAsia="Times New Roman" w:cs="Times New Roman"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1c2cd8"/>
    <w:rPr>
      <w:rFonts w:ascii="Arial" w:hAnsi="Arial" w:eastAsia="Times New Roman" w:cs="Times New Roman"/>
      <w:i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1c2cd8"/>
    <w:rPr>
      <w:rFonts w:ascii="Arial" w:hAnsi="Arial" w:eastAsia="Times New Roman" w:cs="Times New Roman"/>
      <w:b/>
      <w:i/>
      <w:sz w:val="18"/>
      <w:szCs w:val="20"/>
      <w:lang w:eastAsia="ru-RU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9" w:customStyle="1">
    <w:name w:val="Дата Знак"/>
    <w:basedOn w:val="DefaultParagraphFont"/>
    <w:link w:val="Date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0" w:customStyle="1">
    <w:name w:val="Заголовок записки Знак"/>
    <w:basedOn w:val="DefaultParagraphFont"/>
    <w:link w:val="NoteHeading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Основной текст Знак"/>
    <w:basedOn w:val="DefaultParagraphFont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2" w:customStyle="1">
    <w:name w:val="Красная строка Знак"/>
    <w:basedOn w:val="Style11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2" w:customStyle="1">
    <w:name w:val="Красная строка 2 Знак"/>
    <w:basedOn w:val="Style13"/>
    <w:link w:val="BodyTextFirstIndent2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 w:customStyle="1">
    <w:name w:val="Заголовок Знак"/>
    <w:basedOn w:val="DefaultParagraphFont"/>
    <w:qFormat/>
    <w:rsid w:val="001c2cd8"/>
    <w:rPr>
      <w:rFonts w:ascii="Arial" w:hAnsi="Arial" w:eastAsia="Times New Roman" w:cs="Times New Roman"/>
      <w:b/>
      <w:sz w:val="32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3" w:customStyle="1">
    <w:name w:val="Основной текст 2 Знак"/>
    <w:basedOn w:val="DefaultParagraphFont"/>
    <w:link w:val="BodyText21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1c2cd8"/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24" w:customStyle="1">
    <w:name w:val="Основной текст с отступом 2 Знак"/>
    <w:basedOn w:val="DefaultParagraphFont"/>
    <w:link w:val="BodyTextIndent2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1c2cd8"/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Style16" w:customStyle="1">
    <w:name w:val="Подзаголовок Знак"/>
    <w:basedOn w:val="DefaultParagraphFont"/>
    <w:qFormat/>
    <w:rsid w:val="001c2cd8"/>
    <w:rPr>
      <w:rFonts w:ascii="Arial" w:hAnsi="Arial" w:eastAsia="Times New Roman" w:cs="Times New Roman"/>
      <w:sz w:val="24"/>
      <w:szCs w:val="20"/>
      <w:lang w:eastAsia="ru-RU"/>
    </w:rPr>
  </w:style>
  <w:style w:type="character" w:styleId="Style17" w:customStyle="1">
    <w:name w:val="Подпись Знак"/>
    <w:basedOn w:val="DefaultParagraphFont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8" w:customStyle="1">
    <w:name w:val="Приветствие Знак"/>
    <w:basedOn w:val="DefaultParagraphFont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9" w:customStyle="1">
    <w:name w:val="Прощание Знак"/>
    <w:basedOn w:val="DefaultParagraphFont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0" w:customStyle="1">
    <w:name w:val="Схема документа Знак"/>
    <w:basedOn w:val="DefaultParagraphFont"/>
    <w:link w:val="DocumentMap"/>
    <w:semiHidden/>
    <w:qFormat/>
    <w:rsid w:val="001c2cd8"/>
    <w:rPr>
      <w:rFonts w:ascii="Tahoma" w:hAnsi="Tahoma" w:eastAsia="Times New Roman" w:cs="Times New Roman"/>
      <w:sz w:val="24"/>
      <w:szCs w:val="20"/>
      <w:shd w:fill="000080" w:val="clear"/>
      <w:lang w:eastAsia="ru-RU"/>
    </w:rPr>
  </w:style>
  <w:style w:type="character" w:styleId="Style21" w:customStyle="1">
    <w:name w:val="Текст Знак"/>
    <w:basedOn w:val="DefaultParagraphFont"/>
    <w:link w:val="PlainText"/>
    <w:qFormat/>
    <w:rsid w:val="001c2cd8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Style22" w:customStyle="1">
    <w:name w:val="Текст концевой сноски Знак"/>
    <w:basedOn w:val="DefaultParagraphFont"/>
    <w:semiHidden/>
    <w:qFormat/>
    <w:rsid w:val="001c2c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3" w:customStyle="1">
    <w:name w:val="Текст макроса Знак"/>
    <w:basedOn w:val="DefaultParagraphFont"/>
    <w:link w:val="MacroText"/>
    <w:semiHidden/>
    <w:qFormat/>
    <w:rsid w:val="001c2cd8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Style24" w:customStyle="1">
    <w:name w:val="Текст примечания Знак"/>
    <w:basedOn w:val="DefaultParagraphFont"/>
    <w:uiPriority w:val="99"/>
    <w:semiHidden/>
    <w:qFormat/>
    <w:rsid w:val="001c2c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5" w:customStyle="1">
    <w:name w:val="Текст сноски Знак"/>
    <w:basedOn w:val="DefaultParagraphFont"/>
    <w:uiPriority w:val="99"/>
    <w:qFormat/>
    <w:rsid w:val="001c2cd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6" w:customStyle="1">
    <w:name w:val="Шапка Знак"/>
    <w:basedOn w:val="DefaultParagraphFont"/>
    <w:link w:val="MessageHeader"/>
    <w:qFormat/>
    <w:rsid w:val="001c2cd8"/>
    <w:rPr>
      <w:rFonts w:ascii="Arial" w:hAnsi="Arial" w:eastAsia="Times New Roman" w:cs="Times New Roman"/>
      <w:sz w:val="24"/>
      <w:szCs w:val="20"/>
      <w:shd w:fill="CCCCCC" w:val="clear"/>
      <w:lang w:eastAsia="ru-RU"/>
    </w:rPr>
  </w:style>
  <w:style w:type="character" w:styleId="11" w:customStyle="1">
    <w:name w:val="Текст сноски Знак1"/>
    <w:qFormat/>
    <w:rsid w:val="001c2cd8"/>
    <w:rPr/>
  </w:style>
  <w:style w:type="character" w:styleId="13" w:customStyle="1">
    <w:name w:val="Заголовок 1 Знак3"/>
    <w:qFormat/>
    <w:rsid w:val="001c2cd8"/>
    <w:rPr>
      <w:rFonts w:ascii="Arial" w:hAnsi="Arial" w:cs="Arial"/>
      <w:b/>
      <w:sz w:val="28"/>
      <w:szCs w:val="18"/>
      <w:lang w:val="ru-RU" w:eastAsia="ru-RU" w:bidi="ar-SA"/>
    </w:rPr>
  </w:style>
  <w:style w:type="character" w:styleId="111" w:customStyle="1">
    <w:name w:val="Заголовок 1 Знак1"/>
    <w:qFormat/>
    <w:rsid w:val="001c2cd8"/>
    <w:rPr>
      <w:rFonts w:ascii="Arial" w:hAnsi="Arial" w:cs="Arial"/>
      <w:b/>
      <w:sz w:val="28"/>
      <w:szCs w:val="18"/>
      <w:lang w:val="ru-RU" w:eastAsia="ru-RU" w:bidi="ar-SA"/>
    </w:rPr>
  </w:style>
  <w:style w:type="character" w:styleId="Style27" w:customStyle="1">
    <w:name w:val="Основной шрифт"/>
    <w:semiHidden/>
    <w:qFormat/>
    <w:rsid w:val="001c2cd8"/>
    <w:rPr/>
  </w:style>
  <w:style w:type="character" w:styleId="Style28" w:customStyle="1">
    <w:name w:val="Тема примечания Знак"/>
    <w:basedOn w:val="Style24"/>
    <w:link w:val="annotationsubject"/>
    <w:qFormat/>
    <w:rsid w:val="001c2cd8"/>
    <w:rPr>
      <w:rFonts w:ascii="Arial" w:hAnsi="Arial" w:eastAsia="Times New Roman" w:cs="Arial"/>
      <w:b/>
      <w:bCs/>
      <w:sz w:val="20"/>
      <w:szCs w:val="20"/>
      <w:lang w:eastAsia="ru-RU"/>
    </w:rPr>
  </w:style>
  <w:style w:type="character" w:styleId="Style29" w:customStyle="1">
    <w:name w:val="Текст выноски Знак"/>
    <w:basedOn w:val="DefaultParagraphFont"/>
    <w:link w:val="BalloonText"/>
    <w:qFormat/>
    <w:rsid w:val="001c2cd8"/>
    <w:rPr>
      <w:rFonts w:ascii="Tahoma" w:hAnsi="Tahoma" w:eastAsia="Times New Roman" w:cs="Tahoma"/>
      <w:sz w:val="16"/>
      <w:szCs w:val="16"/>
      <w:lang w:eastAsia="ru-RU"/>
    </w:rPr>
  </w:style>
  <w:style w:type="character" w:styleId="Normal1" w:customStyle="1">
    <w:name w:val="Normal Знак Знак1"/>
    <w:link w:val="Normal5"/>
    <w:qFormat/>
    <w:rsid w:val="001c2cd8"/>
    <w:rPr>
      <w:sz w:val="24"/>
    </w:rPr>
  </w:style>
  <w:style w:type="character" w:styleId="postbody" w:customStyle="1">
    <w:name w:val="postbody"/>
    <w:qFormat/>
    <w:rsid w:val="001c2cd8"/>
    <w:rPr/>
  </w:style>
  <w:style w:type="character" w:styleId="Normal2" w:customStyle="1">
    <w:name w:val="Normal Знак Знак Знак Знак"/>
    <w:qFormat/>
    <w:rsid w:val="001c2cd8"/>
    <w:rPr>
      <w:sz w:val="24"/>
      <w:lang w:val="ru-RU" w:eastAsia="ru-RU" w:bidi="ar-SA"/>
    </w:rPr>
  </w:style>
  <w:style w:type="character" w:styleId="FontStyle14" w:customStyle="1">
    <w:name w:val="Font Style14"/>
    <w:qFormat/>
    <w:rsid w:val="001c2cd8"/>
    <w:rPr>
      <w:rFonts w:ascii="Times New Roman" w:hAnsi="Times New Roman" w:cs="Times New Roman"/>
      <w:sz w:val="22"/>
      <w:szCs w:val="22"/>
    </w:rPr>
  </w:style>
  <w:style w:type="character" w:styleId="ConsNormal" w:customStyle="1">
    <w:name w:val="ConsNormal Знак"/>
    <w:link w:val="ConsNormal1"/>
    <w:qFormat/>
    <w:rsid w:val="001c2cd8"/>
    <w:rPr>
      <w:rFonts w:ascii="Arial" w:hAnsi="Arial" w:eastAsia="Times New Roman" w:cs="Arial"/>
      <w:lang w:eastAsia="ru-RU"/>
    </w:rPr>
  </w:style>
  <w:style w:type="character" w:styleId="FontStyle12" w:customStyle="1">
    <w:name w:val="Font Style12"/>
    <w:qFormat/>
    <w:rsid w:val="001c2cd8"/>
    <w:rPr>
      <w:rFonts w:ascii="Times New Roman" w:hAnsi="Times New Roman" w:cs="Times New Roman"/>
      <w:sz w:val="22"/>
      <w:szCs w:val="22"/>
    </w:rPr>
  </w:style>
  <w:style w:type="character" w:styleId="WW8Num23z0" w:customStyle="1">
    <w:name w:val="WW8Num23z0"/>
    <w:qFormat/>
    <w:rsid w:val="001c2cd8"/>
    <w:rPr>
      <w:rFonts w:ascii="Arial" w:hAnsi="Arial" w:cs="Arial"/>
      <w:b/>
      <w:bCs/>
      <w:sz w:val="32"/>
      <w:szCs w:val="32"/>
    </w:rPr>
  </w:style>
  <w:style w:type="character" w:styleId="FontStyle15" w:customStyle="1">
    <w:name w:val="Font Style15"/>
    <w:qFormat/>
    <w:rsid w:val="001c2cd8"/>
    <w:rPr>
      <w:rFonts w:ascii="Times New Roman" w:hAnsi="Times New Roman" w:cs="Times New Roman"/>
      <w:b/>
      <w:bCs/>
      <w:sz w:val="22"/>
      <w:szCs w:val="22"/>
    </w:rPr>
  </w:style>
  <w:style w:type="character" w:styleId="FontStyle17" w:customStyle="1">
    <w:name w:val="Font Style17"/>
    <w:qFormat/>
    <w:rsid w:val="001c2cd8"/>
    <w:rPr>
      <w:rFonts w:ascii="Times New Roman" w:hAnsi="Times New Roman" w:cs="Times New Roman"/>
      <w:b/>
      <w:bCs/>
      <w:sz w:val="18"/>
      <w:szCs w:val="18"/>
    </w:rPr>
  </w:style>
  <w:style w:type="character" w:styleId="FontStyle21" w:customStyle="1">
    <w:name w:val="Font Style21"/>
    <w:qFormat/>
    <w:rsid w:val="001c2cd8"/>
    <w:rPr>
      <w:rFonts w:ascii="Times New Roman" w:hAnsi="Times New Roman" w:cs="Times New Roman"/>
      <w:sz w:val="22"/>
      <w:szCs w:val="22"/>
    </w:rPr>
  </w:style>
  <w:style w:type="character" w:styleId="FontStyle16" w:customStyle="1">
    <w:name w:val="Font Style16"/>
    <w:qFormat/>
    <w:rsid w:val="001c2cd8"/>
    <w:rPr>
      <w:rFonts w:ascii="Times New Roman" w:hAnsi="Times New Roman" w:cs="Times New Roman"/>
      <w:sz w:val="18"/>
      <w:szCs w:val="18"/>
    </w:rPr>
  </w:style>
  <w:style w:type="character" w:styleId="12" w:customStyle="1">
    <w:name w:val="Знак Знак1"/>
    <w:qFormat/>
    <w:rsid w:val="001c2cd8"/>
    <w:rPr>
      <w:sz w:val="24"/>
      <w:lang w:val="ru-RU" w:eastAsia="ru-RU" w:bidi="ar-SA"/>
    </w:rPr>
  </w:style>
  <w:style w:type="character" w:styleId="25" w:customStyle="1">
    <w:name w:val="Знак Знак2"/>
    <w:qFormat/>
    <w:rsid w:val="001c2cd8"/>
    <w:rPr>
      <w:rFonts w:ascii="Arial" w:hAnsi="Arial" w:cs="Arial"/>
      <w:b/>
      <w:i/>
      <w:sz w:val="28"/>
      <w:lang w:val="ru-RU" w:eastAsia="ru-RU"/>
    </w:rPr>
  </w:style>
  <w:style w:type="character" w:styleId="121" w:customStyle="1">
    <w:name w:val="Заголовок 1 Знак2"/>
    <w:qFormat/>
    <w:rsid w:val="001c2cd8"/>
    <w:rPr>
      <w:rFonts w:ascii="Arial" w:hAnsi="Arial" w:eastAsia="Times New Roman" w:cs="Times New Roman"/>
      <w:b/>
      <w:sz w:val="28"/>
      <w:szCs w:val="20"/>
      <w:lang w:eastAsia="ru-RU"/>
    </w:rPr>
  </w:style>
  <w:style w:type="character" w:styleId="Style30" w:customStyle="1">
    <w:name w:val="Знак Знак"/>
    <w:qFormat/>
    <w:rsid w:val="001c2cd8"/>
    <w:rPr>
      <w:lang w:val="ru-RU" w:eastAsia="ru-RU" w:bidi="ar-SA"/>
    </w:rPr>
  </w:style>
  <w:style w:type="character" w:styleId="ConsPlusNormal" w:customStyle="1">
    <w:name w:val="ConsPlusNormal Знак"/>
    <w:link w:val="ConsPlusNormal1"/>
    <w:qFormat/>
    <w:rsid w:val="001c2cd8"/>
    <w:rPr>
      <w:rFonts w:ascii="Arial" w:hAnsi="Arial" w:eastAsia="Times New Roman" w:cs="Arial"/>
      <w:sz w:val="20"/>
      <w:szCs w:val="20"/>
      <w:lang w:eastAsia="ru-RU"/>
    </w:rPr>
  </w:style>
  <w:style w:type="character" w:styleId="Anrede1IhrZeichen" w:customStyle="1">
    <w:name w:val="Anrede1IhrZeichen"/>
    <w:qFormat/>
    <w:rsid w:val="001c2cd8"/>
    <w:rPr>
      <w:rFonts w:ascii="Arial" w:hAnsi="Arial" w:cs="Arial"/>
      <w:sz w:val="22"/>
      <w:szCs w:val="22"/>
    </w:rPr>
  </w:style>
  <w:style w:type="character" w:styleId="apple-converted-space" w:customStyle="1">
    <w:name w:val="apple-converted-space"/>
    <w:qFormat/>
    <w:rsid w:val="001c2cd8"/>
    <w:rPr/>
  </w:style>
  <w:style w:type="character" w:styleId="Style31" w:customStyle="1">
    <w:name w:val="Евдокимова Елена Васильевна"/>
    <w:semiHidden/>
    <w:qFormat/>
    <w:rsid w:val="001c2cd8"/>
    <w:rPr>
      <w:rFonts w:ascii="Arial" w:hAnsi="Arial" w:cs="Arial"/>
      <w:color w:val="auto"/>
      <w:sz w:val="20"/>
      <w:szCs w:val="20"/>
    </w:rPr>
  </w:style>
  <w:style w:type="character" w:styleId="FooterChar" w:customStyle="1">
    <w:name w:val="Footer Char"/>
    <w:semiHidden/>
    <w:qFormat/>
    <w:rsid w:val="001c2cd8"/>
    <w:rPr>
      <w:rFonts w:ascii="Arial" w:hAnsi="Arial" w:cs="Arial"/>
      <w:sz w:val="18"/>
      <w:szCs w:val="18"/>
      <w:lang w:val="ru-RU" w:eastAsia="ru-RU" w:bidi="ar-SA"/>
    </w:rPr>
  </w:style>
  <w:style w:type="character" w:styleId="CharChar" w:customStyle="1">
    <w:name w:val="Обычный Char Char"/>
    <w:link w:val="14"/>
    <w:qFormat/>
    <w:rsid w:val="001c2cd8"/>
    <w:rPr>
      <w:rFonts w:ascii="Times New Roman" w:hAnsi="Times New Roman" w:eastAsia="Times New Roman" w:cs="Arial"/>
      <w:sz w:val="24"/>
      <w:szCs w:val="18"/>
      <w:lang w:eastAsia="ru-RU"/>
    </w:rPr>
  </w:style>
  <w:style w:type="character" w:styleId="CharChar1" w:customStyle="1">
    <w:name w:val="Комментарии Char Char"/>
    <w:link w:val="Style54"/>
    <w:qFormat/>
    <w:rsid w:val="001c2cd8"/>
    <w:rPr>
      <w:rFonts w:ascii="Times New Roman" w:hAnsi="Times New Roman" w:eastAsia="Times New Roman" w:cs="Times New Roman"/>
      <w:color w:val="FF9900"/>
      <w:sz w:val="24"/>
      <w:szCs w:val="24"/>
      <w:lang w:eastAsia="ru-RU"/>
    </w:rPr>
  </w:style>
  <w:style w:type="character" w:styleId="CharChar2" w:customStyle="1">
    <w:name w:val="Подзаголовок приложения Char Char"/>
    <w:link w:val="Style59"/>
    <w:qFormat/>
    <w:rsid w:val="001c2cd8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Style32" w:customStyle="1">
    <w:name w:val="Абзац списка Знак"/>
    <w:link w:val="ListParagraph"/>
    <w:qFormat/>
    <w:rsid w:val="001c2cd8"/>
    <w:rPr>
      <w:rFonts w:ascii="Arial" w:hAnsi="Arial" w:eastAsia="Times New Roman" w:cs="Arial"/>
      <w:sz w:val="18"/>
      <w:szCs w:val="18"/>
      <w:lang w:eastAsia="ru-RU"/>
    </w:rPr>
  </w:style>
  <w:style w:type="character" w:styleId="26" w:customStyle="1">
    <w:name w:val="_Заголовок 2 Знак"/>
    <w:link w:val="29"/>
    <w:qFormat/>
    <w:rsid w:val="001c2cd8"/>
    <w:rPr>
      <w:rFonts w:ascii="Times New Roman" w:hAnsi="Times New Roman" w:eastAsia="Calibri" w:cs="Times New Roman"/>
      <w:b/>
      <w:color w:val="00000A"/>
      <w:spacing w:val="2"/>
      <w:sz w:val="26"/>
      <w:szCs w:val="26"/>
      <w:lang w:eastAsia="ru-RU"/>
    </w:rPr>
  </w:style>
  <w:style w:type="character" w:styleId="Style33" w:customStyle="1">
    <w:name w:val="Название объекта Знак"/>
    <w:uiPriority w:val="10"/>
    <w:qFormat/>
    <w:rsid w:val="001c2cd8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Style34" w:customStyle="1">
    <w:name w:val="_Текст таблицы Знак"/>
    <w:link w:val="Style62"/>
    <w:qFormat/>
    <w:rsid w:val="001c2cd8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52" w:customStyle="1">
    <w:name w:val="Font Style52"/>
    <w:qFormat/>
    <w:rsid w:val="001c2cd8"/>
    <w:rPr>
      <w:rFonts w:ascii="Tahoma" w:hAnsi="Tahoma" w:cs="Tahoma"/>
      <w:sz w:val="16"/>
      <w:szCs w:val="16"/>
    </w:rPr>
  </w:style>
  <w:style w:type="character" w:styleId="apple-style-span" w:customStyle="1">
    <w:name w:val="apple-style-span"/>
    <w:qFormat/>
    <w:rsid w:val="001c2cd8"/>
    <w:rPr/>
  </w:style>
  <w:style w:type="character" w:styleId="basictext" w:customStyle="1">
    <w:name w:val="basic_text Знак"/>
    <w:link w:val="basictext1"/>
    <w:qFormat/>
    <w:rsid w:val="001c2cd8"/>
    <w:rPr>
      <w:rFonts w:ascii="Times New Roman" w:hAnsi="Times New Roman" w:eastAsia="Times New Roman" w:cs="Times New Roman"/>
      <w:sz w:val="24"/>
      <w:szCs w:val="28"/>
      <w:lang w:eastAsia="ja-JP"/>
    </w:rPr>
  </w:style>
  <w:style w:type="character" w:styleId="list1" w:customStyle="1">
    <w:name w:val="list_1 Знак"/>
    <w:link w:val="list11"/>
    <w:qFormat/>
    <w:rsid w:val="001c2cd8"/>
    <w:rPr>
      <w:rFonts w:ascii="Times New Roman" w:hAnsi="Times New Roman" w:eastAsia="Times New Roman" w:cs="Times New Roman"/>
      <w:sz w:val="24"/>
      <w:szCs w:val="28"/>
      <w:lang w:eastAsia="ja-JP"/>
    </w:rPr>
  </w:style>
  <w:style w:type="character" w:styleId="Style35" w:customStyle="1">
    <w:name w:val="Название Знак"/>
    <w:link w:val="115"/>
    <w:qFormat/>
    <w:rsid w:val="001c2cd8"/>
    <w:rPr>
      <w:rFonts w:ascii="Arial" w:hAnsi="Arial" w:eastAsia="Times New Roman" w:cs="Times New Roman"/>
      <w:b/>
      <w:sz w:val="32"/>
      <w:szCs w:val="20"/>
      <w:lang w:eastAsia="ru-RU"/>
    </w:rPr>
  </w:style>
  <w:style w:type="character" w:styleId="company-infotext" w:customStyle="1">
    <w:name w:val="company-info__text"/>
    <w:basedOn w:val="DefaultParagraphFont"/>
    <w:qFormat/>
    <w:rsid w:val="001c2cd8"/>
    <w:rPr/>
  </w:style>
  <w:style w:type="character" w:styleId="Style36" w:customStyle="1">
    <w:name w:val="Основной Знак"/>
    <w:link w:val="Style65"/>
    <w:qFormat/>
    <w:rsid w:val="001c2cd8"/>
    <w:rPr>
      <w:rFonts w:ascii="Times New Roman" w:hAnsi="Times New Roman" w:eastAsia="Calibri" w:cs="Times New Roman"/>
      <w:sz w:val="24"/>
    </w:rPr>
  </w:style>
  <w:style w:type="character" w:styleId="Bodytext2" w:customStyle="1">
    <w:name w:val="Body text (2)_"/>
    <w:link w:val="Bodytext22"/>
    <w:qFormat/>
    <w:rsid w:val="001c2cd8"/>
    <w:rPr>
      <w:rFonts w:ascii="Times New Roman" w:hAnsi="Times New Roman" w:eastAsia="Times New Roman"/>
      <w:shd w:fill="FFFFFF" w:val="clear"/>
    </w:rPr>
  </w:style>
  <w:style w:type="character" w:styleId="Style37" w:customStyle="1">
    <w:name w:val="Основной текст_"/>
    <w:basedOn w:val="DefaultParagraphFont"/>
    <w:link w:val="17"/>
    <w:qFormat/>
    <w:rsid w:val="001c2cd8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38" w:customStyle="1">
    <w:name w:val="Другое_"/>
    <w:basedOn w:val="DefaultParagraphFont"/>
    <w:link w:val="Style67"/>
    <w:qFormat/>
    <w:rsid w:val="001c2cd8"/>
    <w:rPr>
      <w:rFonts w:ascii="Times New Roman" w:hAnsi="Times New Roman" w:eastAsia="Times New Roman"/>
      <w:sz w:val="26"/>
      <w:szCs w:val="26"/>
    </w:rPr>
  </w:style>
  <w:style w:type="character" w:styleId="docdata" w:customStyle="1">
    <w:name w:val="docdata"/>
    <w:basedOn w:val="DefaultParagraphFont"/>
    <w:qFormat/>
    <w:rsid w:val="001c2cd8"/>
    <w:rPr/>
  </w:style>
  <w:style w:type="paragraph" w:styleId="Style39" w:customStyle="1">
    <w:name w:val="Заголовок"/>
    <w:next w:val="BodyText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 w:cstheme="minorBidi"/>
      <w:b/>
      <w:bCs/>
      <w:color w:val="auto"/>
      <w:kern w:val="0"/>
      <w:sz w:val="22"/>
      <w:szCs w:val="22"/>
      <w:lang w:val="ru-RU" w:eastAsia="ru-RU" w:bidi="ar-SA"/>
    </w:rPr>
  </w:style>
  <w:style w:type="paragraph" w:styleId="BodyText">
    <w:name w:val="Body Text"/>
    <w:basedOn w:val="Normal"/>
    <w:link w:val="Style11"/>
    <w:qFormat/>
    <w:rsid w:val="001c2cd8"/>
    <w:pPr>
      <w:spacing w:before="0" w:after="120"/>
    </w:pPr>
    <w:rPr/>
  </w:style>
  <w:style w:type="paragraph" w:styleId="List">
    <w:name w:val="List"/>
    <w:basedOn w:val="Normal"/>
    <w:qFormat/>
    <w:rsid w:val="001c2cd8"/>
    <w:pPr>
      <w:ind w:hanging="283" w:start="283"/>
    </w:pPr>
    <w:rPr/>
  </w:style>
  <w:style w:type="paragraph" w:styleId="Caption">
    <w:name w:val="caption"/>
    <w:basedOn w:val="Normal"/>
    <w:next w:val="Normal"/>
    <w:link w:val="Style33"/>
    <w:uiPriority w:val="10"/>
    <w:qFormat/>
    <w:rsid w:val="001c2cd8"/>
    <w:pPr>
      <w:spacing w:before="120" w:after="120"/>
    </w:pPr>
    <w:rPr>
      <w:b/>
    </w:rPr>
  </w:style>
  <w:style w:type="paragraph" w:styleId="Style40">
    <w:name w:val="Указатель"/>
    <w:basedOn w:val="Normal"/>
    <w:qFormat/>
    <w:pPr>
      <w:suppressLineNumbers/>
    </w:pPr>
    <w:rPr>
      <w:rFonts w:cs="Noto San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Style29"/>
    <w:qFormat/>
    <w:rsid w:val="001c2cd8"/>
    <w:pPr>
      <w:widowControl w:val="false"/>
    </w:pPr>
    <w:rPr>
      <w:rFonts w:ascii="Tahoma" w:hAnsi="Tahoma" w:cs="Tahoma"/>
      <w:sz w:val="16"/>
      <w:szCs w:val="16"/>
    </w:rPr>
  </w:style>
  <w:style w:type="paragraph" w:styleId="List5">
    <w:name w:val="List 5"/>
    <w:basedOn w:val="Normal"/>
    <w:qFormat/>
    <w:rsid w:val="001c2cd8"/>
    <w:pPr>
      <w:ind w:hanging="283" w:start="1415"/>
    </w:pPr>
    <w:rPr/>
  </w:style>
  <w:style w:type="paragraph" w:styleId="ListContinue">
    <w:name w:val="List Continue"/>
    <w:basedOn w:val="Normal"/>
    <w:qFormat/>
    <w:rsid w:val="001c2cd8"/>
    <w:pPr>
      <w:spacing w:before="0" w:after="120"/>
      <w:ind w:start="283"/>
    </w:pPr>
    <w:rPr/>
  </w:style>
  <w:style w:type="paragraph" w:styleId="BodyText21">
    <w:name w:val="Body Text 2"/>
    <w:basedOn w:val="Normal"/>
    <w:link w:val="23"/>
    <w:qFormat/>
    <w:rsid w:val="001c2cd8"/>
    <w:pPr>
      <w:spacing w:lineRule="auto" w:line="480" w:before="0" w:after="120"/>
    </w:pPr>
    <w:rPr/>
  </w:style>
  <w:style w:type="paragraph" w:styleId="ListNumber5">
    <w:name w:val="List Number 5"/>
    <w:basedOn w:val="Normal"/>
    <w:qFormat/>
    <w:rsid w:val="001c2cd8"/>
    <w:pPr>
      <w:numPr>
        <w:ilvl w:val="0"/>
        <w:numId w:val="1"/>
      </w:numPr>
    </w:pPr>
    <w:rPr/>
  </w:style>
  <w:style w:type="paragraph" w:styleId="Closing">
    <w:name w:val="Closing"/>
    <w:basedOn w:val="Normal"/>
    <w:link w:val="Style19"/>
    <w:qFormat/>
    <w:rsid w:val="001c2cd8"/>
    <w:pPr>
      <w:ind w:start="4252"/>
    </w:pPr>
    <w:rPr/>
  </w:style>
  <w:style w:type="paragraph" w:styleId="NormalIndent">
    <w:name w:val="Normal Indent"/>
    <w:basedOn w:val="Normal"/>
    <w:qFormat/>
    <w:rsid w:val="001c2cd8"/>
    <w:pPr>
      <w:ind w:start="720"/>
    </w:pPr>
    <w:rPr/>
  </w:style>
  <w:style w:type="paragraph" w:styleId="EnvelopeReturn">
    <w:name w:val="envelope return"/>
    <w:basedOn w:val="Normal"/>
    <w:qFormat/>
    <w:rsid w:val="001c2cd8"/>
    <w:pPr/>
    <w:rPr>
      <w:rFonts w:ascii="Arial" w:hAnsi="Arial"/>
      <w:sz w:val="20"/>
    </w:rPr>
  </w:style>
  <w:style w:type="paragraph" w:styleId="PlainText">
    <w:name w:val="Plain Text"/>
    <w:basedOn w:val="Normal"/>
    <w:link w:val="Style21"/>
    <w:qFormat/>
    <w:rsid w:val="001c2cd8"/>
    <w:pPr/>
    <w:rPr>
      <w:rFonts w:ascii="Courier New" w:hAnsi="Courier New"/>
      <w:sz w:val="20"/>
    </w:rPr>
  </w:style>
  <w:style w:type="paragraph" w:styleId="BodyTextIndent3">
    <w:name w:val="Body Text Indent 3"/>
    <w:basedOn w:val="Normal"/>
    <w:link w:val="32"/>
    <w:qFormat/>
    <w:rsid w:val="001c2cd8"/>
    <w:pPr>
      <w:spacing w:before="0" w:after="120"/>
      <w:ind w:start="283"/>
    </w:pPr>
    <w:rPr>
      <w:sz w:val="16"/>
    </w:rPr>
  </w:style>
  <w:style w:type="paragraph" w:styleId="EndnoteText">
    <w:name w:val="endnote text"/>
    <w:basedOn w:val="Normal"/>
    <w:link w:val="Style22"/>
    <w:semiHidden/>
    <w:qFormat/>
    <w:rsid w:val="001c2cd8"/>
    <w:pPr/>
    <w:rPr>
      <w:sz w:val="20"/>
    </w:rPr>
  </w:style>
  <w:style w:type="paragraph" w:styleId="CommentText">
    <w:name w:val="annotation text"/>
    <w:basedOn w:val="Normal"/>
    <w:link w:val="Style24"/>
    <w:uiPriority w:val="99"/>
    <w:semiHidden/>
    <w:qFormat/>
    <w:rsid w:val="001c2cd8"/>
    <w:pPr/>
    <w:rPr>
      <w:sz w:val="20"/>
    </w:rPr>
  </w:style>
  <w:style w:type="paragraph" w:styleId="Index1">
    <w:name w:val="index 1"/>
    <w:basedOn w:val="Normal"/>
    <w:next w:val="Normal"/>
    <w:semiHidden/>
    <w:qFormat/>
    <w:rsid w:val="001c2cd8"/>
    <w:pPr>
      <w:ind w:hanging="240" w:start="240"/>
    </w:pPr>
    <w:rPr/>
  </w:style>
  <w:style w:type="paragraph" w:styleId="annotationsubject">
    <w:name w:val="annotation subject"/>
    <w:basedOn w:val="CommentText"/>
    <w:next w:val="CommentText"/>
    <w:link w:val="Style28"/>
    <w:qFormat/>
    <w:rsid w:val="001c2cd8"/>
    <w:pPr>
      <w:widowControl w:val="false"/>
    </w:pPr>
    <w:rPr>
      <w:rFonts w:ascii="Arial" w:hAnsi="Arial" w:cs="Arial"/>
      <w:b/>
      <w:bCs/>
    </w:rPr>
  </w:style>
  <w:style w:type="paragraph" w:styleId="DocumentMap">
    <w:name w:val="Document Map"/>
    <w:basedOn w:val="Normal"/>
    <w:link w:val="Style20"/>
    <w:semiHidden/>
    <w:qFormat/>
    <w:rsid w:val="001c2cd8"/>
    <w:pPr>
      <w:shd w:val="clear" w:color="auto" w:fill="000080"/>
    </w:pPr>
    <w:rPr>
      <w:rFonts w:ascii="Tahoma" w:hAnsi="Tahoma"/>
    </w:rPr>
  </w:style>
  <w:style w:type="paragraph" w:styleId="FootnoteText">
    <w:name w:val="footnote text"/>
    <w:basedOn w:val="Normal"/>
    <w:link w:val="Style25"/>
    <w:uiPriority w:val="99"/>
    <w:qFormat/>
    <w:rsid w:val="001c2cd8"/>
    <w:pPr/>
    <w:rPr>
      <w:sz w:val="20"/>
    </w:rPr>
  </w:style>
  <w:style w:type="paragraph" w:styleId="TOC8">
    <w:name w:val="toc 8"/>
    <w:basedOn w:val="Normal"/>
    <w:next w:val="Normal"/>
    <w:semiHidden/>
    <w:qFormat/>
    <w:rsid w:val="001c2cd8"/>
    <w:pPr>
      <w:ind w:start="1680"/>
    </w:pPr>
    <w:rPr/>
  </w:style>
  <w:style w:type="paragraph" w:styleId="Index2">
    <w:name w:val="index 2"/>
    <w:basedOn w:val="Normal"/>
    <w:next w:val="Normal"/>
    <w:semiHidden/>
    <w:qFormat/>
    <w:rsid w:val="001c2cd8"/>
    <w:pPr>
      <w:ind w:hanging="240" w:start="480"/>
    </w:pPr>
    <w:rPr/>
  </w:style>
  <w:style w:type="paragraph" w:styleId="ListNumber3">
    <w:name w:val="List Number 3"/>
    <w:basedOn w:val="Normal"/>
    <w:qFormat/>
    <w:rsid w:val="001c2cd8"/>
    <w:pPr>
      <w:numPr>
        <w:ilvl w:val="0"/>
        <w:numId w:val="2"/>
      </w:numPr>
    </w:pPr>
    <w:rPr/>
  </w:style>
  <w:style w:type="paragraph" w:styleId="Index7">
    <w:name w:val="index 7"/>
    <w:basedOn w:val="Normal"/>
    <w:next w:val="Normal"/>
    <w:semiHidden/>
    <w:qFormat/>
    <w:rsid w:val="001c2cd8"/>
    <w:pPr>
      <w:ind w:hanging="240" w:start="1680"/>
    </w:pPr>
    <w:rPr/>
  </w:style>
  <w:style w:type="paragraph" w:styleId="Index3">
    <w:name w:val="index 3"/>
    <w:basedOn w:val="Normal"/>
    <w:next w:val="Normal"/>
    <w:semiHidden/>
    <w:qFormat/>
    <w:rsid w:val="001c2cd8"/>
    <w:pPr>
      <w:ind w:hanging="240" w:start="720"/>
    </w:pPr>
    <w:rPr/>
  </w:style>
  <w:style w:type="paragraph" w:styleId="Index5">
    <w:name w:val="index 5"/>
    <w:basedOn w:val="Normal"/>
    <w:next w:val="Normal"/>
    <w:semiHidden/>
    <w:qFormat/>
    <w:rsid w:val="001c2cd8"/>
    <w:pPr>
      <w:ind w:hanging="240" w:start="1200"/>
    </w:pPr>
    <w:rPr/>
  </w:style>
  <w:style w:type="paragraph" w:styleId="Index4">
    <w:name w:val="index 4"/>
    <w:basedOn w:val="Normal"/>
    <w:next w:val="Normal"/>
    <w:semiHidden/>
    <w:qFormat/>
    <w:rsid w:val="001c2cd8"/>
    <w:pPr>
      <w:ind w:hanging="240" w:start="960"/>
    </w:pPr>
    <w:rPr/>
  </w:style>
  <w:style w:type="paragraph" w:styleId="Style41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Style8"/>
    <w:uiPriority w:val="99"/>
    <w:qFormat/>
    <w:rsid w:val="001c2cd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OC9">
    <w:name w:val="toc 9"/>
    <w:basedOn w:val="Normal"/>
    <w:next w:val="Normal"/>
    <w:semiHidden/>
    <w:qFormat/>
    <w:rsid w:val="001c2cd8"/>
    <w:pPr>
      <w:ind w:start="1920"/>
    </w:pPr>
    <w:rPr/>
  </w:style>
  <w:style w:type="paragraph" w:styleId="TOC7">
    <w:name w:val="toc 7"/>
    <w:basedOn w:val="Normal"/>
    <w:next w:val="Normal"/>
    <w:semiHidden/>
    <w:qFormat/>
    <w:rsid w:val="001c2cd8"/>
    <w:pPr>
      <w:ind w:start="1440"/>
    </w:pPr>
    <w:rPr/>
  </w:style>
  <w:style w:type="paragraph" w:styleId="Index6">
    <w:name w:val="index 6"/>
    <w:basedOn w:val="Normal"/>
    <w:next w:val="Normal"/>
    <w:semiHidden/>
    <w:qFormat/>
    <w:rsid w:val="001c2cd8"/>
    <w:pPr>
      <w:ind w:hanging="240" w:start="1440"/>
    </w:pPr>
    <w:rPr/>
  </w:style>
  <w:style w:type="paragraph" w:styleId="EnvelopeAddress">
    <w:name w:val="envelope address"/>
    <w:basedOn w:val="Normal"/>
    <w:qFormat/>
    <w:rsid w:val="001c2cd8"/>
    <w:pPr>
      <w:ind w:start="2880"/>
    </w:pPr>
    <w:rPr>
      <w:rFonts w:ascii="Arial" w:hAnsi="Arial"/>
    </w:rPr>
  </w:style>
  <w:style w:type="paragraph" w:styleId="Index8">
    <w:name w:val="index 8"/>
    <w:basedOn w:val="Normal"/>
    <w:next w:val="Normal"/>
    <w:semiHidden/>
    <w:qFormat/>
    <w:rsid w:val="001c2cd8"/>
    <w:pPr>
      <w:ind w:hanging="240" w:start="1920"/>
    </w:pPr>
    <w:rPr/>
  </w:style>
  <w:style w:type="paragraph" w:styleId="Index9">
    <w:name w:val="index 9"/>
    <w:basedOn w:val="Normal"/>
    <w:next w:val="Normal"/>
    <w:semiHidden/>
    <w:qFormat/>
    <w:rsid w:val="001c2cd8"/>
    <w:pPr>
      <w:ind w:hanging="240" w:start="2160"/>
    </w:pPr>
    <w:rPr/>
  </w:style>
  <w:style w:type="paragraph" w:styleId="ListNumber4">
    <w:name w:val="List Number 4"/>
    <w:basedOn w:val="Normal"/>
    <w:qFormat/>
    <w:rsid w:val="001c2cd8"/>
    <w:pPr>
      <w:numPr>
        <w:ilvl w:val="0"/>
        <w:numId w:val="3"/>
      </w:numPr>
    </w:pPr>
    <w:rPr/>
  </w:style>
  <w:style w:type="paragraph" w:styleId="toaheading">
    <w:name w:val="toa heading"/>
    <w:basedOn w:val="Normal"/>
    <w:next w:val="Normal"/>
    <w:semiHidden/>
    <w:qFormat/>
    <w:rsid w:val="001c2cd8"/>
    <w:pPr>
      <w:spacing w:before="120" w:after="0"/>
    </w:pPr>
    <w:rPr>
      <w:rFonts w:ascii="Arial" w:hAnsi="Arial"/>
      <w:b/>
    </w:rPr>
  </w:style>
  <w:style w:type="paragraph" w:styleId="IndexHeading">
    <w:name w:val="index heading"/>
    <w:basedOn w:val="Normal"/>
    <w:next w:val="Index1"/>
    <w:semiHidden/>
    <w:qFormat/>
    <w:rsid w:val="001c2cd8"/>
    <w:pPr/>
    <w:rPr>
      <w:rFonts w:ascii="Arial" w:hAnsi="Arial"/>
      <w:b/>
    </w:rPr>
  </w:style>
  <w:style w:type="paragraph" w:styleId="TOC1">
    <w:name w:val="toc 1"/>
    <w:basedOn w:val="Normal"/>
    <w:next w:val="Normal"/>
    <w:uiPriority w:val="39"/>
    <w:qFormat/>
    <w:rsid w:val="001c2cd8"/>
    <w:pPr/>
    <w:rPr/>
  </w:style>
  <w:style w:type="paragraph" w:styleId="TableofAuthorities">
    <w:name w:val="table of authorities"/>
    <w:basedOn w:val="Normal"/>
    <w:next w:val="Normal"/>
    <w:semiHidden/>
    <w:qFormat/>
    <w:rsid w:val="001c2cd8"/>
    <w:pPr>
      <w:ind w:hanging="240" w:start="240"/>
    </w:pPr>
    <w:rPr/>
  </w:style>
  <w:style w:type="paragraph" w:styleId="MacroText">
    <w:name w:val="macro"/>
    <w:link w:val="Style23"/>
    <w:semiHidden/>
    <w:qFormat/>
    <w:rsid w:val="001c2cd8"/>
    <w:pPr>
      <w:widowControl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before="0" w:after="0"/>
      <w:jc w:val="star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OC6">
    <w:name w:val="toc 6"/>
    <w:basedOn w:val="Normal"/>
    <w:next w:val="Normal"/>
    <w:semiHidden/>
    <w:qFormat/>
    <w:rsid w:val="001c2cd8"/>
    <w:pPr>
      <w:ind w:start="1200"/>
    </w:pPr>
    <w:rPr/>
  </w:style>
  <w:style w:type="paragraph" w:styleId="TableofFigures">
    <w:name w:val="table of figures"/>
    <w:basedOn w:val="Normal"/>
    <w:next w:val="Normal"/>
    <w:semiHidden/>
    <w:qFormat/>
    <w:rsid w:val="001c2cd8"/>
    <w:pPr>
      <w:ind w:hanging="480" w:start="480"/>
    </w:pPr>
    <w:rPr/>
  </w:style>
  <w:style w:type="paragraph" w:styleId="TOC3">
    <w:name w:val="toc 3"/>
    <w:basedOn w:val="Normal"/>
    <w:next w:val="Normal"/>
    <w:uiPriority w:val="39"/>
    <w:qFormat/>
    <w:rsid w:val="001c2cd8"/>
    <w:pPr>
      <w:ind w:start="480"/>
    </w:pPr>
    <w:rPr/>
  </w:style>
  <w:style w:type="paragraph" w:styleId="TOC2">
    <w:name w:val="toc 2"/>
    <w:basedOn w:val="Normal"/>
    <w:next w:val="Normal"/>
    <w:uiPriority w:val="39"/>
    <w:qFormat/>
    <w:rsid w:val="001c2cd8"/>
    <w:pPr>
      <w:ind w:start="240"/>
    </w:pPr>
    <w:rPr/>
  </w:style>
  <w:style w:type="paragraph" w:styleId="TOC4">
    <w:name w:val="toc 4"/>
    <w:basedOn w:val="Normal"/>
    <w:next w:val="Normal"/>
    <w:semiHidden/>
    <w:qFormat/>
    <w:rsid w:val="001c2cd8"/>
    <w:pPr>
      <w:ind w:start="720"/>
    </w:pPr>
    <w:rPr/>
  </w:style>
  <w:style w:type="paragraph" w:styleId="TOC5">
    <w:name w:val="toc 5"/>
    <w:basedOn w:val="Normal"/>
    <w:next w:val="Normal"/>
    <w:semiHidden/>
    <w:qFormat/>
    <w:rsid w:val="001c2cd8"/>
    <w:pPr>
      <w:ind w:start="960"/>
    </w:pPr>
    <w:rPr/>
  </w:style>
  <w:style w:type="paragraph" w:styleId="NoteHeading">
    <w:name w:val="Note Heading"/>
    <w:basedOn w:val="Normal"/>
    <w:next w:val="Normal"/>
    <w:link w:val="Style10"/>
    <w:qFormat/>
    <w:rsid w:val="001c2cd8"/>
    <w:pPr/>
    <w:rPr/>
  </w:style>
  <w:style w:type="paragraph" w:styleId="Date">
    <w:name w:val="Date"/>
    <w:basedOn w:val="Normal"/>
    <w:next w:val="Normal"/>
    <w:link w:val="Style9"/>
    <w:qFormat/>
    <w:rsid w:val="001c2cd8"/>
    <w:pPr/>
    <w:rPr/>
  </w:style>
  <w:style w:type="paragraph" w:styleId="ListBullet5">
    <w:name w:val="List Bullet 5"/>
    <w:basedOn w:val="Normal"/>
    <w:qFormat/>
    <w:rsid w:val="001c2cd8"/>
    <w:pPr>
      <w:numPr>
        <w:ilvl w:val="0"/>
        <w:numId w:val="4"/>
      </w:numPr>
    </w:pPr>
    <w:rPr/>
  </w:style>
  <w:style w:type="paragraph" w:styleId="BodyTextFirstIndent">
    <w:name w:val="Body Text First Indent"/>
    <w:basedOn w:val="BodyText"/>
    <w:link w:val="Style12"/>
    <w:qFormat/>
    <w:rsid w:val="001c2cd8"/>
    <w:pPr>
      <w:ind w:firstLine="210"/>
    </w:pPr>
    <w:rPr/>
  </w:style>
  <w:style w:type="paragraph" w:styleId="BodyTextFirstIndent2">
    <w:name w:val="Body Text First Indent 2"/>
    <w:basedOn w:val="BodyTextIndent"/>
    <w:link w:val="22"/>
    <w:qFormat/>
    <w:rsid w:val="001c2cd8"/>
    <w:pPr>
      <w:ind w:firstLine="210"/>
    </w:pPr>
    <w:rPr/>
  </w:style>
  <w:style w:type="paragraph" w:styleId="BodyTextIndent">
    <w:name w:val="Body Text Indent"/>
    <w:basedOn w:val="Normal"/>
    <w:link w:val="Style13"/>
    <w:qFormat/>
    <w:rsid w:val="001c2cd8"/>
    <w:pPr>
      <w:spacing w:before="0" w:after="120"/>
      <w:ind w:start="283"/>
    </w:pPr>
    <w:rPr/>
  </w:style>
  <w:style w:type="paragraph" w:styleId="ListBullet4">
    <w:name w:val="List Bullet 4"/>
    <w:basedOn w:val="Normal"/>
    <w:qFormat/>
    <w:rsid w:val="001c2cd8"/>
    <w:pPr>
      <w:numPr>
        <w:ilvl w:val="0"/>
        <w:numId w:val="5"/>
      </w:numPr>
    </w:pPr>
    <w:rPr/>
  </w:style>
  <w:style w:type="paragraph" w:styleId="ListBullet">
    <w:name w:val="List Bullet"/>
    <w:basedOn w:val="Normal"/>
    <w:qFormat/>
    <w:rsid w:val="001c2cd8"/>
    <w:pPr>
      <w:numPr>
        <w:ilvl w:val="0"/>
        <w:numId w:val="6"/>
      </w:numPr>
    </w:pPr>
    <w:rPr/>
  </w:style>
  <w:style w:type="paragraph" w:styleId="ListBullet2">
    <w:name w:val="List Bullet 2"/>
    <w:basedOn w:val="Normal"/>
    <w:qFormat/>
    <w:rsid w:val="001c2cd8"/>
    <w:pPr>
      <w:numPr>
        <w:ilvl w:val="0"/>
        <w:numId w:val="7"/>
      </w:numPr>
    </w:pPr>
    <w:rPr/>
  </w:style>
  <w:style w:type="paragraph" w:styleId="ListBullet3">
    <w:name w:val="List Bullet 3"/>
    <w:basedOn w:val="Normal"/>
    <w:qFormat/>
    <w:rsid w:val="001c2cd8"/>
    <w:pPr>
      <w:numPr>
        <w:ilvl w:val="0"/>
        <w:numId w:val="8"/>
      </w:numPr>
    </w:pPr>
    <w:rPr/>
  </w:style>
  <w:style w:type="paragraph" w:styleId="Title">
    <w:name w:val="Title"/>
    <w:basedOn w:val="Normal"/>
    <w:link w:val="Style14"/>
    <w:qFormat/>
    <w:rsid w:val="001c2cd8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Footer">
    <w:name w:val="footer"/>
    <w:basedOn w:val="Normal"/>
    <w:link w:val="Style15"/>
    <w:uiPriority w:val="99"/>
    <w:qFormat/>
    <w:rsid w:val="001c2cd8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ListNumber">
    <w:name w:val="List Number"/>
    <w:basedOn w:val="Normal"/>
    <w:qFormat/>
    <w:rsid w:val="001c2cd8"/>
    <w:pPr>
      <w:numPr>
        <w:ilvl w:val="0"/>
        <w:numId w:val="9"/>
      </w:numPr>
    </w:pPr>
    <w:rPr/>
  </w:style>
  <w:style w:type="paragraph" w:styleId="ListNumber2">
    <w:name w:val="List Number 2"/>
    <w:basedOn w:val="Normal"/>
    <w:qFormat/>
    <w:rsid w:val="001c2cd8"/>
    <w:pPr>
      <w:numPr>
        <w:ilvl w:val="0"/>
        <w:numId w:val="10"/>
      </w:numPr>
    </w:pPr>
    <w:rPr/>
  </w:style>
  <w:style w:type="paragraph" w:styleId="NormalWeb">
    <w:name w:val="Normal (Web)"/>
    <w:basedOn w:val="Normal"/>
    <w:uiPriority w:val="99"/>
    <w:qFormat/>
    <w:rsid w:val="001c2cd8"/>
    <w:pPr>
      <w:spacing w:beforeAutospacing="1" w:afterAutospacing="1"/>
    </w:pPr>
    <w:rPr>
      <w:rFonts w:ascii="Arial Unicode MS" w:hAnsi="Arial Unicode MS" w:eastAsia="Arial Unicode MS" w:cs="Arial Unicode MS"/>
      <w:szCs w:val="24"/>
    </w:rPr>
  </w:style>
  <w:style w:type="paragraph" w:styleId="BodyText3">
    <w:name w:val="Body Text 3"/>
    <w:basedOn w:val="Normal"/>
    <w:link w:val="31"/>
    <w:qFormat/>
    <w:rsid w:val="001c2cd8"/>
    <w:pPr>
      <w:spacing w:before="0" w:after="120"/>
    </w:pPr>
    <w:rPr>
      <w:sz w:val="16"/>
    </w:rPr>
  </w:style>
  <w:style w:type="paragraph" w:styleId="BodyTextIndent2">
    <w:name w:val="Body Text Indent 2"/>
    <w:basedOn w:val="Normal"/>
    <w:link w:val="24"/>
    <w:qFormat/>
    <w:rsid w:val="001c2cd8"/>
    <w:pPr>
      <w:spacing w:lineRule="auto" w:line="480" w:before="0" w:after="120"/>
      <w:ind w:start="283"/>
    </w:pPr>
    <w:rPr/>
  </w:style>
  <w:style w:type="paragraph" w:styleId="Subtitle">
    <w:name w:val="Subtitle"/>
    <w:basedOn w:val="Normal"/>
    <w:link w:val="Style16"/>
    <w:qFormat/>
    <w:rsid w:val="001c2cd8"/>
    <w:pPr>
      <w:spacing w:before="0" w:after="60"/>
      <w:jc w:val="center"/>
      <w:outlineLvl w:val="1"/>
    </w:pPr>
    <w:rPr>
      <w:rFonts w:ascii="Arial" w:hAnsi="Arial"/>
    </w:rPr>
  </w:style>
  <w:style w:type="paragraph" w:styleId="Signature">
    <w:name w:val="Signature"/>
    <w:basedOn w:val="Normal"/>
    <w:link w:val="Style17"/>
    <w:qFormat/>
    <w:rsid w:val="001c2cd8"/>
    <w:pPr>
      <w:ind w:start="4252"/>
    </w:pPr>
    <w:rPr/>
  </w:style>
  <w:style w:type="paragraph" w:styleId="Salutation">
    <w:name w:val="Salutation"/>
    <w:basedOn w:val="Normal"/>
    <w:next w:val="Normal"/>
    <w:link w:val="Style18"/>
    <w:qFormat/>
    <w:rsid w:val="001c2cd8"/>
    <w:pPr/>
    <w:rPr/>
  </w:style>
  <w:style w:type="paragraph" w:styleId="ListContinue2">
    <w:name w:val="List Continue 2"/>
    <w:basedOn w:val="Normal"/>
    <w:qFormat/>
    <w:rsid w:val="001c2cd8"/>
    <w:pPr>
      <w:spacing w:before="0" w:after="120"/>
      <w:ind w:start="566"/>
    </w:pPr>
    <w:rPr/>
  </w:style>
  <w:style w:type="paragraph" w:styleId="ListContinue3">
    <w:name w:val="List Continue 3"/>
    <w:basedOn w:val="Normal"/>
    <w:qFormat/>
    <w:rsid w:val="001c2cd8"/>
    <w:pPr>
      <w:spacing w:before="0" w:after="120"/>
      <w:ind w:start="849"/>
    </w:pPr>
    <w:rPr/>
  </w:style>
  <w:style w:type="paragraph" w:styleId="ListContinue4">
    <w:name w:val="List Continue 4"/>
    <w:basedOn w:val="Normal"/>
    <w:qFormat/>
    <w:rsid w:val="001c2cd8"/>
    <w:pPr>
      <w:spacing w:before="0" w:after="120"/>
      <w:ind w:start="1132"/>
    </w:pPr>
    <w:rPr/>
  </w:style>
  <w:style w:type="paragraph" w:styleId="ListContinue5">
    <w:name w:val="List Continue 5"/>
    <w:basedOn w:val="Normal"/>
    <w:qFormat/>
    <w:rsid w:val="001c2cd8"/>
    <w:pPr>
      <w:spacing w:before="0" w:after="120"/>
      <w:ind w:start="1415"/>
    </w:pPr>
    <w:rPr/>
  </w:style>
  <w:style w:type="paragraph" w:styleId="List2">
    <w:name w:val="List 2"/>
    <w:basedOn w:val="Normal"/>
    <w:qFormat/>
    <w:rsid w:val="001c2cd8"/>
    <w:pPr>
      <w:ind w:hanging="283" w:start="566"/>
    </w:pPr>
    <w:rPr/>
  </w:style>
  <w:style w:type="paragraph" w:styleId="List3">
    <w:name w:val="List 3"/>
    <w:basedOn w:val="Normal"/>
    <w:qFormat/>
    <w:rsid w:val="001c2cd8"/>
    <w:pPr>
      <w:ind w:hanging="283" w:start="849"/>
    </w:pPr>
    <w:rPr/>
  </w:style>
  <w:style w:type="paragraph" w:styleId="List4">
    <w:name w:val="List 4"/>
    <w:basedOn w:val="Normal"/>
    <w:qFormat/>
    <w:rsid w:val="001c2cd8"/>
    <w:pPr>
      <w:ind w:hanging="283" w:start="1132"/>
    </w:pPr>
    <w:rPr/>
  </w:style>
  <w:style w:type="paragraph" w:styleId="BlockText">
    <w:name w:val="Block Text"/>
    <w:basedOn w:val="Normal"/>
    <w:qFormat/>
    <w:rsid w:val="001c2cd8"/>
    <w:pPr>
      <w:spacing w:before="0" w:after="120"/>
      <w:ind w:start="1440" w:end="1440"/>
    </w:pPr>
    <w:rPr/>
  </w:style>
  <w:style w:type="paragraph" w:styleId="MessageHeader">
    <w:name w:val="Message Header"/>
    <w:basedOn w:val="Normal"/>
    <w:link w:val="Style26"/>
    <w:qFormat/>
    <w:rsid w:val="001c2cd8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start="1134"/>
    </w:pPr>
    <w:rPr>
      <w:rFonts w:ascii="Arial" w:hAnsi="Arial"/>
    </w:rPr>
  </w:style>
  <w:style w:type="paragraph" w:styleId="Quote">
    <w:name w:val="Quote"/>
    <w:basedOn w:val="Normal"/>
    <w:next w:val="Normal"/>
    <w:link w:val="2"/>
    <w:uiPriority w:val="29"/>
    <w:qFormat/>
    <w:rsid w:val="001c2cd8"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1c2cd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-1" w:customStyle="1">
    <w:name w:val="абзац-1"/>
    <w:basedOn w:val="Normal"/>
    <w:qFormat/>
    <w:rsid w:val="001c2cd8"/>
    <w:pPr>
      <w:spacing w:lineRule="auto" w:line="360"/>
      <w:ind w:firstLine="709"/>
    </w:pPr>
    <w:rPr/>
  </w:style>
  <w:style w:type="paragraph" w:styleId="ConsPlusNormal1" w:customStyle="1">
    <w:name w:val="ConsPlusNormal"/>
    <w:link w:val="ConsPlusNormal"/>
    <w:qFormat/>
    <w:rsid w:val="001c2cd8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 w:cstheme="minorBidi"/>
      <w:color w:val="auto"/>
      <w:kern w:val="0"/>
      <w:sz w:val="20"/>
      <w:szCs w:val="20"/>
      <w:lang w:val="ru-RU" w:eastAsia="ru-RU" w:bidi="ar-SA"/>
    </w:rPr>
  </w:style>
  <w:style w:type="paragraph" w:styleId="xl24" w:customStyle="1">
    <w:name w:val="xl24"/>
    <w:basedOn w:val="Normal"/>
    <w:qFormat/>
    <w:rsid w:val="001c2cd8"/>
    <w:pPr>
      <w:spacing w:before="100" w:after="100"/>
      <w:jc w:val="center"/>
    </w:pPr>
    <w:rPr/>
  </w:style>
  <w:style w:type="paragraph" w:styleId="ConsPlusNonformat" w:customStyle="1">
    <w:name w:val="ConsPlusNonformat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Nonformat" w:customStyle="1">
    <w:name w:val="ConsNonformat"/>
    <w:qFormat/>
    <w:rsid w:val="001c2cd8"/>
    <w:pPr>
      <w:widowControl w:val="false"/>
      <w:suppressAutoHyphens w:val="true"/>
      <w:bidi w:val="0"/>
      <w:spacing w:before="0" w:after="0"/>
      <w:ind w:end="19772"/>
      <w:jc w:val="start"/>
    </w:pPr>
    <w:rPr>
      <w:rFonts w:ascii="Courier New" w:hAnsi="Courier New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ConsNormal1" w:customStyle="1">
    <w:name w:val="ConsNormal"/>
    <w:link w:val="ConsNormal"/>
    <w:qFormat/>
    <w:rsid w:val="001c2cd8"/>
    <w:pPr>
      <w:widowControl w:val="false"/>
      <w:suppressAutoHyphens w:val="true"/>
      <w:bidi w:val="0"/>
      <w:spacing w:before="0" w:after="0"/>
      <w:ind w:firstLine="720" w:end="19772"/>
      <w:jc w:val="start"/>
    </w:pPr>
    <w:rPr>
      <w:rFonts w:ascii="Arial" w:hAnsi="Arial" w:eastAsia="Times New Roman" w:cs="Arial" w:cstheme="minorBidi"/>
      <w:color w:val="auto"/>
      <w:kern w:val="0"/>
      <w:sz w:val="22"/>
      <w:szCs w:val="22"/>
      <w:lang w:val="ru-RU" w:eastAsia="ru-RU" w:bidi="ar-SA"/>
    </w:rPr>
  </w:style>
  <w:style w:type="paragraph" w:styleId="211" w:customStyle="1">
    <w:name w:val="Основной текст 21"/>
    <w:basedOn w:val="Normal"/>
    <w:qFormat/>
    <w:rsid w:val="001c2cd8"/>
    <w:pPr>
      <w:widowControl w:val="false"/>
      <w:ind w:hanging="567" w:start="567"/>
      <w:jc w:val="both"/>
    </w:pPr>
    <w:rPr/>
  </w:style>
  <w:style w:type="paragraph" w:styleId="27" w:customStyle="1">
    <w:name w:val="Стиль2"/>
    <w:basedOn w:val="ListNumber2"/>
    <w:qFormat/>
    <w:rsid w:val="001c2cd8"/>
    <w:pPr>
      <w:keepNext w:val="true"/>
      <w:keepLines/>
      <w:widowControl w:val="false"/>
      <w:numPr>
        <w:ilvl w:val="0"/>
        <w:numId w:val="0"/>
      </w:numPr>
      <w:suppressLineNumbers/>
      <w:tabs>
        <w:tab w:val="clear" w:pos="708"/>
        <w:tab w:val="left" w:pos="1440" w:leader="none"/>
      </w:tabs>
      <w:spacing w:before="0" w:after="60"/>
      <w:ind w:hanging="360" w:start="1440"/>
      <w:jc w:val="both"/>
    </w:pPr>
    <w:rPr>
      <w:rFonts w:cs="Arial"/>
      <w:b/>
      <w:szCs w:val="18"/>
    </w:rPr>
  </w:style>
  <w:style w:type="paragraph" w:styleId="33" w:customStyle="1">
    <w:name w:val="Стиль3"/>
    <w:basedOn w:val="BodyTextIndent2"/>
    <w:qFormat/>
    <w:rsid w:val="001c2cd8"/>
    <w:pPr>
      <w:widowControl w:val="false"/>
      <w:spacing w:lineRule="auto" w:line="240" w:before="0" w:after="0"/>
      <w:ind w:start="0"/>
      <w:jc w:val="both"/>
    </w:pPr>
    <w:rPr>
      <w:rFonts w:cs="Arial"/>
      <w:szCs w:val="18"/>
    </w:rPr>
  </w:style>
  <w:style w:type="paragraph" w:styleId="Style42" w:customStyle="1">
    <w:name w:val="Раздел"/>
    <w:basedOn w:val="Normal"/>
    <w:semiHidden/>
    <w:qFormat/>
    <w:rsid w:val="001c2cd8"/>
    <w:pPr>
      <w:tabs>
        <w:tab w:val="clear" w:pos="708"/>
        <w:tab w:val="left" w:pos="1440" w:leader="none"/>
      </w:tabs>
      <w:spacing w:before="120" w:after="120"/>
      <w:ind w:hanging="720" w:start="720"/>
      <w:jc w:val="center"/>
    </w:pPr>
    <w:rPr>
      <w:rFonts w:ascii="Arial Narrow" w:hAnsi="Arial Narrow" w:cs="Arial"/>
      <w:b/>
      <w:sz w:val="28"/>
      <w:szCs w:val="18"/>
    </w:rPr>
  </w:style>
  <w:style w:type="paragraph" w:styleId="Style43" w:customStyle="1">
    <w:name w:val="Условия контракта"/>
    <w:basedOn w:val="Normal"/>
    <w:semiHidden/>
    <w:qFormat/>
    <w:rsid w:val="001c2cd8"/>
    <w:pPr>
      <w:tabs>
        <w:tab w:val="clear" w:pos="708"/>
        <w:tab w:val="left" w:pos="567" w:leader="none"/>
      </w:tabs>
      <w:spacing w:before="240" w:after="120"/>
      <w:ind w:hanging="567" w:start="567"/>
      <w:jc w:val="both"/>
    </w:pPr>
    <w:rPr>
      <w:rFonts w:cs="Arial"/>
      <w:b/>
      <w:szCs w:val="18"/>
    </w:rPr>
  </w:style>
  <w:style w:type="paragraph" w:styleId="Style44" w:customStyle="1">
    <w:name w:val="Íîðìàëüíûé"/>
    <w:semiHidden/>
    <w:qFormat/>
    <w:rsid w:val="001c2cd8"/>
    <w:pPr>
      <w:widowControl/>
      <w:suppressAutoHyphens w:val="true"/>
      <w:bidi w:val="0"/>
      <w:spacing w:before="0" w:after="0"/>
      <w:jc w:val="start"/>
    </w:pPr>
    <w:rPr>
      <w:rFonts w:ascii="Courier" w:hAnsi="Courier" w:eastAsia="Times New Roman" w:cs="Times New Roman"/>
      <w:color w:val="auto"/>
      <w:kern w:val="0"/>
      <w:sz w:val="24"/>
      <w:szCs w:val="20"/>
      <w:lang w:val="en-GB" w:eastAsia="ru-RU" w:bidi="ar-SA"/>
    </w:rPr>
  </w:style>
  <w:style w:type="paragraph" w:styleId="14" w:customStyle="1">
    <w:name w:val="Обычный1"/>
    <w:basedOn w:val="Normal"/>
    <w:link w:val="CharChar"/>
    <w:qFormat/>
    <w:rsid w:val="001c2cd8"/>
    <w:pPr/>
    <w:rPr>
      <w:rFonts w:cs="Arial"/>
      <w:szCs w:val="18"/>
    </w:rPr>
  </w:style>
  <w:style w:type="paragraph" w:styleId="ConsPlusTitle" w:customStyle="1">
    <w:name w:val="ConsPlusTitle"/>
    <w:qFormat/>
    <w:rsid w:val="001c2cd8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paragraph" w:styleId="311" w:customStyle="1">
    <w:name w:val="Основной текст 31"/>
    <w:basedOn w:val="Normal"/>
    <w:qFormat/>
    <w:rsid w:val="001c2cd8"/>
    <w:pPr>
      <w:spacing w:before="120" w:after="0"/>
      <w:jc w:val="center"/>
    </w:pPr>
    <w:rPr>
      <w:rFonts w:cs="Arial"/>
      <w:szCs w:val="18"/>
    </w:rPr>
  </w:style>
  <w:style w:type="paragraph" w:styleId="212" w:customStyle="1">
    <w:name w:val="заголовок 21"/>
    <w:basedOn w:val="Normal"/>
    <w:next w:val="Normal"/>
    <w:qFormat/>
    <w:rsid w:val="001c2cd8"/>
    <w:pPr>
      <w:widowControl w:val="false"/>
      <w:spacing w:before="240" w:after="60"/>
      <w:jc w:val="center"/>
    </w:pPr>
    <w:rPr>
      <w:rFonts w:cs="Arial"/>
      <w:b/>
      <w:szCs w:val="18"/>
      <w:lang w:val="en-US"/>
    </w:rPr>
  </w:style>
  <w:style w:type="paragraph" w:styleId="221" w:customStyle="1">
    <w:name w:val="Основной текст 22"/>
    <w:basedOn w:val="Normal"/>
    <w:qFormat/>
    <w:rsid w:val="001c2cd8"/>
    <w:pPr>
      <w:widowControl w:val="false"/>
      <w:ind w:firstLine="720"/>
      <w:jc w:val="both"/>
    </w:pPr>
    <w:rPr>
      <w:rFonts w:cs="Arial"/>
      <w:szCs w:val="18"/>
    </w:rPr>
  </w:style>
  <w:style w:type="paragraph" w:styleId="BodyText211" w:customStyle="1">
    <w:name w:val="Body Text 21"/>
    <w:basedOn w:val="Normal"/>
    <w:qFormat/>
    <w:rsid w:val="001c2cd8"/>
    <w:pPr>
      <w:widowControl w:val="false"/>
      <w:ind w:hanging="567" w:start="567"/>
      <w:jc w:val="both"/>
    </w:pPr>
    <w:rPr>
      <w:rFonts w:cs="Arial"/>
      <w:szCs w:val="18"/>
    </w:rPr>
  </w:style>
  <w:style w:type="paragraph" w:styleId="FR1" w:customStyle="1">
    <w:name w:val="FR1"/>
    <w:qFormat/>
    <w:rsid w:val="001c2cd8"/>
    <w:pPr>
      <w:widowControl w:val="false"/>
      <w:suppressAutoHyphens w:val="true"/>
      <w:bidi w:val="0"/>
      <w:spacing w:before="0" w:after="0"/>
      <w:ind w:start="200"/>
      <w:jc w:val="start"/>
    </w:pPr>
    <w:rPr>
      <w:rFonts w:ascii="Arial" w:hAnsi="Arial" w:eastAsia="Times New Roman" w:cs="Times New Roman"/>
      <w:color w:val="auto"/>
      <w:kern w:val="0"/>
      <w:sz w:val="12"/>
      <w:szCs w:val="20"/>
      <w:lang w:val="ru-RU" w:eastAsia="ru-RU" w:bidi="ar-SA"/>
    </w:rPr>
  </w:style>
  <w:style w:type="paragraph" w:styleId="Style45" w:customStyle="1">
    <w:name w:val="Глава"/>
    <w:basedOn w:val="Heading1"/>
    <w:next w:val="BodyText"/>
    <w:qFormat/>
    <w:rsid w:val="001c2cd8"/>
    <w:pPr>
      <w:widowControl w:val="false"/>
      <w:spacing w:before="0" w:after="0"/>
      <w:jc w:val="center"/>
    </w:pPr>
    <w:rPr>
      <w:rFonts w:ascii="Times New Roman" w:hAnsi="Times New Roman"/>
      <w:color w:val="000000"/>
      <w:szCs w:val="24"/>
    </w:rPr>
  </w:style>
  <w:style w:type="paragraph" w:styleId="28" w:customStyle="1">
    <w:name w:val="Обычный2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Cell" w:customStyle="1">
    <w:name w:val="ConsCell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Consultant" w:hAnsi="Consultant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6" w:customStyle="1">
    <w:name w:val="Простой"/>
    <w:basedOn w:val="Normal"/>
    <w:qFormat/>
    <w:rsid w:val="001c2cd8"/>
    <w:pPr/>
    <w:rPr>
      <w:rFonts w:ascii="Arial" w:hAnsi="Arial" w:cs="Arial"/>
      <w:spacing w:val="-5"/>
      <w:sz w:val="20"/>
      <w:szCs w:val="18"/>
    </w:rPr>
  </w:style>
  <w:style w:type="paragraph" w:styleId="15" w:customStyle="1">
    <w:name w:val="Основной текст с отступом1"/>
    <w:basedOn w:val="Normal"/>
    <w:qFormat/>
    <w:rsid w:val="001c2cd8"/>
    <w:pPr>
      <w:widowControl w:val="false"/>
      <w:spacing w:before="0" w:after="120"/>
      <w:ind w:firstLine="680" w:start="283"/>
      <w:jc w:val="both"/>
    </w:pPr>
    <w:rPr>
      <w:szCs w:val="24"/>
    </w:rPr>
  </w:style>
  <w:style w:type="paragraph" w:styleId="Normal3" w:customStyle="1">
    <w:name w:val="Normal Знак Знак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13" w:customStyle="1">
    <w:name w:val="Заголовок 21"/>
    <w:basedOn w:val="Normal"/>
    <w:next w:val="Normal"/>
    <w:qFormat/>
    <w:rsid w:val="001c2cd8"/>
    <w:pPr>
      <w:keepNext w:val="true"/>
      <w:jc w:val="center"/>
      <w:outlineLvl w:val="1"/>
    </w:pPr>
    <w:rPr/>
  </w:style>
  <w:style w:type="paragraph" w:styleId="Style47" w:customStyle="1">
    <w:name w:val="Телефон"/>
    <w:basedOn w:val="Normal"/>
    <w:qFormat/>
    <w:rsid w:val="001c2cd8"/>
    <w:pPr>
      <w:jc w:val="center"/>
    </w:pPr>
    <w:rPr>
      <w:b/>
    </w:rPr>
  </w:style>
  <w:style w:type="paragraph" w:styleId="16" w:customStyle="1">
    <w:name w:val="Знак Знак Знак1"/>
    <w:basedOn w:val="Normal"/>
    <w:qFormat/>
    <w:rsid w:val="001c2cd8"/>
    <w:pPr>
      <w:tabs>
        <w:tab w:val="clear" w:pos="708"/>
        <w:tab w:val="left" w:pos="360" w:leader="none"/>
      </w:tabs>
      <w:spacing w:lineRule="exact" w:line="240" w:before="0" w:after="160"/>
    </w:pPr>
    <w:rPr>
      <w:rFonts w:ascii="Verdana" w:hAnsi="Verdana" w:cs="Verdana"/>
      <w:sz w:val="20"/>
      <w:lang w:val="en-US" w:eastAsia="en-US"/>
    </w:rPr>
  </w:style>
  <w:style w:type="paragraph" w:styleId="17" w:customStyle="1">
    <w:name w:val="Основной текст1"/>
    <w:basedOn w:val="Normal"/>
    <w:link w:val="Style37"/>
    <w:qFormat/>
    <w:rsid w:val="001c2cd8"/>
    <w:pPr>
      <w:jc w:val="both"/>
    </w:pPr>
    <w:rPr/>
  </w:style>
  <w:style w:type="paragraph" w:styleId="ConsPlusCell" w:customStyle="1">
    <w:name w:val="ConsPlusCell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R2" w:customStyle="1">
    <w:name w:val="FR2"/>
    <w:qFormat/>
    <w:rsid w:val="001c2cd8"/>
    <w:pPr>
      <w:widowControl w:val="false"/>
      <w:suppressAutoHyphens w:val="true"/>
      <w:bidi w:val="0"/>
      <w:spacing w:before="340" w:after="0"/>
      <w:jc w:val="center"/>
    </w:pPr>
    <w:rPr>
      <w:rFonts w:ascii="Arial" w:hAnsi="Arial" w:eastAsia="Times New Roman" w:cs="Times New Roman"/>
      <w:i/>
      <w:color w:val="auto"/>
      <w:kern w:val="0"/>
      <w:sz w:val="28"/>
      <w:szCs w:val="20"/>
      <w:lang w:val="ru-RU" w:eastAsia="ru-RU" w:bidi="ar-SA"/>
    </w:rPr>
  </w:style>
  <w:style w:type="paragraph" w:styleId="214" w:customStyle="1">
    <w:name w:val="Основной текст с отступом 21"/>
    <w:basedOn w:val="Normal"/>
    <w:qFormat/>
    <w:rsid w:val="001c2cd8"/>
    <w:pPr>
      <w:ind w:firstLine="851"/>
      <w:jc w:val="both"/>
    </w:pPr>
    <w:rPr/>
  </w:style>
  <w:style w:type="paragraph" w:styleId="Normal4" w:customStyle="1">
    <w:name w:val="Normal Знак Знак Знак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312" w:customStyle="1">
    <w:name w:val="Основной текст с отступом 31"/>
    <w:basedOn w:val="Normal"/>
    <w:qFormat/>
    <w:rsid w:val="001c2cd8"/>
    <w:pPr>
      <w:widowControl w:val="false"/>
      <w:spacing w:lineRule="auto" w:line="360"/>
      <w:ind w:firstLine="360"/>
      <w:jc w:val="both"/>
    </w:pPr>
    <w:rPr>
      <w:b/>
    </w:rPr>
  </w:style>
  <w:style w:type="paragraph" w:styleId="Normal5" w:customStyle="1">
    <w:name w:val="Normal Знак"/>
    <w:link w:val="Normal1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81" w:customStyle="1">
    <w:name w:val="Перечисление8"/>
    <w:basedOn w:val="Normal"/>
    <w:qFormat/>
    <w:rsid w:val="001c2cd8"/>
    <w:pPr>
      <w:numPr>
        <w:ilvl w:val="0"/>
        <w:numId w:val="11"/>
      </w:numPr>
    </w:pPr>
    <w:rPr>
      <w:rFonts w:ascii="Symbol" w:hAnsi="Symbol" w:eastAsia="Symbol"/>
      <w:sz w:val="20"/>
    </w:rPr>
  </w:style>
  <w:style w:type="paragraph" w:styleId="141" w:customStyle="1">
    <w:name w:val="ПеречислениеТочка_ш14"/>
    <w:basedOn w:val="Normal"/>
    <w:qFormat/>
    <w:rsid w:val="001c2cd8"/>
    <w:pPr>
      <w:numPr>
        <w:ilvl w:val="0"/>
        <w:numId w:val="12"/>
      </w:numPr>
    </w:pPr>
    <w:rPr>
      <w:rFonts w:ascii="Arial" w:hAnsi="Arial"/>
      <w:sz w:val="20"/>
    </w:rPr>
  </w:style>
  <w:style w:type="paragraph" w:styleId="18" w:customStyle="1">
    <w:name w:val="Обычный (веб)1"/>
    <w:basedOn w:val="Normal"/>
    <w:qFormat/>
    <w:rsid w:val="001c2cd8"/>
    <w:pPr>
      <w:jc w:val="both"/>
    </w:pPr>
    <w:rPr/>
  </w:style>
  <w:style w:type="paragraph" w:styleId="ConsTitle" w:customStyle="1">
    <w:name w:val="ConsTitle"/>
    <w:qFormat/>
    <w:rsid w:val="001c2cd8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 w:cstheme="minorBidi"/>
      <w:b/>
      <w:bCs/>
      <w:color w:val="auto"/>
      <w:kern w:val="0"/>
      <w:sz w:val="16"/>
      <w:szCs w:val="16"/>
      <w:lang w:val="ru-RU" w:eastAsia="ru-RU" w:bidi="ar-SA"/>
    </w:rPr>
  </w:style>
  <w:style w:type="paragraph" w:styleId="consnormal11" w:customStyle="1">
    <w:name w:val="consnormal1"/>
    <w:basedOn w:val="Normal"/>
    <w:qFormat/>
    <w:rsid w:val="001c2cd8"/>
    <w:pPr>
      <w:ind w:firstLine="720"/>
    </w:pPr>
    <w:rPr>
      <w:rFonts w:ascii="Consultant" w:hAnsi="Consultant"/>
      <w:sz w:val="20"/>
    </w:rPr>
  </w:style>
  <w:style w:type="paragraph" w:styleId="Style48" w:customStyle="1">
    <w:name w:val="Должность"/>
    <w:basedOn w:val="Normal"/>
    <w:next w:val="Normal"/>
    <w:qFormat/>
    <w:rsid w:val="001c2cd8"/>
    <w:pPr/>
    <w:rPr>
      <w:i/>
      <w:color w:val="000000"/>
    </w:rPr>
  </w:style>
  <w:style w:type="paragraph" w:styleId="xl22" w:customStyle="1">
    <w:name w:val="xl22"/>
    <w:basedOn w:val="Normal"/>
    <w:qFormat/>
    <w:rsid w:val="001c2cd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b/>
      <w:bCs/>
      <w:szCs w:val="24"/>
    </w:rPr>
  </w:style>
  <w:style w:type="paragraph" w:styleId="xl23" w:customStyle="1">
    <w:name w:val="xl23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Cs w:val="24"/>
    </w:rPr>
  </w:style>
  <w:style w:type="paragraph" w:styleId="xl25" w:customStyle="1">
    <w:name w:val="xl25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</w:pPr>
    <w:rPr>
      <w:rFonts w:ascii="Arial" w:hAnsi="Arial" w:cs="Arial"/>
      <w:szCs w:val="24"/>
    </w:rPr>
  </w:style>
  <w:style w:type="paragraph" w:styleId="xl26" w:customStyle="1">
    <w:name w:val="xl26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rFonts w:ascii="Arial" w:hAnsi="Arial" w:cs="Arial"/>
      <w:szCs w:val="24"/>
    </w:rPr>
  </w:style>
  <w:style w:type="paragraph" w:styleId="xl27" w:customStyle="1">
    <w:name w:val="xl27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</w:pPr>
    <w:rPr>
      <w:rFonts w:ascii="Arial" w:hAnsi="Arial" w:cs="Arial"/>
      <w:szCs w:val="24"/>
    </w:rPr>
  </w:style>
  <w:style w:type="paragraph" w:styleId="xl28" w:customStyle="1">
    <w:name w:val="xl28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end"/>
    </w:pPr>
    <w:rPr>
      <w:rFonts w:ascii="Arial" w:hAnsi="Arial" w:cs="Arial"/>
      <w:szCs w:val="24"/>
    </w:rPr>
  </w:style>
  <w:style w:type="paragraph" w:styleId="xl29" w:customStyle="1">
    <w:name w:val="xl29"/>
    <w:basedOn w:val="Normal"/>
    <w:qFormat/>
    <w:rsid w:val="001c2cd8"/>
    <w:pPr>
      <w:pBdr>
        <w:left w:val="single" w:sz="4" w:space="0" w:color="000000"/>
        <w:right w:val="single" w:sz="4" w:space="0" w:color="000000"/>
      </w:pBdr>
      <w:spacing w:beforeAutospacing="1" w:afterAutospacing="1"/>
      <w:jc w:val="end"/>
    </w:pPr>
    <w:rPr>
      <w:rFonts w:ascii="Arial" w:hAnsi="Arial" w:cs="Arial"/>
      <w:szCs w:val="24"/>
    </w:rPr>
  </w:style>
  <w:style w:type="paragraph" w:styleId="Style49" w:customStyle="1">
    <w:name w:val="Style4"/>
    <w:basedOn w:val="Normal"/>
    <w:qFormat/>
    <w:rsid w:val="001c2cd8"/>
    <w:pPr>
      <w:widowControl w:val="false"/>
      <w:spacing w:lineRule="exact" w:line="271"/>
      <w:ind w:firstLine="535"/>
      <w:jc w:val="both"/>
    </w:pPr>
    <w:rPr>
      <w:szCs w:val="24"/>
    </w:rPr>
  </w:style>
  <w:style w:type="paragraph" w:styleId="Iniiaiieoaeno21" w:customStyle="1">
    <w:name w:val="Iniiaiie oaeno 21"/>
    <w:basedOn w:val="Normal"/>
    <w:qFormat/>
    <w:rsid w:val="001c2cd8"/>
    <w:pPr>
      <w:widowControl w:val="false"/>
      <w:jc w:val="both"/>
    </w:pPr>
    <w:rPr>
      <w:szCs w:val="24"/>
    </w:rPr>
  </w:style>
  <w:style w:type="paragraph" w:styleId="19" w:customStyle="1">
    <w:name w:val="Знак1"/>
    <w:basedOn w:val="Normal"/>
    <w:qFormat/>
    <w:rsid w:val="001c2cd8"/>
    <w:pPr>
      <w:spacing w:lineRule="exact" w:line="240" w:before="0" w:after="160"/>
    </w:pPr>
    <w:rPr>
      <w:rFonts w:ascii="Verdana" w:hAnsi="Verdana"/>
      <w:sz w:val="20"/>
      <w:lang w:val="en-US" w:eastAsia="en-US"/>
    </w:rPr>
  </w:style>
  <w:style w:type="paragraph" w:styleId="Style71" w:customStyle="1">
    <w:name w:val="Style7"/>
    <w:basedOn w:val="Normal"/>
    <w:qFormat/>
    <w:rsid w:val="001c2cd8"/>
    <w:pPr>
      <w:widowControl w:val="false"/>
    </w:pPr>
    <w:rPr>
      <w:szCs w:val="24"/>
    </w:rPr>
  </w:style>
  <w:style w:type="paragraph" w:styleId="Style110" w:customStyle="1">
    <w:name w:val="Style1"/>
    <w:basedOn w:val="Normal"/>
    <w:qFormat/>
    <w:rsid w:val="001c2cd8"/>
    <w:pPr>
      <w:widowControl w:val="false"/>
      <w:spacing w:lineRule="exact" w:line="324"/>
      <w:jc w:val="center"/>
    </w:pPr>
    <w:rPr>
      <w:szCs w:val="24"/>
    </w:rPr>
  </w:style>
  <w:style w:type="paragraph" w:styleId="Style101" w:customStyle="1">
    <w:name w:val="Style10"/>
    <w:basedOn w:val="Normal"/>
    <w:qFormat/>
    <w:rsid w:val="001c2cd8"/>
    <w:pPr>
      <w:widowControl w:val="false"/>
      <w:spacing w:lineRule="exact" w:line="281"/>
      <w:jc w:val="both"/>
    </w:pPr>
    <w:rPr>
      <w:szCs w:val="24"/>
    </w:rPr>
  </w:style>
  <w:style w:type="paragraph" w:styleId="-" w:customStyle="1">
    <w:name w:val="Контракт-пункт"/>
    <w:basedOn w:val="Normal"/>
    <w:qFormat/>
    <w:rsid w:val="001c2cd8"/>
    <w:pPr>
      <w:numPr>
        <w:ilvl w:val="1"/>
        <w:numId w:val="13"/>
      </w:numPr>
      <w:jc w:val="both"/>
    </w:pPr>
    <w:rPr>
      <w:szCs w:val="24"/>
    </w:rPr>
  </w:style>
  <w:style w:type="paragraph" w:styleId="-2" w:customStyle="1">
    <w:name w:val="Контракт-раздел"/>
    <w:basedOn w:val="Normal"/>
    <w:next w:val="-"/>
    <w:qFormat/>
    <w:rsid w:val="001c2cd8"/>
    <w:pPr>
      <w:keepNext w:val="true"/>
      <w:numPr>
        <w:ilvl w:val="0"/>
        <w:numId w:val="13"/>
      </w:numPr>
      <w:tabs>
        <w:tab w:val="clear" w:pos="708"/>
        <w:tab w:val="left" w:pos="540" w:leader="none"/>
      </w:tabs>
      <w:spacing w:before="360" w:after="120"/>
      <w:jc w:val="center"/>
      <w:outlineLvl w:val="3"/>
    </w:pPr>
    <w:rPr>
      <w:b/>
      <w:bCs/>
      <w:smallCaps/>
      <w:szCs w:val="24"/>
    </w:rPr>
  </w:style>
  <w:style w:type="paragraph" w:styleId="-3" w:customStyle="1">
    <w:name w:val="Контракт-подпункт"/>
    <w:basedOn w:val="Normal"/>
    <w:qFormat/>
    <w:rsid w:val="001c2cd8"/>
    <w:pPr>
      <w:numPr>
        <w:ilvl w:val="2"/>
        <w:numId w:val="13"/>
      </w:numPr>
      <w:jc w:val="both"/>
    </w:pPr>
    <w:rPr>
      <w:szCs w:val="24"/>
    </w:rPr>
  </w:style>
  <w:style w:type="paragraph" w:styleId="-4" w:customStyle="1">
    <w:name w:val="Контракт-подподпункт"/>
    <w:basedOn w:val="Normal"/>
    <w:qFormat/>
    <w:rsid w:val="001c2cd8"/>
    <w:pPr>
      <w:numPr>
        <w:ilvl w:val="3"/>
        <w:numId w:val="13"/>
      </w:numPr>
      <w:jc w:val="both"/>
    </w:pPr>
    <w:rPr>
      <w:szCs w:val="24"/>
    </w:rPr>
  </w:style>
  <w:style w:type="paragraph" w:styleId="ListParagraph">
    <w:name w:val="List Paragraph"/>
    <w:basedOn w:val="Normal"/>
    <w:link w:val="Style32"/>
    <w:qFormat/>
    <w:rsid w:val="001c2cd8"/>
    <w:pPr>
      <w:widowControl w:val="false"/>
      <w:spacing w:before="0" w:after="0"/>
      <w:ind w:start="720"/>
      <w:contextualSpacing/>
    </w:pPr>
    <w:rPr>
      <w:rFonts w:ascii="Arial" w:hAnsi="Arial" w:cs="Arial"/>
      <w:sz w:val="18"/>
      <w:szCs w:val="18"/>
    </w:rPr>
  </w:style>
  <w:style w:type="paragraph" w:styleId="Style81" w:customStyle="1">
    <w:name w:val="Style8"/>
    <w:basedOn w:val="Normal"/>
    <w:qFormat/>
    <w:rsid w:val="001c2cd8"/>
    <w:pPr>
      <w:widowControl w:val="false"/>
      <w:spacing w:lineRule="exact" w:line="278"/>
      <w:jc w:val="both"/>
    </w:pPr>
    <w:rPr>
      <w:szCs w:val="24"/>
    </w:rPr>
  </w:style>
  <w:style w:type="paragraph" w:styleId="34" w:customStyle="1">
    <w:name w:val="Абзац списка3"/>
    <w:basedOn w:val="Normal"/>
    <w:qFormat/>
    <w:rsid w:val="001c2cd8"/>
    <w:pPr>
      <w:ind w:start="720"/>
    </w:pPr>
    <w:rPr>
      <w:rFonts w:eastAsia="Batang"/>
      <w:szCs w:val="24"/>
      <w:lang w:eastAsia="ko-KR"/>
    </w:rPr>
  </w:style>
  <w:style w:type="paragraph" w:styleId="xl30" w:customStyle="1">
    <w:name w:val="xl30"/>
    <w:basedOn w:val="Normal"/>
    <w:qFormat/>
    <w:rsid w:val="001c2cd8"/>
    <w:pPr>
      <w:pBdr>
        <w:left w:val="single" w:sz="4" w:space="0" w:color="000000"/>
      </w:pBdr>
      <w:spacing w:beforeAutospacing="1" w:afterAutospacing="1"/>
    </w:pPr>
    <w:rPr>
      <w:sz w:val="22"/>
      <w:lang w:eastAsia="en-US"/>
    </w:rPr>
  </w:style>
  <w:style w:type="paragraph" w:styleId="Style50" w:customStyle="1">
    <w:name w:val="Таблица текст"/>
    <w:basedOn w:val="Normal"/>
    <w:qFormat/>
    <w:rsid w:val="001c2cd8"/>
    <w:pPr>
      <w:spacing w:before="40" w:after="40"/>
      <w:ind w:start="57" w:end="57"/>
    </w:pPr>
    <w:rPr>
      <w:sz w:val="22"/>
      <w:szCs w:val="22"/>
    </w:rPr>
  </w:style>
  <w:style w:type="paragraph" w:styleId="H4" w:customStyle="1">
    <w:name w:val="H4"/>
    <w:basedOn w:val="Normal"/>
    <w:next w:val="Normal"/>
    <w:qFormat/>
    <w:rsid w:val="001c2cd8"/>
    <w:pPr>
      <w:keepNext w:val="true"/>
      <w:spacing w:before="100" w:after="100"/>
      <w:outlineLvl w:val="4"/>
    </w:pPr>
    <w:rPr>
      <w:b/>
    </w:rPr>
  </w:style>
  <w:style w:type="paragraph" w:styleId="Style51" w:customStyle="1">
    <w:name w:val="Адресат док"/>
    <w:basedOn w:val="Header"/>
    <w:qFormat/>
    <w:rsid w:val="001c2cd8"/>
    <w:pPr>
      <w:tabs>
        <w:tab w:val="clear" w:pos="4536"/>
        <w:tab w:val="clear" w:pos="9072"/>
        <w:tab w:val="right" w:pos="10260" w:leader="none"/>
      </w:tabs>
      <w:ind w:start="72"/>
    </w:pPr>
    <w:rPr>
      <w:sz w:val="28"/>
    </w:rPr>
  </w:style>
  <w:style w:type="paragraph" w:styleId="user5" w:customStyle="1">
    <w:name w:val="Содержимое таблицы (user)"/>
    <w:basedOn w:val="Normal"/>
    <w:qFormat/>
    <w:rsid w:val="001c2cd8"/>
    <w:pPr>
      <w:widowControl w:val="false"/>
      <w:suppressLineNumbers/>
    </w:pPr>
    <w:rPr>
      <w:rFonts w:eastAsia="Andale Sans UI" w:cs="Tahoma"/>
      <w:szCs w:val="24"/>
      <w:lang w:val="de-DE" w:eastAsia="ja-JP" w:bidi="fa-IR"/>
    </w:rPr>
  </w:style>
  <w:style w:type="paragraph" w:styleId="user6" w:customStyle="1">
    <w:name w:val="Заголовок таблицы (user)"/>
    <w:basedOn w:val="user5"/>
    <w:qFormat/>
    <w:rsid w:val="001c2cd8"/>
    <w:pPr>
      <w:jc w:val="center"/>
    </w:pPr>
    <w:rPr>
      <w:b/>
      <w:bCs/>
    </w:rPr>
  </w:style>
  <w:style w:type="paragraph" w:styleId="35" w:customStyle="1">
    <w:name w:val="Знак Знак3"/>
    <w:basedOn w:val="Normal"/>
    <w:qFormat/>
    <w:rsid w:val="001c2cd8"/>
    <w:pPr>
      <w:spacing w:lineRule="exact" w:line="240" w:before="0" w:after="160"/>
    </w:pPr>
    <w:rPr>
      <w:rFonts w:ascii="Verdana" w:hAnsi="Verdana"/>
      <w:sz w:val="20"/>
      <w:lang w:val="en-US" w:eastAsia="en-US"/>
    </w:rPr>
  </w:style>
  <w:style w:type="paragraph" w:styleId="Style52" w:customStyle="1">
    <w:name w:val="ЗАГОЛОВОК (титульная)"/>
    <w:basedOn w:val="14"/>
    <w:next w:val="14"/>
    <w:qFormat/>
    <w:rsid w:val="001c2cd8"/>
    <w:pPr>
      <w:spacing w:lineRule="auto" w:line="360"/>
      <w:jc w:val="center"/>
      <w:outlineLvl w:val="0"/>
    </w:pPr>
    <w:rPr>
      <w:rFonts w:cs="Times New Roman"/>
      <w:b/>
      <w:bCs/>
      <w:caps/>
      <w:sz w:val="28"/>
      <w:szCs w:val="28"/>
    </w:rPr>
  </w:style>
  <w:style w:type="paragraph" w:styleId="Style53" w:customStyle="1">
    <w:name w:val="Подзаголовок (титульная)"/>
    <w:basedOn w:val="14"/>
    <w:next w:val="14"/>
    <w:qFormat/>
    <w:rsid w:val="001c2cd8"/>
    <w:pPr>
      <w:spacing w:lineRule="auto" w:line="360"/>
      <w:jc w:val="center"/>
    </w:pPr>
    <w:rPr>
      <w:rFonts w:cs="Times New Roman"/>
      <w:b/>
      <w:sz w:val="28"/>
      <w:szCs w:val="24"/>
    </w:rPr>
  </w:style>
  <w:style w:type="paragraph" w:styleId="Style54" w:customStyle="1">
    <w:name w:val="Комментарии"/>
    <w:basedOn w:val="14"/>
    <w:link w:val="CharChar1"/>
    <w:qFormat/>
    <w:rsid w:val="001c2cd8"/>
    <w:pPr>
      <w:spacing w:lineRule="auto" w:line="360"/>
      <w:ind w:firstLine="851"/>
      <w:jc w:val="both"/>
    </w:pPr>
    <w:rPr>
      <w:rFonts w:cs="Times New Roman"/>
      <w:color w:val="FF9900"/>
      <w:szCs w:val="24"/>
    </w:rPr>
  </w:style>
  <w:style w:type="paragraph" w:styleId="user7" w:customStyle="1">
    <w:name w:val="Рисунок (user)"/>
    <w:basedOn w:val="14"/>
    <w:next w:val="14"/>
    <w:qFormat/>
    <w:rsid w:val="001c2cd8"/>
    <w:pPr>
      <w:keepNext w:val="true"/>
      <w:spacing w:lineRule="auto" w:line="360"/>
      <w:jc w:val="center"/>
    </w:pPr>
    <w:rPr>
      <w:rFonts w:cs="Times New Roman"/>
      <w:szCs w:val="24"/>
    </w:rPr>
  </w:style>
  <w:style w:type="paragraph" w:styleId="Style55" w:customStyle="1">
    <w:name w:val="Рисунок подпись"/>
    <w:basedOn w:val="14"/>
    <w:next w:val="14"/>
    <w:qFormat/>
    <w:rsid w:val="001c2cd8"/>
    <w:pPr>
      <w:spacing w:lineRule="auto" w:line="360"/>
      <w:jc w:val="center"/>
    </w:pPr>
    <w:rPr>
      <w:rFonts w:cs="Times New Roman"/>
      <w:b/>
      <w:szCs w:val="24"/>
      <w:lang w:val="en-US"/>
    </w:rPr>
  </w:style>
  <w:style w:type="paragraph" w:styleId="Style56" w:customStyle="1">
    <w:name w:val="Таблица название таблицы"/>
    <w:basedOn w:val="14"/>
    <w:next w:val="14"/>
    <w:qFormat/>
    <w:rsid w:val="001c2cd8"/>
    <w:pPr>
      <w:keepNext w:val="true"/>
      <w:spacing w:lineRule="auto" w:line="360"/>
      <w:jc w:val="both"/>
    </w:pPr>
    <w:rPr>
      <w:rFonts w:cs="Times New Roman"/>
      <w:b/>
      <w:szCs w:val="24"/>
    </w:rPr>
  </w:style>
  <w:style w:type="paragraph" w:styleId="Style57" w:customStyle="1">
    <w:name w:val="Таблица название столбцов"/>
    <w:basedOn w:val="Style56"/>
    <w:next w:val="14"/>
    <w:qFormat/>
    <w:rsid w:val="001c2cd8"/>
    <w:pPr>
      <w:spacing w:before="120" w:after="120"/>
      <w:jc w:val="center"/>
    </w:pPr>
    <w:rPr/>
  </w:style>
  <w:style w:type="paragraph" w:styleId="215" w:customStyle="1">
    <w:name w:val="Список 21"/>
    <w:basedOn w:val="14"/>
    <w:qFormat/>
    <w:rsid w:val="001c2cd8"/>
    <w:pPr>
      <w:numPr>
        <w:ilvl w:val="0"/>
        <w:numId w:val="14"/>
      </w:numPr>
      <w:tabs>
        <w:tab w:val="clear" w:pos="708"/>
      </w:tabs>
      <w:spacing w:lineRule="auto" w:line="360"/>
      <w:ind w:hanging="283" w:start="3115"/>
      <w:jc w:val="both"/>
    </w:pPr>
    <w:rPr>
      <w:rFonts w:cs="Times New Roman"/>
      <w:szCs w:val="24"/>
      <w:lang w:val="en-US"/>
    </w:rPr>
  </w:style>
  <w:style w:type="paragraph" w:styleId="313" w:customStyle="1">
    <w:name w:val="Список 31"/>
    <w:basedOn w:val="14"/>
    <w:qFormat/>
    <w:rsid w:val="001c2cd8"/>
    <w:pPr>
      <w:numPr>
        <w:ilvl w:val="0"/>
        <w:numId w:val="15"/>
      </w:numPr>
      <w:tabs>
        <w:tab w:val="clear" w:pos="708"/>
        <w:tab w:val="left" w:pos="360" w:leader="none"/>
      </w:tabs>
      <w:spacing w:lineRule="auto" w:line="360"/>
      <w:ind w:start="360"/>
      <w:jc w:val="both"/>
    </w:pPr>
    <w:rPr>
      <w:rFonts w:cs="Times New Roman"/>
      <w:szCs w:val="24"/>
    </w:rPr>
  </w:style>
  <w:style w:type="paragraph" w:styleId="Style58" w:customStyle="1">
    <w:name w:val="ЗАГОЛОВОК ПРИЛОЖЕНИЯ"/>
    <w:basedOn w:val="Heading1"/>
    <w:next w:val="Normal"/>
    <w:qFormat/>
    <w:rsid w:val="001c2cd8"/>
    <w:pPr>
      <w:pageBreakBefore/>
      <w:spacing w:lineRule="auto" w:line="360"/>
      <w:jc w:val="center"/>
    </w:pPr>
    <w:rPr>
      <w:rFonts w:ascii="Times New Roman" w:hAnsi="Times New Roman"/>
      <w:bCs/>
      <w:caps/>
      <w:szCs w:val="28"/>
    </w:rPr>
  </w:style>
  <w:style w:type="paragraph" w:styleId="Style59" w:customStyle="1">
    <w:name w:val="Подзаголовок приложения"/>
    <w:basedOn w:val="14"/>
    <w:next w:val="14"/>
    <w:link w:val="CharChar2"/>
    <w:qFormat/>
    <w:rsid w:val="001c2cd8"/>
    <w:pPr>
      <w:spacing w:lineRule="auto" w:line="360"/>
      <w:jc w:val="center"/>
    </w:pPr>
    <w:rPr>
      <w:rFonts w:cs="Times New Roman"/>
      <w:b/>
      <w:sz w:val="28"/>
      <w:szCs w:val="28"/>
    </w:rPr>
  </w:style>
  <w:style w:type="paragraph" w:styleId="110" w:customStyle="1">
    <w:name w:val="Дата1"/>
    <w:basedOn w:val="14"/>
    <w:next w:val="14"/>
    <w:qFormat/>
    <w:rsid w:val="001c2cd8"/>
    <w:pPr>
      <w:spacing w:lineRule="auto" w:line="360"/>
      <w:jc w:val="center"/>
    </w:pPr>
    <w:rPr>
      <w:rFonts w:cs="Times New Roman"/>
      <w:szCs w:val="24"/>
    </w:rPr>
  </w:style>
  <w:style w:type="paragraph" w:styleId="-5" w:customStyle="1">
    <w:name w:val="Комментарии - список"/>
    <w:basedOn w:val="215"/>
    <w:qFormat/>
    <w:rsid w:val="001c2cd8"/>
    <w:pPr/>
    <w:rPr>
      <w:color w:val="FF9900"/>
    </w:rPr>
  </w:style>
  <w:style w:type="paragraph" w:styleId="112" w:customStyle="1">
    <w:name w:val="Список1"/>
    <w:basedOn w:val="14"/>
    <w:qFormat/>
    <w:rsid w:val="001c2cd8"/>
    <w:pPr>
      <w:numPr>
        <w:ilvl w:val="0"/>
        <w:numId w:val="16"/>
      </w:numPr>
      <w:tabs>
        <w:tab w:val="clear" w:pos="708"/>
        <w:tab w:val="left" w:pos="926" w:leader="none"/>
      </w:tabs>
      <w:spacing w:lineRule="auto" w:line="360"/>
      <w:ind w:hanging="360" w:start="926"/>
      <w:jc w:val="both"/>
    </w:pPr>
    <w:rPr>
      <w:rFonts w:cs="Times New Roman"/>
      <w:szCs w:val="24"/>
    </w:rPr>
  </w:style>
  <w:style w:type="paragraph" w:styleId="Style60" w:customStyle="1">
    <w:name w:val="Таблица текст в ячейках"/>
    <w:basedOn w:val="Style50"/>
    <w:qFormat/>
    <w:rsid w:val="001c2cd8"/>
    <w:pPr>
      <w:spacing w:lineRule="auto" w:line="360" w:before="120" w:after="120"/>
      <w:ind w:start="0" w:end="0"/>
    </w:pPr>
    <w:rPr>
      <w:sz w:val="24"/>
      <w:szCs w:val="24"/>
    </w:rPr>
  </w:style>
  <w:style w:type="paragraph" w:styleId="Style61" w:customStyle="1">
    <w:name w:val="Абзац нумерованный"/>
    <w:basedOn w:val="Normal"/>
    <w:qFormat/>
    <w:rsid w:val="001c2cd8"/>
    <w:pPr>
      <w:numPr>
        <w:ilvl w:val="0"/>
        <w:numId w:val="17"/>
      </w:numPr>
      <w:spacing w:lineRule="auto" w:line="276" w:before="0" w:after="60"/>
      <w:jc w:val="both"/>
    </w:pPr>
    <w:rPr>
      <w:szCs w:val="24"/>
    </w:rPr>
  </w:style>
  <w:style w:type="paragraph" w:styleId="user8" w:customStyle="1">
    <w:name w:val="Таблица (user)"/>
    <w:basedOn w:val="Normal"/>
    <w:qFormat/>
    <w:rsid w:val="001c2cd8"/>
    <w:pPr>
      <w:spacing w:lineRule="auto" w:line="276" w:before="40" w:after="40"/>
      <w:jc w:val="both"/>
    </w:pPr>
    <w:rPr>
      <w:rFonts w:eastAsia="MS Mincho"/>
      <w:szCs w:val="24"/>
    </w:rPr>
  </w:style>
  <w:style w:type="paragraph" w:styleId="29" w:customStyle="1">
    <w:name w:val="_Заголовок 2"/>
    <w:basedOn w:val="Normal"/>
    <w:link w:val="26"/>
    <w:qFormat/>
    <w:rsid w:val="001c2cd8"/>
    <w:pPr>
      <w:keepNext w:val="true"/>
      <w:keepLines/>
      <w:tabs>
        <w:tab w:val="clear" w:pos="708"/>
        <w:tab w:val="left" w:pos="1134" w:leader="none"/>
      </w:tabs>
      <w:spacing w:lineRule="auto" w:line="288"/>
      <w:ind w:firstLine="624"/>
      <w:jc w:val="both"/>
      <w:outlineLvl w:val="1"/>
    </w:pPr>
    <w:rPr>
      <w:rFonts w:eastAsia="Calibri"/>
      <w:b/>
      <w:color w:val="00000A"/>
      <w:spacing w:val="2"/>
      <w:sz w:val="26"/>
      <w:szCs w:val="26"/>
    </w:rPr>
  </w:style>
  <w:style w:type="paragraph" w:styleId="Style62" w:customStyle="1">
    <w:name w:val="_Текст таблицы"/>
    <w:basedOn w:val="Normal"/>
    <w:link w:val="Style34"/>
    <w:qFormat/>
    <w:rsid w:val="001c2cd8"/>
    <w:pPr/>
    <w:rPr>
      <w:rFonts w:ascii="Calibri" w:hAnsi="Calibri"/>
      <w:sz w:val="20"/>
    </w:rPr>
  </w:style>
  <w:style w:type="paragraph" w:styleId="Style63" w:customStyle="1">
    <w:name w:val="_Название таблицы"/>
    <w:basedOn w:val="Normal"/>
    <w:qFormat/>
    <w:rsid w:val="001c2cd8"/>
    <w:pPr>
      <w:keepNext w:val="true"/>
      <w:widowControl w:val="false"/>
      <w:spacing w:before="120" w:after="40"/>
    </w:pPr>
    <w:rPr>
      <w:b/>
      <w:szCs w:val="24"/>
    </w:rPr>
  </w:style>
  <w:style w:type="paragraph" w:styleId="Style191" w:customStyle="1">
    <w:name w:val="Style19"/>
    <w:basedOn w:val="Normal"/>
    <w:qFormat/>
    <w:rsid w:val="001c2cd8"/>
    <w:pPr>
      <w:widowControl w:val="false"/>
      <w:spacing w:lineRule="exact" w:line="244"/>
      <w:ind w:firstLine="428"/>
      <w:jc w:val="both"/>
    </w:pPr>
    <w:rPr>
      <w:rFonts w:ascii="Tahoma" w:hAnsi="Tahoma" w:cs="Tahoma"/>
      <w:szCs w:val="24"/>
    </w:rPr>
  </w:style>
  <w:style w:type="paragraph" w:styleId="113" w:customStyle="1">
    <w:name w:val="Заголовок оглавления1"/>
    <w:basedOn w:val="Heading1"/>
    <w:next w:val="Normal"/>
    <w:uiPriority w:val="39"/>
    <w:unhideWhenUsed/>
    <w:qFormat/>
    <w:rsid w:val="001c2cd8"/>
    <w:pPr>
      <w:keepLines/>
      <w:spacing w:lineRule="auto" w:line="276" w:before="480" w:after="0"/>
      <w:outlineLvl w:val="9"/>
    </w:pPr>
    <w:rPr>
      <w:rFonts w:ascii="Cambria" w:hAnsi="Cambria"/>
      <w:bCs/>
      <w:color w:val="365F91"/>
      <w:szCs w:val="28"/>
    </w:rPr>
  </w:style>
  <w:style w:type="paragraph" w:styleId="114" w:customStyle="1">
    <w:name w:val="Рецензия1"/>
    <w:uiPriority w:val="99"/>
    <w:semiHidden/>
    <w:qFormat/>
    <w:rsid w:val="001c2cd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nt5" w:customStyle="1">
    <w:name w:val="font5"/>
    <w:basedOn w:val="Normal"/>
    <w:qFormat/>
    <w:rsid w:val="001c2cd8"/>
    <w:pPr>
      <w:spacing w:beforeAutospacing="1" w:afterAutospacing="1"/>
    </w:pPr>
    <w:rPr>
      <w:rFonts w:ascii="Calibri" w:hAnsi="Calibri"/>
      <w:color w:val="FF0000"/>
      <w:sz w:val="16"/>
      <w:szCs w:val="16"/>
    </w:rPr>
  </w:style>
  <w:style w:type="paragraph" w:styleId="xl64" w:customStyle="1">
    <w:name w:val="xl64"/>
    <w:basedOn w:val="Normal"/>
    <w:qFormat/>
    <w:rsid w:val="001c2cd8"/>
    <w:pPr>
      <w:spacing w:beforeAutospacing="1" w:afterAutospacing="1"/>
    </w:pPr>
    <w:rPr>
      <w:rFonts w:ascii="Calibri" w:hAnsi="Calibri"/>
      <w:sz w:val="16"/>
      <w:szCs w:val="16"/>
    </w:rPr>
  </w:style>
  <w:style w:type="paragraph" w:styleId="xl65" w:customStyle="1">
    <w:name w:val="xl65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66" w:customStyle="1">
    <w:name w:val="xl66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67" w:customStyle="1">
    <w:name w:val="xl67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68" w:customStyle="1">
    <w:name w:val="xl68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69" w:customStyle="1">
    <w:name w:val="xl69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70" w:customStyle="1">
    <w:name w:val="xl70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71" w:customStyle="1">
    <w:name w:val="xl71"/>
    <w:basedOn w:val="Normal"/>
    <w:qFormat/>
    <w:rsid w:val="001c2cd8"/>
    <w:pP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72" w:customStyle="1">
    <w:name w:val="xl72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000000"/>
      <w:sz w:val="16"/>
      <w:szCs w:val="16"/>
    </w:rPr>
  </w:style>
  <w:style w:type="paragraph" w:styleId="xl73" w:customStyle="1">
    <w:name w:val="xl73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end"/>
    </w:pPr>
    <w:rPr>
      <w:rFonts w:ascii="Calibri" w:hAnsi="Calibri"/>
      <w:b/>
      <w:bCs/>
      <w:sz w:val="18"/>
      <w:szCs w:val="18"/>
    </w:rPr>
  </w:style>
  <w:style w:type="paragraph" w:styleId="xl74" w:customStyle="1">
    <w:name w:val="xl74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styleId="xl75" w:customStyle="1">
    <w:name w:val="xl75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000000"/>
      <w:sz w:val="16"/>
      <w:szCs w:val="16"/>
    </w:rPr>
  </w:style>
  <w:style w:type="paragraph" w:styleId="xl76" w:customStyle="1">
    <w:name w:val="xl76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000000"/>
      <w:sz w:val="16"/>
      <w:szCs w:val="16"/>
    </w:rPr>
  </w:style>
  <w:style w:type="paragraph" w:styleId="xl77" w:customStyle="1">
    <w:name w:val="xl77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000000"/>
      <w:sz w:val="16"/>
      <w:szCs w:val="16"/>
    </w:rPr>
  </w:style>
  <w:style w:type="paragraph" w:styleId="xl78" w:customStyle="1">
    <w:name w:val="xl78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79" w:customStyle="1">
    <w:name w:val="xl79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80" w:customStyle="1">
    <w:name w:val="xl80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81" w:customStyle="1">
    <w:name w:val="xl81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82" w:customStyle="1">
    <w:name w:val="xl82"/>
    <w:basedOn w:val="Normal"/>
    <w:qFormat/>
    <w:rsid w:val="001c2cd8"/>
    <w:pPr>
      <w:shd w:val="clear" w:color="000000" w:fill="DAEEF3"/>
      <w:spacing w:beforeAutospacing="1" w:afterAutospacing="1"/>
    </w:pPr>
    <w:rPr>
      <w:rFonts w:ascii="Calibri" w:hAnsi="Calibri"/>
      <w:sz w:val="16"/>
      <w:szCs w:val="16"/>
    </w:rPr>
  </w:style>
  <w:style w:type="paragraph" w:styleId="xl83" w:customStyle="1">
    <w:name w:val="xl83"/>
    <w:basedOn w:val="Normal"/>
    <w:qFormat/>
    <w:rsid w:val="001c2cd8"/>
    <w:pPr>
      <w:shd w:val="clear" w:color="000000" w:fill="DAEEF3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84" w:customStyle="1">
    <w:name w:val="xl84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FF0000"/>
      <w:sz w:val="16"/>
      <w:szCs w:val="16"/>
    </w:rPr>
  </w:style>
  <w:style w:type="paragraph" w:styleId="xl85" w:customStyle="1">
    <w:name w:val="xl85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FF0000"/>
      <w:sz w:val="16"/>
      <w:szCs w:val="16"/>
    </w:rPr>
  </w:style>
  <w:style w:type="paragraph" w:styleId="xl86" w:customStyle="1">
    <w:name w:val="xl86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87" w:customStyle="1">
    <w:name w:val="xl87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FF0000"/>
      <w:sz w:val="16"/>
      <w:szCs w:val="16"/>
    </w:rPr>
  </w:style>
  <w:style w:type="paragraph" w:styleId="xl88" w:customStyle="1">
    <w:name w:val="xl88"/>
    <w:basedOn w:val="Normal"/>
    <w:qFormat/>
    <w:rsid w:val="001c2cd8"/>
    <w:pPr>
      <w:shd w:val="clear" w:color="000000" w:fill="D8E4BC"/>
      <w:spacing w:beforeAutospacing="1" w:afterAutospacing="1"/>
    </w:pPr>
    <w:rPr>
      <w:rFonts w:ascii="Calibri" w:hAnsi="Calibri"/>
      <w:sz w:val="16"/>
      <w:szCs w:val="16"/>
    </w:rPr>
  </w:style>
  <w:style w:type="paragraph" w:styleId="xl89" w:customStyle="1">
    <w:name w:val="xl89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90" w:customStyle="1">
    <w:name w:val="xl90"/>
    <w:basedOn w:val="Normal"/>
    <w:qFormat/>
    <w:rsid w:val="001c2cd8"/>
    <w:pPr>
      <w:shd w:val="clear" w:color="000000" w:fill="FFFFFF"/>
      <w:spacing w:beforeAutospacing="1" w:afterAutospacing="1"/>
    </w:pPr>
    <w:rPr>
      <w:rFonts w:ascii="Calibri" w:hAnsi="Calibri"/>
      <w:b/>
      <w:bCs/>
      <w:i/>
      <w:iCs/>
      <w:sz w:val="16"/>
      <w:szCs w:val="16"/>
    </w:rPr>
  </w:style>
  <w:style w:type="paragraph" w:styleId="xl91" w:customStyle="1">
    <w:name w:val="xl91"/>
    <w:basedOn w:val="Normal"/>
    <w:qFormat/>
    <w:rsid w:val="001c2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  <w:sz w:val="16"/>
      <w:szCs w:val="16"/>
    </w:rPr>
  </w:style>
  <w:style w:type="paragraph" w:styleId="xl92" w:customStyle="1">
    <w:name w:val="xl92"/>
    <w:basedOn w:val="Normal"/>
    <w:qFormat/>
    <w:rsid w:val="001c2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  <w:sz w:val="16"/>
      <w:szCs w:val="16"/>
    </w:rPr>
  </w:style>
  <w:style w:type="paragraph" w:styleId="xl93" w:customStyle="1">
    <w:name w:val="xl93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94" w:customStyle="1">
    <w:name w:val="xl94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92D050"/>
      <w:sz w:val="16"/>
      <w:szCs w:val="16"/>
    </w:rPr>
  </w:style>
  <w:style w:type="paragraph" w:styleId="xl95" w:customStyle="1">
    <w:name w:val="xl95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00B050"/>
      <w:sz w:val="16"/>
      <w:szCs w:val="16"/>
    </w:rPr>
  </w:style>
  <w:style w:type="paragraph" w:styleId="xl96" w:customStyle="1">
    <w:name w:val="xl96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FF0000"/>
      <w:sz w:val="16"/>
      <w:szCs w:val="16"/>
    </w:rPr>
  </w:style>
  <w:style w:type="paragraph" w:styleId="xl97" w:customStyle="1">
    <w:name w:val="xl97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98" w:customStyle="1">
    <w:name w:val="xl98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color w:val="FF0000"/>
      <w:sz w:val="16"/>
      <w:szCs w:val="16"/>
    </w:rPr>
  </w:style>
  <w:style w:type="paragraph" w:styleId="xl99" w:customStyle="1">
    <w:name w:val="xl99"/>
    <w:basedOn w:val="Normal"/>
    <w:qFormat/>
    <w:rsid w:val="001c2cd8"/>
    <w:pPr>
      <w:shd w:val="clear" w:color="000000" w:fill="FFFFFF"/>
      <w:spacing w:beforeAutospacing="1" w:afterAutospacing="1"/>
    </w:pPr>
    <w:rPr>
      <w:rFonts w:ascii="Calibri" w:hAnsi="Calibri"/>
      <w:b/>
      <w:bCs/>
      <w:sz w:val="18"/>
      <w:szCs w:val="18"/>
    </w:rPr>
  </w:style>
  <w:style w:type="paragraph" w:styleId="xl100" w:customStyle="1">
    <w:name w:val="xl100"/>
    <w:basedOn w:val="Normal"/>
    <w:qFormat/>
    <w:rsid w:val="001c2cd8"/>
    <w:pPr>
      <w:shd w:val="clear" w:color="000000" w:fill="FFFFFF"/>
      <w:spacing w:beforeAutospacing="1" w:afterAutospacing="1"/>
    </w:pPr>
    <w:rPr>
      <w:rFonts w:ascii="Calibri" w:hAnsi="Calibri"/>
      <w:sz w:val="16"/>
      <w:szCs w:val="16"/>
    </w:rPr>
  </w:style>
  <w:style w:type="paragraph" w:styleId="xl101" w:customStyle="1">
    <w:name w:val="xl101"/>
    <w:basedOn w:val="Normal"/>
    <w:qFormat/>
    <w:rsid w:val="001c2cd8"/>
    <w:pP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2" w:customStyle="1">
    <w:name w:val="xl102"/>
    <w:basedOn w:val="Normal"/>
    <w:qFormat/>
    <w:rsid w:val="001c2cd8"/>
    <w:pP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3" w:customStyle="1">
    <w:name w:val="xl103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2"/>
      <w:szCs w:val="22"/>
    </w:rPr>
  </w:style>
  <w:style w:type="paragraph" w:styleId="xl104" w:customStyle="1">
    <w:name w:val="xl104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5" w:customStyle="1">
    <w:name w:val="xl105"/>
    <w:basedOn w:val="Normal"/>
    <w:qFormat/>
    <w:rsid w:val="001c2c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6" w:customStyle="1">
    <w:name w:val="xl106"/>
    <w:basedOn w:val="Normal"/>
    <w:qFormat/>
    <w:rsid w:val="001c2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7" w:customStyle="1">
    <w:name w:val="xl107"/>
    <w:basedOn w:val="Normal"/>
    <w:qFormat/>
    <w:rsid w:val="001c2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8" w:customStyle="1">
    <w:name w:val="xl108"/>
    <w:basedOn w:val="Normal"/>
    <w:qFormat/>
    <w:rsid w:val="001c2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09" w:customStyle="1">
    <w:name w:val="xl109"/>
    <w:basedOn w:val="Normal"/>
    <w:qFormat/>
    <w:rsid w:val="001c2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10" w:customStyle="1">
    <w:name w:val="xl110"/>
    <w:basedOn w:val="Normal"/>
    <w:qFormat/>
    <w:rsid w:val="001c2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11" w:customStyle="1">
    <w:name w:val="xl111"/>
    <w:basedOn w:val="Normal"/>
    <w:qFormat/>
    <w:rsid w:val="001c2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sz w:val="16"/>
      <w:szCs w:val="16"/>
    </w:rPr>
  </w:style>
  <w:style w:type="paragraph" w:styleId="xl112" w:customStyle="1">
    <w:name w:val="xl112"/>
    <w:basedOn w:val="Normal"/>
    <w:qFormat/>
    <w:rsid w:val="001c2cd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sz w:val="16"/>
      <w:szCs w:val="16"/>
    </w:rPr>
  </w:style>
  <w:style w:type="paragraph" w:styleId="xl113" w:customStyle="1">
    <w:name w:val="xl113"/>
    <w:basedOn w:val="Normal"/>
    <w:qFormat/>
    <w:rsid w:val="001c2cd8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sz w:val="16"/>
      <w:szCs w:val="16"/>
    </w:rPr>
  </w:style>
  <w:style w:type="paragraph" w:styleId="xl114" w:customStyle="1">
    <w:name w:val="xl114"/>
    <w:basedOn w:val="Normal"/>
    <w:qFormat/>
    <w:rsid w:val="001c2cd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sz w:val="16"/>
      <w:szCs w:val="16"/>
    </w:rPr>
  </w:style>
  <w:style w:type="paragraph" w:styleId="basictext1" w:customStyle="1">
    <w:name w:val="basic_text"/>
    <w:basedOn w:val="Normal"/>
    <w:link w:val="basictext"/>
    <w:qFormat/>
    <w:rsid w:val="001c2cd8"/>
    <w:pPr>
      <w:spacing w:lineRule="auto" w:line="360" w:before="0" w:after="120"/>
      <w:ind w:firstLine="709"/>
      <w:jc w:val="both"/>
    </w:pPr>
    <w:rPr>
      <w:szCs w:val="28"/>
      <w:lang w:eastAsia="ja-JP"/>
    </w:rPr>
  </w:style>
  <w:style w:type="paragraph" w:styleId="list11" w:customStyle="1">
    <w:name w:val="list_1"/>
    <w:basedOn w:val="basictext1"/>
    <w:link w:val="list1"/>
    <w:qFormat/>
    <w:rsid w:val="001c2cd8"/>
    <w:pPr>
      <w:numPr>
        <w:ilvl w:val="0"/>
        <w:numId w:val="18"/>
      </w:numPr>
    </w:pPr>
    <w:rPr/>
  </w:style>
  <w:style w:type="paragraph" w:styleId="115" w:customStyle="1">
    <w:name w:val="Название1"/>
    <w:basedOn w:val="Normal"/>
    <w:link w:val="Style35"/>
    <w:qFormat/>
    <w:rsid w:val="001c2cd8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msonormal" w:customStyle="1">
    <w:name w:val="msonormal"/>
    <w:basedOn w:val="Normal"/>
    <w:qFormat/>
    <w:rsid w:val="001c2cd8"/>
    <w:pPr>
      <w:spacing w:beforeAutospacing="1" w:afterAutospacing="1"/>
    </w:pPr>
    <w:rPr>
      <w:szCs w:val="24"/>
    </w:rPr>
  </w:style>
  <w:style w:type="paragraph" w:styleId="font6" w:customStyle="1">
    <w:name w:val="font6"/>
    <w:basedOn w:val="Normal"/>
    <w:qFormat/>
    <w:rsid w:val="001c2cd8"/>
    <w:pPr>
      <w:spacing w:beforeAutospacing="1" w:afterAutospacing="1"/>
    </w:pPr>
    <w:rPr>
      <w:b/>
      <w:bCs/>
      <w:sz w:val="20"/>
    </w:rPr>
  </w:style>
  <w:style w:type="paragraph" w:styleId="font7" w:customStyle="1">
    <w:name w:val="font7"/>
    <w:basedOn w:val="Normal"/>
    <w:qFormat/>
    <w:rsid w:val="001c2cd8"/>
    <w:pPr>
      <w:spacing w:beforeAutospacing="1" w:afterAutospacing="1"/>
    </w:pPr>
    <w:rPr>
      <w:color w:val="000000"/>
      <w:sz w:val="20"/>
    </w:rPr>
  </w:style>
  <w:style w:type="paragraph" w:styleId="font8" w:customStyle="1">
    <w:name w:val="font8"/>
    <w:basedOn w:val="Normal"/>
    <w:qFormat/>
    <w:rsid w:val="001c2cd8"/>
    <w:pPr>
      <w:spacing w:beforeAutospacing="1" w:afterAutospacing="1"/>
    </w:pPr>
    <w:rPr>
      <w:color w:val="1F497D"/>
      <w:sz w:val="20"/>
    </w:rPr>
  </w:style>
  <w:style w:type="paragraph" w:styleId="Style64" w:customStyle="1">
    <w:name w:val="Таблицы (моноширинный)"/>
    <w:basedOn w:val="Normal"/>
    <w:next w:val="Normal"/>
    <w:uiPriority w:val="99"/>
    <w:qFormat/>
    <w:rsid w:val="001c2cd8"/>
    <w:pPr>
      <w:widowControl w:val="false"/>
      <w:jc w:val="both"/>
    </w:pPr>
    <w:rPr>
      <w:rFonts w:ascii="Courier New" w:hAnsi="Courier New" w:cs="Courier New"/>
      <w:sz w:val="20"/>
    </w:rPr>
  </w:style>
  <w:style w:type="paragraph" w:styleId="Style65" w:customStyle="1">
    <w:name w:val="Основной"/>
    <w:basedOn w:val="Normal"/>
    <w:link w:val="Style36"/>
    <w:qFormat/>
    <w:rsid w:val="001c2cd8"/>
    <w:pPr>
      <w:spacing w:lineRule="auto" w:line="360" w:before="120" w:after="0"/>
      <w:ind w:firstLine="357"/>
      <w:jc w:val="both"/>
    </w:pPr>
    <w:rPr>
      <w:rFonts w:eastAsia="Calibri"/>
      <w:szCs w:val="22"/>
      <w:lang w:eastAsia="en-US"/>
    </w:rPr>
  </w:style>
  <w:style w:type="paragraph" w:styleId="Style66" w:customStyle="1">
    <w:name w:val="Список элемент"/>
    <w:basedOn w:val="Style65"/>
    <w:qFormat/>
    <w:rsid w:val="001c2cd8"/>
    <w:pPr>
      <w:numPr>
        <w:ilvl w:val="0"/>
        <w:numId w:val="19"/>
      </w:numPr>
      <w:tabs>
        <w:tab w:val="clear" w:pos="708"/>
        <w:tab w:val="left" w:pos="360" w:leader="none"/>
      </w:tabs>
      <w:ind w:firstLine="357" w:start="0"/>
    </w:pPr>
    <w:rPr/>
  </w:style>
  <w:style w:type="paragraph" w:styleId="Bodytext22" w:customStyle="1">
    <w:name w:val="Body text (2)"/>
    <w:basedOn w:val="Normal"/>
    <w:link w:val="Bodytext2"/>
    <w:qFormat/>
    <w:rsid w:val="001c2cd8"/>
    <w:pPr>
      <w:widowControl w:val="false"/>
      <w:shd w:val="clear" w:color="auto" w:fill="FFFFFF"/>
      <w:spacing w:lineRule="exact" w:line="221" w:before="0" w:after="180"/>
    </w:pPr>
    <w:rPr>
      <w:rFonts w:cs="Arial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1c2cd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67" w:customStyle="1">
    <w:name w:val="Другое"/>
    <w:basedOn w:val="Normal"/>
    <w:link w:val="Style38"/>
    <w:qFormat/>
    <w:rsid w:val="001c2cd8"/>
    <w:pPr>
      <w:widowControl w:val="false"/>
      <w:spacing w:lineRule="auto" w:line="264"/>
      <w:ind w:firstLine="400"/>
    </w:pPr>
    <w:rPr>
      <w:rFonts w:cs="Arial" w:cstheme="minorBidi"/>
      <w:sz w:val="26"/>
      <w:szCs w:val="26"/>
      <w:lang w:eastAsia="en-US"/>
    </w:rPr>
  </w:style>
  <w:style w:type="paragraph" w:styleId="Style68" w:customStyle="1">
    <w:name w:val="Абзац списка*"/>
    <w:qFormat/>
    <w:rsid w:val="001c2cd8"/>
    <w:pPr>
      <w:widowControl/>
      <w:suppressAutoHyphens w:val="true"/>
      <w:bidi w:val="0"/>
      <w:spacing w:before="0" w:after="0"/>
      <w:ind w:start="720"/>
      <w:contextualSpacing/>
      <w:jc w:val="start"/>
    </w:pPr>
    <w:rPr>
      <w:rFonts w:ascii="Calibri" w:hAnsi="Calibri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69" w:customStyle="1">
    <w:name w:val="Нумерованный"/>
    <w:basedOn w:val="Normal"/>
    <w:qFormat/>
    <w:rsid w:val="001c2cd8"/>
    <w:pPr>
      <w:numPr>
        <w:ilvl w:val="0"/>
        <w:numId w:val="20"/>
      </w:numPr>
      <w:spacing w:before="120" w:after="120"/>
      <w:ind w:hanging="420" w:start="420"/>
      <w:jc w:val="both"/>
    </w:pPr>
    <w:rPr>
      <w:rFonts w:ascii="Calibri" w:hAnsi="Calibri"/>
      <w:color w:val="000000"/>
    </w:rPr>
  </w:style>
  <w:style w:type="paragraph" w:styleId="Style70" w:customStyle="1">
    <w:name w:val="Таблица_текст"/>
    <w:basedOn w:val="Normal"/>
    <w:qFormat/>
    <w:rsid w:val="001c2cd8"/>
    <w:pPr>
      <w:spacing w:before="100" w:after="100"/>
    </w:pPr>
    <w:rPr>
      <w:color w:val="000000"/>
      <w:szCs w:val="24"/>
    </w:rPr>
  </w:style>
  <w:style w:type="paragraph" w:styleId="210" w:customStyle="1">
    <w:name w:val="Рецензия2"/>
    <w:uiPriority w:val="99"/>
    <w:semiHidden/>
    <w:qFormat/>
    <w:rsid w:val="001c2cd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I" w:customStyle="1">
    <w:name w:val="head_II"/>
    <w:basedOn w:val="Normal"/>
    <w:qFormat/>
    <w:rsid w:val="001c2cd8"/>
    <w:pPr>
      <w:keepNext w:val="true"/>
      <w:keepLines/>
      <w:spacing w:before="240" w:after="0"/>
      <w:ind w:hanging="578" w:start="1275"/>
      <w:outlineLvl w:val="1"/>
    </w:pPr>
    <w:rPr>
      <w:b/>
      <w:szCs w:val="24"/>
    </w:rPr>
  </w:style>
  <w:style w:type="paragraph" w:styleId="headIII" w:customStyle="1">
    <w:name w:val="head_III"/>
    <w:basedOn w:val="headII"/>
    <w:qFormat/>
    <w:rsid w:val="001c2cd8"/>
    <w:pPr>
      <w:numPr>
        <w:ilvl w:val="0"/>
        <w:numId w:val="21"/>
      </w:numPr>
    </w:pPr>
    <w:rPr/>
  </w:style>
  <w:style w:type="paragraph" w:styleId="5190" w:customStyle="1">
    <w:name w:val="5190"/>
    <w:basedOn w:val="Normal"/>
    <w:qFormat/>
    <w:rsid w:val="001c2cd8"/>
    <w:pPr>
      <w:spacing w:beforeAutospacing="1" w:afterAutospacing="1"/>
    </w:pPr>
    <w:rPr>
      <w:szCs w:val="24"/>
    </w:rPr>
  </w:style>
  <w:style w:type="paragraph" w:styleId="36" w:customStyle="1">
    <w:name w:val="Рецензия3"/>
    <w:uiPriority w:val="99"/>
    <w:semiHidden/>
    <w:qFormat/>
    <w:rsid w:val="001c2cd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41" w:customStyle="1">
    <w:name w:val="Рецензия4"/>
    <w:uiPriority w:val="99"/>
    <w:unhideWhenUsed/>
    <w:qFormat/>
    <w:rsid w:val="001c2cd8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72">
    <w:name w:val="Заголовок_Приложения"/>
    <w:basedOn w:val="Normal"/>
    <w:qFormat/>
    <w:pPr>
      <w:spacing w:lineRule="auto" w:line="240" w:before="0" w:after="0"/>
      <w:jc w:val="end"/>
    </w:pPr>
    <w:rPr>
      <w:rFonts w:ascii="Cambria" w:hAnsi="Cambria" w:eastAsia="Calibri"/>
    </w:rPr>
  </w:style>
  <w:style w:type="numbering" w:styleId="Style73" w:default="1">
    <w:name w:val="Без списка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6"/>
    <w:uiPriority w:val="39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ff8">
    <w:name w:val="Table Professional"/>
    <w:basedOn w:val="a6"/>
    <w:qFormat/>
    <w:rsid w:val="001c2cd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b/>
        <w:bCs/>
      </w:rPr>
      <w:tblPr/>
      <w:tcPr>
        <w:shd w:val="solid" w:color="000000" w:fill="FFFFFF"/>
      </w:tcPr>
    </w:tblStylePr>
  </w:style>
  <w:style w:type="table" w:customStyle="1" w:styleId="TableGridLight">
    <w:name w:val="Table Grid Light"/>
    <w:basedOn w:val="a6"/>
    <w:uiPriority w:val="59"/>
    <w:qFormat/>
    <w:rsid w:val="001c2cd8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6"/>
    <w:uiPriority w:val="59"/>
    <w:qFormat/>
    <w:rsid w:val="001c2cd8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6"/>
    <w:uiPriority w:val="59"/>
    <w:qFormat/>
    <w:rsid w:val="001c2cd8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6"/>
    <w:uiPriority w:val="99"/>
    <w:qFormat/>
    <w:rsid w:val="001c2cd8"/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6"/>
    <w:uiPriority w:val="99"/>
    <w:qFormat/>
    <w:rsid w:val="001c2cd8"/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6"/>
    <w:uiPriority w:val="99"/>
    <w:qFormat/>
    <w:rsid w:val="001c2cd8"/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6"/>
    <w:uiPriority w:val="99"/>
    <w:qFormat/>
    <w:rsid w:val="001c2cd8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6"/>
    <w:uiPriority w:val="99"/>
    <w:qFormat/>
    <w:rsid w:val="001c2cd8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6"/>
    <w:uiPriority w:val="99"/>
    <w:qFormat/>
    <w:rsid w:val="001c2cd8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6"/>
    <w:uiPriority w:val="99"/>
    <w:qFormat/>
    <w:rsid w:val="001c2cd8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6"/>
    <w:uiPriority w:val="99"/>
    <w:qFormat/>
    <w:rsid w:val="001c2cd8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6"/>
    <w:uiPriority w:val="99"/>
    <w:qFormat/>
    <w:rsid w:val="001c2cd8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6"/>
    <w:uiPriority w:val="99"/>
    <w:qFormat/>
    <w:rsid w:val="001c2cd8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-21">
    <w:name w:val="Таблица-сетка 21"/>
    <w:basedOn w:val="a6"/>
    <w:uiPriority w:val="99"/>
    <w:qFormat/>
    <w:rsid w:val="001c2cd8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qFormat/>
    <w:rsid w:val="001c2cd8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8A2D8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qFormat/>
    <w:rsid w:val="001c2cd8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4B184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qFormat/>
    <w:rsid w:val="001c2cd8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qFormat/>
    <w:rsid w:val="001c2cd8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FD865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qFormat/>
    <w:rsid w:val="001c2cd8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qFormat/>
    <w:rsid w:val="001c2cd8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6"/>
    <w:uiPriority w:val="99"/>
    <w:qFormat/>
    <w:rsid w:val="001c2cd8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qFormat/>
    <w:rsid w:val="001c2cd8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qFormat/>
    <w:rsid w:val="001c2cd8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qFormat/>
    <w:rsid w:val="001c2cd8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qFormat/>
    <w:rsid w:val="001c2cd8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qFormat/>
    <w:rsid w:val="001c2cd8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qFormat/>
    <w:rsid w:val="001c2cd8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6"/>
    <w:uiPriority w:val="59"/>
    <w:qFormat/>
    <w:rsid w:val="001c2cd8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qFormat/>
    <w:rsid w:val="001c2cd8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qFormat/>
    <w:rsid w:val="001c2cd8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qFormat/>
    <w:rsid w:val="001c2cd8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qFormat/>
    <w:rsid w:val="001c2cd8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qFormat/>
    <w:rsid w:val="001c2cd8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qFormat/>
    <w:rsid w:val="001c2cd8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qFormat/>
    <w:rsid w:val="001c2cd8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6"/>
    <w:uiPriority w:val="99"/>
    <w:qFormat/>
    <w:rsid w:val="001c2cd8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000000" w:themeColor="text1" w:themeTint="80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000000" w:themeColor="text1" w:themeTint="80"/>
      </w:rPr>
      <w:tblPr/>
    </w:tblStylePr>
    <w:tblStylePr w:type="firstCol">
      <w:rPr>
        <w:b/>
        <w:color w:val="000000" w:themeColor="text1" w:themeTint="80"/>
      </w:rPr>
      <w:tblPr/>
    </w:tblStylePr>
    <w:tblStylePr w:type="lastCol">
      <w:rPr>
        <w:b/>
        <w:color w:val="000000" w:themeColor="text1" w:themeTint="80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000000" w:themeColor="text1" w:themeTint="80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000000" w:themeColor="text1" w:themeTint="80"/>
        <w:sz w:val="22"/>
      </w:rPr>
      <w:tblPr/>
    </w:tblStylePr>
  </w:style>
  <w:style w:type="table" w:customStyle="1" w:styleId="GridTable6Colorful-Accent1">
    <w:name w:val="Grid Table 6 Colorful - Accent 1"/>
    <w:basedOn w:val="a6"/>
    <w:uiPriority w:val="99"/>
    <w:qFormat/>
    <w:rsid w:val="001c2cd8"/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000000" w:themeColor="accent1" w:themeTint="80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000000" w:themeColor="accent1" w:themeTint="80"/>
      </w:rPr>
      <w:tblPr/>
    </w:tblStylePr>
    <w:tblStylePr w:type="firstCol">
      <w:rPr>
        <w:b/>
        <w:color w:val="000000" w:themeColor="accent1" w:themeTint="80"/>
      </w:rPr>
      <w:tblPr/>
    </w:tblStylePr>
    <w:tblStylePr w:type="lastCol">
      <w:rPr>
        <w:b/>
        <w:color w:val="000000" w:themeColor="accent1" w:themeTint="80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000000" w:themeColor="accent1" w:themeTint="80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000000" w:themeColor="accent1" w:themeTint="80"/>
        <w:sz w:val="22"/>
      </w:rPr>
      <w:tblPr/>
    </w:tblStylePr>
  </w:style>
  <w:style w:type="table" w:customStyle="1" w:styleId="GridTable6Colorful-Accent2">
    <w:name w:val="Grid Table 6 Colorful - Accent 2"/>
    <w:basedOn w:val="a6"/>
    <w:uiPriority w:val="99"/>
    <w:qFormat/>
    <w:rsid w:val="001c2cd8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000000" w:themeColor="accent2" w:themeTint="96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000000" w:themeColor="accent2" w:themeTint="96"/>
      </w:rPr>
      <w:tblPr/>
    </w:tblStylePr>
    <w:tblStylePr w:type="firstCol">
      <w:rPr>
        <w:b/>
        <w:color w:val="000000" w:themeColor="accent2" w:themeTint="96"/>
      </w:rPr>
      <w:tblPr/>
    </w:tblStylePr>
    <w:tblStylePr w:type="lastCol">
      <w:rPr>
        <w:b/>
        <w:color w:val="000000" w:themeColor="accent2" w:themeTint="96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000000" w:themeColor="accent2" w:themeTint="96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000000" w:themeColor="accent2" w:themeTint="96"/>
        <w:sz w:val="22"/>
      </w:rPr>
      <w:tblPr/>
    </w:tblStylePr>
  </w:style>
  <w:style w:type="table" w:customStyle="1" w:styleId="GridTable6Colorful-Accent3">
    <w:name w:val="Grid Table 6 Colorful - Accent 3"/>
    <w:basedOn w:val="a6"/>
    <w:uiPriority w:val="99"/>
    <w:qFormat/>
    <w:rsid w:val="001c2cd8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000000" w:themeColor="accent3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000000" w:themeColor="accent3"/>
      </w:rPr>
      <w:tblPr/>
    </w:tblStylePr>
    <w:tblStylePr w:type="firstCol">
      <w:rPr>
        <w:b/>
        <w:color w:val="000000" w:themeColor="accent3"/>
      </w:rPr>
      <w:tblPr/>
    </w:tblStylePr>
    <w:tblStylePr w:type="lastCol">
      <w:rPr>
        <w:b/>
        <w:color w:val="000000" w:themeColor="accent3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000000" w:themeColor="accent3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000000" w:themeColor="accent3"/>
        <w:sz w:val="22"/>
      </w:rPr>
      <w:tblPr/>
    </w:tblStylePr>
  </w:style>
  <w:style w:type="table" w:customStyle="1" w:styleId="GridTable6Colorful-Accent4">
    <w:name w:val="Grid Table 6 Colorful - Accent 4"/>
    <w:basedOn w:val="a6"/>
    <w:uiPriority w:val="99"/>
    <w:qFormat/>
    <w:rsid w:val="001c2cd8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000000" w:themeColor="accent4" w:themeTint="99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000000" w:themeColor="accent4" w:themeTint="99"/>
      </w:rPr>
      <w:tblPr/>
    </w:tblStylePr>
    <w:tblStylePr w:type="firstCol">
      <w:rPr>
        <w:b/>
        <w:color w:val="000000" w:themeColor="accent4" w:themeTint="99"/>
      </w:rPr>
      <w:tblPr/>
    </w:tblStylePr>
    <w:tblStylePr w:type="lastCol">
      <w:rPr>
        <w:b/>
        <w:color w:val="000000" w:themeColor="accent4" w:themeTint="99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000000" w:themeColor="accent4" w:themeTint="99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000000" w:themeColor="accent4" w:themeTint="99"/>
        <w:sz w:val="22"/>
      </w:rPr>
      <w:tblPr/>
    </w:tblStylePr>
  </w:style>
  <w:style w:type="table" w:customStyle="1" w:styleId="GridTable6Colorful-Accent5">
    <w:name w:val="Grid Table 6 Colorful - Accent 5"/>
    <w:basedOn w:val="a6"/>
    <w:uiPriority w:val="99"/>
    <w:qFormat/>
    <w:rsid w:val="001c2cd8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000000" w:themeColor="accent5" w:themeShade="94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000000" w:themeColor="accent5" w:themeShade="94"/>
      </w:rPr>
      <w:tblPr/>
    </w:tblStylePr>
    <w:tblStylePr w:type="firstCol">
      <w:rPr>
        <w:b/>
        <w:color w:val="000000" w:themeColor="accent5" w:themeShade="94"/>
      </w:rPr>
      <w:tblPr/>
    </w:tblStylePr>
    <w:tblStylePr w:type="lastCol">
      <w:rPr>
        <w:b/>
        <w:color w:val="000000" w:themeColor="accent5" w:themeShade="94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000000" w:themeColor="accent5" w:themeShade="94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000000" w:themeColor="accent5" w:themeShade="94"/>
        <w:sz w:val="22"/>
      </w:rPr>
      <w:tblPr/>
    </w:tblStylePr>
  </w:style>
  <w:style w:type="table" w:customStyle="1" w:styleId="GridTable6Colorful-Accent6">
    <w:name w:val="Grid Table 6 Colorful - Accent 6"/>
    <w:basedOn w:val="a6"/>
    <w:uiPriority w:val="99"/>
    <w:qFormat/>
    <w:rsid w:val="001c2cd8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000000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000000" w:themeColor="accent5" w:themeShade="94"/>
      </w:rPr>
      <w:tblPr/>
    </w:tblStylePr>
    <w:tblStylePr w:type="firstCol">
      <w:rPr>
        <w:b/>
        <w:color w:val="000000" w:themeColor="accent5" w:themeShade="94"/>
      </w:rPr>
      <w:tblPr/>
    </w:tblStylePr>
    <w:tblStylePr w:type="lastCol">
      <w:rPr>
        <w:b/>
        <w:color w:val="000000" w:themeColor="accent5" w:themeShade="94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000000" w:themeColor="accent5" w:themeShade="94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000000" w:themeColor="accent5" w:themeShade="94"/>
        <w:sz w:val="22"/>
      </w:rPr>
      <w:tblPr/>
    </w:tblStylePr>
  </w:style>
  <w:style w:type="table" w:customStyle="1" w:styleId="-71">
    <w:name w:val="Таблица-сетка 7 цветная1"/>
    <w:basedOn w:val="a6"/>
    <w:uiPriority w:val="99"/>
    <w:qFormat/>
    <w:rsid w:val="001c2cd8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000000"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000000"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000000" w:themeColor="text1" w:themeTint="80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000000" w:themeColor="text1" w:themeTint="80"/>
        <w:sz w:val="22"/>
      </w:rPr>
      <w:tblPr/>
    </w:tblStylePr>
  </w:style>
  <w:style w:type="table" w:customStyle="1" w:styleId="GridTable7Colorful-Accent1">
    <w:name w:val="Grid Table 7 Colorful - Accent 1"/>
    <w:basedOn w:val="a6"/>
    <w:uiPriority w:val="99"/>
    <w:qFormat/>
    <w:rsid w:val="001c2cd8"/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000000" w:themeColor="accent1" w:themeTint="80"/>
        <w:sz w:val="22"/>
      </w:rPr>
      <w:tblPr/>
      <w:tcPr>
        <w:tcBorders>
          <w:top w:val="nil"/>
          <w:left w:val="nil"/>
          <w:bottom w:val="single" w:color="ACCCEA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accent1" w:themeTint="80"/>
        <w:sz w:val="22"/>
      </w:rPr>
      <w:tblPr/>
      <w:tcPr>
        <w:tcBorders>
          <w:top w:val="single" w:color="ACCCEA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1" w:themeTint="80"/>
        <w:sz w:val="22"/>
      </w:rPr>
      <w:tblPr/>
      <w:tcPr>
        <w:tcBorders>
          <w:top w:val="nil"/>
          <w:left w:val="nil"/>
          <w:bottom w:val="nil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000000" w:themeColor="accent1" w:themeTint="80"/>
        <w:sz w:val="22"/>
      </w:rPr>
      <w:tblPr/>
      <w:tcPr>
        <w:tcBorders>
          <w:top w:val="nil"/>
          <w:left w:val="single" w:color="ACCCEA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000000" w:themeColor="accent1" w:themeTint="80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000000" w:themeColor="accent1" w:themeTint="80"/>
        <w:sz w:val="22"/>
      </w:rPr>
      <w:tblPr/>
    </w:tblStylePr>
  </w:style>
  <w:style w:type="table" w:customStyle="1" w:styleId="GridTable7Colorful-Accent2">
    <w:name w:val="Grid Table 7 Colorful - Accent 2"/>
    <w:basedOn w:val="a6"/>
    <w:uiPriority w:val="99"/>
    <w:qFormat/>
    <w:rsid w:val="001c2cd8"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000000" w:themeColor="accent2" w:themeTint="96"/>
        <w:sz w:val="22"/>
      </w:rPr>
      <w:tblPr/>
      <w:tcPr>
        <w:tcBorders>
          <w:top w:val="nil"/>
          <w:left w:val="nil"/>
          <w:bottom w:val="single" w:color="F4B184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accent2" w:themeTint="96"/>
        <w:sz w:val="22"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2" w:themeTint="96"/>
        <w:sz w:val="22"/>
      </w:rPr>
      <w:tblPr/>
      <w:tcPr>
        <w:tcBorders>
          <w:top w:val="nil"/>
          <w:left w:val="nil"/>
          <w:bottom w:val="nil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000000" w:themeColor="accent2" w:themeTint="96"/>
        <w:sz w:val="22"/>
      </w:rPr>
      <w:tblPr/>
      <w:tcPr>
        <w:tcBorders>
          <w:top w:val="nil"/>
          <w:left w:val="single" w:color="F4B184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000000" w:themeColor="accent2" w:themeTint="96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000000" w:themeColor="accent2" w:themeTint="96"/>
        <w:sz w:val="22"/>
      </w:rPr>
      <w:tblPr/>
    </w:tblStylePr>
  </w:style>
  <w:style w:type="table" w:customStyle="1" w:styleId="GridTable7Colorful-Accent3">
    <w:name w:val="Grid Table 7 Colorful - Accent 3"/>
    <w:basedOn w:val="a6"/>
    <w:uiPriority w:val="99"/>
    <w:qFormat/>
    <w:rsid w:val="001c2cd8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000000" w:themeColor="accent3"/>
        <w:sz w:val="22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accent3"/>
        <w:sz w:val="22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3"/>
        <w:sz w:val="22"/>
      </w:rPr>
      <w:tblPr/>
      <w:tcPr>
        <w:tcBorders>
          <w:top w:val="nil"/>
          <w:left w:val="nil"/>
          <w:bottom w:val="nil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000000" w:themeColor="accent3"/>
        <w:sz w:val="22"/>
      </w:rPr>
      <w:tblPr/>
      <w:tcPr>
        <w:tcBorders>
          <w:top w:val="nil"/>
          <w:left w:val="single" w:color="A5A5A5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000000" w:themeColor="accent3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000000" w:themeColor="accent3"/>
        <w:sz w:val="22"/>
      </w:rPr>
      <w:tblPr/>
    </w:tblStylePr>
  </w:style>
  <w:style w:type="table" w:customStyle="1" w:styleId="GridTable7Colorful-Accent4">
    <w:name w:val="Grid Table 7 Colorful - Accent 4"/>
    <w:basedOn w:val="a6"/>
    <w:uiPriority w:val="99"/>
    <w:qFormat/>
    <w:rsid w:val="001c2cd8"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000000" w:themeColor="accent4" w:themeTint="99"/>
        <w:sz w:val="22"/>
      </w:rPr>
      <w:tblPr/>
      <w:tcPr>
        <w:tcBorders>
          <w:top w:val="nil"/>
          <w:left w:val="nil"/>
          <w:bottom w:val="single" w:color="FFD865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accent4" w:themeTint="99"/>
        <w:sz w:val="22"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4" w:themeTint="99"/>
        <w:sz w:val="22"/>
      </w:rPr>
      <w:tblPr/>
      <w:tcPr>
        <w:tcBorders>
          <w:top w:val="nil"/>
          <w:left w:val="nil"/>
          <w:bottom w:val="nil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000000" w:themeColor="accent4" w:themeTint="99"/>
        <w:sz w:val="22"/>
      </w:rPr>
      <w:tblPr/>
      <w:tcPr>
        <w:tcBorders>
          <w:top w:val="nil"/>
          <w:left w:val="single" w:color="FFD865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000000" w:themeColor="accent4" w:themeTint="99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000000" w:themeColor="accent4" w:themeTint="99"/>
        <w:sz w:val="22"/>
      </w:rPr>
      <w:tblPr/>
    </w:tblStylePr>
  </w:style>
  <w:style w:type="table" w:customStyle="1" w:styleId="GridTable7Colorful-Accent5">
    <w:name w:val="Grid Table 7 Colorful - Accent 5"/>
    <w:basedOn w:val="a6"/>
    <w:uiPriority w:val="99"/>
    <w:qFormat/>
    <w:rsid w:val="001c2cd8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000000" w:themeColor="accent5" w:themeShade="94"/>
        <w:sz w:val="22"/>
      </w:rPr>
      <w:tblPr/>
      <w:tcPr>
        <w:tcBorders>
          <w:top w:val="nil"/>
          <w:left w:val="nil"/>
          <w:bottom w:val="single" w:color="95AFDD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accent5" w:themeShade="94"/>
        <w:sz w:val="22"/>
      </w:rPr>
      <w:tblPr/>
      <w:tcPr>
        <w:tcBorders>
          <w:top w:val="single" w:color="95AFDD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000000" w:themeColor="accent5" w:themeShade="94"/>
        <w:sz w:val="22"/>
      </w:rPr>
      <w:tblPr/>
      <w:tcPr>
        <w:tcBorders>
          <w:top w:val="nil"/>
          <w:left w:val="single" w:color="95AFDD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000000" w:themeColor="accent5" w:themeShade="94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000000" w:themeColor="accent5" w:themeShade="94"/>
        <w:sz w:val="22"/>
      </w:rPr>
      <w:tblPr/>
    </w:tblStylePr>
  </w:style>
  <w:style w:type="table" w:customStyle="1" w:styleId="GridTable7Colorful-Accent6">
    <w:name w:val="Grid Table 7 Colorful - Accent 6"/>
    <w:basedOn w:val="a6"/>
    <w:uiPriority w:val="99"/>
    <w:qFormat/>
    <w:rsid w:val="001c2cd8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000000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b/>
        <w:color w:val="000000" w:themeColor="accent6" w:themeShade="94"/>
        <w:sz w:val="22"/>
      </w:rPr>
      <w:tblPr/>
      <w:tcPr>
        <w:tcBorders>
          <w:top w:val="single" w:color="ADD394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000000" w:themeColor="accent6" w:themeShade="94"/>
        <w:sz w:val="22"/>
      </w:rPr>
      <w:tblPr/>
      <w:tcPr>
        <w:tcBorders>
          <w:top w:val="nil"/>
          <w:left w:val="single" w:color="ADD394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000000" w:themeColor="accent6" w:themeShade="94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000000" w:themeColor="accent6" w:themeShade="94"/>
        <w:sz w:val="22"/>
      </w:rPr>
      <w:tblPr/>
    </w:tblStylePr>
  </w:style>
  <w:style w:type="table" w:customStyle="1" w:styleId="-110">
    <w:name w:val="Список-таблица 1 светлая1"/>
    <w:basedOn w:val="a6"/>
    <w:uiPriority w:val="99"/>
    <w:qFormat/>
    <w:rsid w:val="001c2cd8"/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rsid w:val="001c2cd8"/>
    <w:tblStylePr w:type="firstRow">
      <w:rPr>
        <w:b/>
      </w:rPr>
      <w:tblPr/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qFormat/>
    <w:rsid w:val="001c2cd8"/>
    <w:tblStylePr w:type="firstRow">
      <w:rPr>
        <w:b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qFormat/>
    <w:rsid w:val="001c2cd8"/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qFormat/>
    <w:rsid w:val="001c2cd8"/>
    <w:tblStylePr w:type="firstRow">
      <w:rPr>
        <w:b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qFormat/>
    <w:rsid w:val="001c2cd8"/>
    <w:tblStylePr w:type="firstRow">
      <w:rPr>
        <w:b/>
      </w:rPr>
      <w:tblPr/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qFormat/>
    <w:rsid w:val="001c2cd8"/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6"/>
    <w:uiPriority w:val="99"/>
    <w:qFormat/>
    <w:rsid w:val="001c2cd8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qFormat/>
    <w:rsid w:val="001c2cd8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il"/>
          <w:bottom w:val="single" w:color="A2C6E7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il"/>
          <w:bottom w:val="single" w:color="A2C6E7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qFormat/>
    <w:rsid w:val="001c2cd8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qFormat/>
    <w:rsid w:val="001c2cd8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qFormat/>
    <w:rsid w:val="001c2cd8"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qFormat/>
    <w:rsid w:val="001c2cd8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il"/>
          <w:bottom w:val="single" w:color="95AFDD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il"/>
          <w:bottom w:val="single" w:color="95AFDD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qFormat/>
    <w:rsid w:val="001c2cd8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6"/>
    <w:uiPriority w:val="99"/>
    <w:qFormat/>
    <w:rsid w:val="001c2cd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6"/>
    <w:uiPriority w:val="99"/>
    <w:qFormat/>
    <w:rsid w:val="001c2cd8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6"/>
    <w:uiPriority w:val="99"/>
    <w:qFormat/>
    <w:rsid w:val="001c2cd8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6"/>
    <w:uiPriority w:val="99"/>
    <w:qFormat/>
    <w:rsid w:val="001c2cd8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6"/>
    <w:uiPriority w:val="99"/>
    <w:qFormat/>
    <w:rsid w:val="001c2cd8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6"/>
    <w:uiPriority w:val="99"/>
    <w:qFormat/>
    <w:rsid w:val="001c2cd8"/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6"/>
    <w:uiPriority w:val="99"/>
    <w:qFormat/>
    <w:rsid w:val="001c2cd8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-410">
    <w:name w:val="Список-таблица 41"/>
    <w:basedOn w:val="a6"/>
    <w:uiPriority w:val="99"/>
    <w:qFormat/>
    <w:rsid w:val="001c2cd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qFormat/>
    <w:rsid w:val="001c2cd8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qFormat/>
    <w:rsid w:val="001c2cd8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qFormat/>
    <w:rsid w:val="001c2cd8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qFormat/>
    <w:rsid w:val="001c2cd8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qFormat/>
    <w:rsid w:val="001c2cd8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qFormat/>
    <w:rsid w:val="001c2cd8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6"/>
    <w:uiPriority w:val="99"/>
    <w:qFormat/>
    <w:rsid w:val="001c2cd8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qFormat/>
    <w:rsid w:val="001c2cd8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qFormat/>
    <w:rsid w:val="001c2cd8"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qFormat/>
    <w:rsid w:val="001c2cd8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qFormat/>
    <w:rsid w:val="001c2cd8"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qFormat/>
    <w:rsid w:val="001c2cd8"/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qFormat/>
    <w:rsid w:val="001c2cd8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000000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000000" w:themeColor="light1"/>
        <w:sz w:val="22"/>
      </w:rPr>
      <w:tblPr/>
    </w:tblStylePr>
    <w:tblStylePr w:type="firstCol">
      <w:rPr>
        <w:b/>
        <w:color w:val="000000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6"/>
    <w:uiPriority w:val="99"/>
    <w:qFormat/>
    <w:rsid w:val="001c2cd8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6"/>
    <w:uiPriority w:val="99"/>
    <w:qFormat/>
    <w:rsid w:val="001c2cd8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000000" w:themeColor="accent1" w:themeShade="94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000000" w:themeColor="accent1" w:themeShade="94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000000" w:themeColor="accent1" w:themeShade="94"/>
      </w:rPr>
      <w:tblPr/>
    </w:tblStylePr>
    <w:tblStylePr w:type="lastCol">
      <w:rPr>
        <w:b/>
        <w:color w:val="000000" w:themeColor="accent1" w:themeShade="94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000000" w:themeColor="accent1" w:themeShade="94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000000" w:themeColor="accent1" w:themeShade="94"/>
        <w:sz w:val="22"/>
      </w:rPr>
      <w:tblPr/>
    </w:tblStylePr>
  </w:style>
  <w:style w:type="table" w:customStyle="1" w:styleId="ListTable6Colorful-Accent2">
    <w:name w:val="List Table 6 Colorful - Accent 2"/>
    <w:basedOn w:val="a6"/>
    <w:uiPriority w:val="99"/>
    <w:qFormat/>
    <w:rsid w:val="001c2cd8"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000000" w:themeColor="accent2" w:themeTint="96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000000" w:themeColor="accent2" w:themeTint="96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000000" w:themeColor="accent2" w:themeTint="96"/>
      </w:rPr>
      <w:tblPr/>
    </w:tblStylePr>
    <w:tblStylePr w:type="lastCol">
      <w:rPr>
        <w:b/>
        <w:color w:val="000000" w:themeColor="accent2" w:themeTint="96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000000" w:themeColor="accent2" w:themeTint="96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000000" w:themeColor="accent2" w:themeTint="96"/>
        <w:sz w:val="22"/>
      </w:rPr>
      <w:tblPr/>
    </w:tblStylePr>
  </w:style>
  <w:style w:type="table" w:customStyle="1" w:styleId="ListTable6Colorful-Accent3">
    <w:name w:val="List Table 6 Colorful - Accent 3"/>
    <w:basedOn w:val="a6"/>
    <w:uiPriority w:val="99"/>
    <w:qFormat/>
    <w:rsid w:val="001c2cd8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000000" w:themeColor="accent3" w:themeTint="99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000000" w:themeColor="accent3" w:themeTint="99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000000" w:themeColor="accent3" w:themeTint="99"/>
      </w:rPr>
      <w:tblPr/>
    </w:tblStylePr>
    <w:tblStylePr w:type="lastCol">
      <w:rPr>
        <w:b/>
        <w:color w:val="000000" w:themeColor="accent3" w:themeTint="99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000000" w:themeColor="accent3" w:themeTint="99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000000" w:themeColor="accent3" w:themeTint="99"/>
        <w:sz w:val="22"/>
      </w:rPr>
      <w:tblPr/>
    </w:tblStylePr>
  </w:style>
  <w:style w:type="table" w:customStyle="1" w:styleId="ListTable6Colorful-Accent4">
    <w:name w:val="List Table 6 Colorful - Accent 4"/>
    <w:basedOn w:val="a6"/>
    <w:uiPriority w:val="99"/>
    <w:qFormat/>
    <w:rsid w:val="001c2cd8"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000000" w:themeColor="accent4" w:themeTint="99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000000" w:themeColor="accent4" w:themeTint="99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000000" w:themeColor="accent4" w:themeTint="99"/>
      </w:rPr>
      <w:tblPr/>
    </w:tblStylePr>
    <w:tblStylePr w:type="lastCol">
      <w:rPr>
        <w:b/>
        <w:color w:val="000000" w:themeColor="accent4" w:themeTint="99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000000" w:themeColor="accent4" w:themeTint="99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000000" w:themeColor="accent4" w:themeTint="99"/>
        <w:sz w:val="22"/>
      </w:rPr>
      <w:tblPr/>
    </w:tblStylePr>
  </w:style>
  <w:style w:type="table" w:customStyle="1" w:styleId="ListTable6Colorful-Accent5">
    <w:name w:val="List Table 6 Colorful - Accent 5"/>
    <w:basedOn w:val="a6"/>
    <w:uiPriority w:val="99"/>
    <w:qFormat/>
    <w:rsid w:val="001c2cd8"/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000000" w:themeColor="accent5" w:themeTint="99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000000" w:themeColor="accent5" w:themeTint="99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000000" w:themeColor="accent5" w:themeTint="99"/>
      </w:rPr>
      <w:tblPr/>
    </w:tblStylePr>
    <w:tblStylePr w:type="lastCol">
      <w:rPr>
        <w:b/>
        <w:color w:val="000000" w:themeColor="accent5" w:themeTint="99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000000" w:themeColor="accent5" w:themeTint="99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000000" w:themeColor="accent5" w:themeTint="99"/>
        <w:sz w:val="22"/>
      </w:rPr>
      <w:tblPr/>
    </w:tblStylePr>
  </w:style>
  <w:style w:type="table" w:customStyle="1" w:styleId="ListTable6Colorful-Accent6">
    <w:name w:val="List Table 6 Colorful - Accent 6"/>
    <w:basedOn w:val="a6"/>
    <w:uiPriority w:val="99"/>
    <w:qFormat/>
    <w:rsid w:val="001c2cd8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000000" w:themeColor="accent6" w:themeTint="99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000000" w:themeColor="accent6" w:themeTint="99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000000" w:themeColor="accent6" w:themeTint="99"/>
      </w:rPr>
      <w:tblPr/>
    </w:tblStylePr>
    <w:tblStylePr w:type="lastCol">
      <w:rPr>
        <w:b/>
        <w:color w:val="000000" w:themeColor="accent6" w:themeTint="99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000000" w:themeColor="accent6" w:themeTint="99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000000" w:themeColor="accent6" w:themeTint="99"/>
        <w:sz w:val="22"/>
      </w:rPr>
      <w:tblPr/>
    </w:tblStylePr>
  </w:style>
  <w:style w:type="table" w:customStyle="1" w:styleId="-710">
    <w:name w:val="Список-таблица 7 цветная1"/>
    <w:basedOn w:val="a6"/>
    <w:uiPriority w:val="99"/>
    <w:qFormat/>
    <w:rsid w:val="001c2cd8"/>
    <w:tblPr>
      <w:tblBorders>
        <w:right w:val="single" w:color="7F7F7F" w:themeColor="text1" w:themeTint="80" w:sz="4" w:space="0"/>
      </w:tblBorders>
    </w:tblPr>
    <w:tblStylePr w:type="firstRow">
      <w:rPr>
        <w:i/>
        <w:color w:val="000000" w:themeColor="text1" w:themeTint="80"/>
        <w:sz w:val="22"/>
      </w:rPr>
      <w:tblPr/>
      <w:tcPr>
        <w:tcBorders>
          <w:top w:val="nil"/>
          <w:left w:val="nil"/>
          <w:bottom w:val="single" w:color="7F7F7F" w:themeColor="tex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text1" w:themeTint="80"/>
        <w:sz w:val="22"/>
      </w:rPr>
      <w:tblPr/>
      <w:tcPr>
        <w:tcBorders>
          <w:top w:val="single" w:color="7F7F7F" w:themeColor="tex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text1" w:themeTint="80"/>
        <w:sz w:val="22"/>
      </w:rPr>
      <w:tblPr/>
      <w:tcPr>
        <w:tcBorders>
          <w:top w:val="nil"/>
          <w:left w:val="nil"/>
          <w:bottom w:val="nil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000000" w:themeColor="text1" w:themeTint="80"/>
        <w:sz w:val="22"/>
      </w:rPr>
      <w:tblPr/>
      <w:tcPr>
        <w:tcBorders>
          <w:top w:val="nil"/>
          <w:left w:val="single" w:color="7F7F7F" w:themeColor="tex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 w:themeTint="80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 w:themeTint="80"/>
        <w:sz w:val="22"/>
      </w:rPr>
      <w:tblPr/>
    </w:tblStylePr>
  </w:style>
  <w:style w:type="table" w:customStyle="1" w:styleId="ListTable7Colorful-Accent1">
    <w:name w:val="List Table 7 Colorful - Accent 1"/>
    <w:basedOn w:val="a6"/>
    <w:uiPriority w:val="99"/>
    <w:qFormat/>
    <w:rsid w:val="001c2cd8"/>
    <w:tblPr>
      <w:tblBorders>
        <w:right w:val="single" w:color="5B9BD5" w:themeColor="accent1" w:sz="4" w:space="0"/>
      </w:tblBorders>
    </w:tblPr>
    <w:tblStylePr w:type="firstRow">
      <w:rPr>
        <w:i/>
        <w:color w:val="000000" w:themeColor="accent1" w:themeShade="94"/>
        <w:sz w:val="22"/>
      </w:rPr>
      <w:tblPr/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accent1" w:themeShade="94"/>
        <w:sz w:val="22"/>
      </w:rPr>
      <w:tblPr/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000000" w:themeColor="accent1" w:themeShade="94"/>
        <w:sz w:val="22"/>
      </w:rPr>
      <w:tblPr/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000000" w:themeColor="accent1" w:themeShade="94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000000" w:themeColor="accent1" w:themeShade="94"/>
        <w:sz w:val="22"/>
      </w:rPr>
      <w:tblPr/>
    </w:tblStylePr>
  </w:style>
  <w:style w:type="table" w:customStyle="1" w:styleId="ListTable7Colorful-Accent2">
    <w:name w:val="List Table 7 Colorful - Accent 2"/>
    <w:basedOn w:val="a6"/>
    <w:uiPriority w:val="99"/>
    <w:qFormat/>
    <w:rsid w:val="001c2cd8"/>
    <w:tblPr>
      <w:tblBorders>
        <w:right w:val="single" w:color="F4B184" w:themeColor="accent2" w:themeTint="97" w:sz="4" w:space="0"/>
      </w:tblBorders>
    </w:tblPr>
    <w:tblStylePr w:type="firstRow">
      <w:rPr>
        <w:i/>
        <w:color w:val="000000" w:themeColor="accent2" w:themeTint="96"/>
        <w:sz w:val="22"/>
      </w:rPr>
      <w:tblPr/>
      <w:tcPr>
        <w:tcBorders>
          <w:top w:val="nil"/>
          <w:left w:val="nil"/>
          <w:bottom w:val="single" w:color="F4B184" w:themeColor="accent2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accent2" w:themeTint="96"/>
        <w:sz w:val="22"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2" w:themeTint="96"/>
        <w:sz w:val="22"/>
      </w:rPr>
      <w:tblPr/>
      <w:tcPr>
        <w:tcBorders>
          <w:top w:val="nil"/>
          <w:left w:val="nil"/>
          <w:bottom w:val="nil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000000" w:themeColor="accent2" w:themeTint="96"/>
        <w:sz w:val="22"/>
      </w:rPr>
      <w:tblPr/>
      <w:tcPr>
        <w:tcBorders>
          <w:top w:val="nil"/>
          <w:left w:val="single" w:color="F4B184" w:themeColor="accent2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000000" w:themeColor="accent2" w:themeTint="96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000000" w:themeColor="accent2" w:themeTint="96"/>
        <w:sz w:val="22"/>
      </w:rPr>
      <w:tblPr/>
    </w:tblStylePr>
  </w:style>
  <w:style w:type="table" w:customStyle="1" w:styleId="ListTable7Colorful-Accent3">
    <w:name w:val="List Table 7 Colorful - Accent 3"/>
    <w:basedOn w:val="a6"/>
    <w:uiPriority w:val="99"/>
    <w:qFormat/>
    <w:rsid w:val="001c2cd8"/>
    <w:tblPr>
      <w:tblBorders>
        <w:right w:val="single" w:color="C9C9C9" w:themeColor="accent3" w:themeTint="98" w:sz="4" w:space="0"/>
      </w:tblBorders>
    </w:tblPr>
    <w:tblStylePr w:type="firstRow">
      <w:rPr>
        <w:i/>
        <w:color w:val="000000" w:themeColor="accent3" w:themeTint="99"/>
        <w:sz w:val="22"/>
      </w:rPr>
      <w:tblPr/>
      <w:tcPr>
        <w:tcBorders>
          <w:top w:val="nil"/>
          <w:left w:val="nil"/>
          <w:bottom w:val="single" w:color="C9C9C9" w:themeColor="accent3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accent3" w:themeTint="99"/>
        <w:sz w:val="22"/>
      </w:rPr>
      <w:tblPr/>
      <w:tcPr>
        <w:tcBorders>
          <w:top w:val="single" w:color="C9C9C9" w:themeColor="accent3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3" w:themeTint="99"/>
        <w:sz w:val="22"/>
      </w:rPr>
      <w:tblPr/>
      <w:tcPr>
        <w:tcBorders>
          <w:top w:val="nil"/>
          <w:left w:val="nil"/>
          <w:bottom w:val="nil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000000" w:themeColor="accent3" w:themeTint="99"/>
        <w:sz w:val="22"/>
      </w:rPr>
      <w:tblPr/>
      <w:tcPr>
        <w:tcBorders>
          <w:top w:val="nil"/>
          <w:left w:val="single" w:color="C9C9C9" w:themeColor="accent3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000000" w:themeColor="accent3" w:themeTint="99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000000" w:themeColor="accent3" w:themeTint="99"/>
        <w:sz w:val="22"/>
      </w:rPr>
      <w:tblPr/>
    </w:tblStylePr>
  </w:style>
  <w:style w:type="table" w:customStyle="1" w:styleId="ListTable7Colorful-Accent4">
    <w:name w:val="List Table 7 Colorful - Accent 4"/>
    <w:basedOn w:val="a6"/>
    <w:uiPriority w:val="99"/>
    <w:qFormat/>
    <w:rsid w:val="001c2cd8"/>
    <w:tblPr>
      <w:tblBorders>
        <w:right w:val="single" w:color="FFD865" w:themeColor="accent4" w:themeTint="9a" w:sz="4" w:space="0"/>
      </w:tblBorders>
    </w:tblPr>
    <w:tblStylePr w:type="firstRow">
      <w:rPr>
        <w:i/>
        <w:color w:val="000000" w:themeColor="accent4" w:themeTint="99"/>
        <w:sz w:val="22"/>
      </w:rPr>
      <w:tblPr/>
      <w:tcPr>
        <w:tcBorders>
          <w:top w:val="nil"/>
          <w:left w:val="nil"/>
          <w:bottom w:val="single" w:color="FFD865" w:themeColor="accent4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accent4" w:themeTint="99"/>
        <w:sz w:val="22"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4" w:themeTint="99"/>
        <w:sz w:val="22"/>
      </w:rPr>
      <w:tblPr/>
      <w:tcPr>
        <w:tcBorders>
          <w:top w:val="nil"/>
          <w:left w:val="nil"/>
          <w:bottom w:val="nil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000000" w:themeColor="accent4" w:themeTint="99"/>
        <w:sz w:val="22"/>
      </w:rPr>
      <w:tblPr/>
      <w:tcPr>
        <w:tcBorders>
          <w:top w:val="nil"/>
          <w:left w:val="single" w:color="FFD865" w:themeColor="accent4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000000" w:themeColor="accent4" w:themeTint="99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000000" w:themeColor="accent4" w:themeTint="99"/>
        <w:sz w:val="22"/>
      </w:rPr>
      <w:tblPr/>
    </w:tblStylePr>
  </w:style>
  <w:style w:type="table" w:customStyle="1" w:styleId="ListTable7Colorful-Accent5">
    <w:name w:val="List Table 7 Colorful - Accent 5"/>
    <w:basedOn w:val="a6"/>
    <w:uiPriority w:val="99"/>
    <w:qFormat/>
    <w:rsid w:val="001c2cd8"/>
    <w:tblPr>
      <w:tblBorders>
        <w:right w:val="single" w:color="8DA9DB" w:themeColor="accent5" w:themeTint="9a" w:sz="4" w:space="0"/>
      </w:tblBorders>
    </w:tblPr>
    <w:tblStylePr w:type="firstRow">
      <w:rPr>
        <w:i/>
        <w:color w:val="000000" w:themeColor="accent5" w:themeTint="99"/>
        <w:sz w:val="22"/>
      </w:rPr>
      <w:tblPr/>
      <w:tcPr>
        <w:tcBorders>
          <w:top w:val="nil"/>
          <w:left w:val="nil"/>
          <w:bottom w:val="single" w:color="8DA9DB" w:themeColor="accent5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accent5" w:themeTint="99"/>
        <w:sz w:val="22"/>
      </w:rPr>
      <w:tblPr/>
      <w:tcPr>
        <w:tcBorders>
          <w:top w:val="single" w:color="8DA9DB" w:themeColor="accent5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5" w:themeTint="99"/>
        <w:sz w:val="22"/>
      </w:rPr>
      <w:tblPr/>
      <w:tcPr>
        <w:tcBorders>
          <w:top w:val="nil"/>
          <w:left w:val="nil"/>
          <w:bottom w:val="nil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000000" w:themeColor="accent5" w:themeTint="99"/>
        <w:sz w:val="22"/>
      </w:rPr>
      <w:tblPr/>
      <w:tcPr>
        <w:tcBorders>
          <w:top w:val="nil"/>
          <w:left w:val="single" w:color="8DA9DB" w:themeColor="accent5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000000" w:themeColor="accent5" w:themeTint="99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000000" w:themeColor="accent5" w:themeTint="99"/>
        <w:sz w:val="22"/>
      </w:rPr>
      <w:tblPr/>
    </w:tblStylePr>
  </w:style>
  <w:style w:type="table" w:customStyle="1" w:styleId="ListTable7Colorful-Accent6">
    <w:name w:val="List Table 7 Colorful - Accent 6"/>
    <w:basedOn w:val="a6"/>
    <w:uiPriority w:val="99"/>
    <w:qFormat/>
    <w:rsid w:val="001c2cd8"/>
    <w:tblPr>
      <w:tblBorders>
        <w:right w:val="single" w:color="A9D08E" w:themeColor="accent6" w:themeTint="98" w:sz="4" w:space="0"/>
      </w:tblBorders>
    </w:tblPr>
    <w:tblStylePr w:type="firstRow">
      <w:rPr>
        <w:i/>
        <w:color w:val="000000" w:themeColor="accent6" w:themeTint="99"/>
        <w:sz w:val="22"/>
      </w:rPr>
      <w:tblPr/>
      <w:tcPr>
        <w:tcBorders>
          <w:top w:val="nil"/>
          <w:left w:val="nil"/>
          <w:bottom w:val="single" w:color="A9D08E" w:themeColor="accent6" w:sz="4" w:space="0"/>
          <w:right w:val="nil"/>
        </w:tcBorders>
        <w:shd w:val="clear" w:color="FFFFFF" w:fill="FFFFFF" w:themeFill="light1"/>
      </w:tcPr>
    </w:tblStylePr>
    <w:tblStylePr w:type="lastRow">
      <w:rPr>
        <w:i/>
        <w:color w:val="000000" w:themeColor="accent6" w:themeTint="99"/>
        <w:sz w:val="22"/>
      </w:rPr>
      <w:tblPr/>
      <w:tcPr>
        <w:tcBorders>
          <w:top w:val="single" w:color="A9D08E" w:themeColor="accent6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00000" w:themeColor="accent6" w:themeTint="99"/>
        <w:sz w:val="22"/>
      </w:rPr>
      <w:tblPr/>
      <w:tcPr>
        <w:tcBorders>
          <w:top w:val="nil"/>
          <w:left w:val="nil"/>
          <w:bottom w:val="nil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000000" w:themeColor="accent6" w:themeTint="99"/>
        <w:sz w:val="22"/>
      </w:rPr>
      <w:tblPr/>
      <w:tcPr>
        <w:tcBorders>
          <w:top w:val="nil"/>
          <w:left w:val="single" w:color="A9D08E" w:themeColor="accent6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000000" w:themeColor="accent6" w:themeTint="99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000000" w:themeColor="accent6" w:themeTint="99"/>
        <w:sz w:val="22"/>
      </w:rPr>
      <w:tblPr/>
    </w:tblStylePr>
  </w:style>
  <w:style w:type="table" w:customStyle="1" w:styleId="Lined-Accent">
    <w:name w:val="Lined - Accent"/>
    <w:basedOn w:val="a6"/>
    <w:uiPriority w:val="99"/>
    <w:qFormat/>
    <w:rsid w:val="001c2cd8"/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6"/>
    <w:uiPriority w:val="99"/>
    <w:qFormat/>
    <w:rsid w:val="001c2cd8"/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qFormat/>
    <w:rsid w:val="001c2cd8"/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qFormat/>
    <w:rsid w:val="001c2cd8"/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qFormat/>
    <w:rsid w:val="001c2cd8"/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qFormat/>
    <w:rsid w:val="001c2cd8"/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qFormat/>
    <w:rsid w:val="001c2cd8"/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qFormat/>
    <w:rsid w:val="001c2cd8"/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6"/>
    <w:uiPriority w:val="99"/>
    <w:qFormat/>
    <w:rsid w:val="001c2cd8"/>
    <w:tblPr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qFormat/>
    <w:rsid w:val="001c2cd8"/>
    <w:tblPr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qFormat/>
    <w:rsid w:val="001c2cd8"/>
    <w:tblPr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qFormat/>
    <w:rsid w:val="001c2cd8"/>
    <w:tblPr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qFormat/>
    <w:rsid w:val="001c2cd8"/>
    <w:tblPr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qFormat/>
    <w:rsid w:val="001c2cd8"/>
    <w:tblPr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6"/>
    <w:uiPriority w:val="99"/>
    <w:qFormat/>
    <w:rsid w:val="001c2cd8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6"/>
    <w:uiPriority w:val="99"/>
    <w:qFormat/>
    <w:rsid w:val="001c2cd8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6"/>
    <w:uiPriority w:val="99"/>
    <w:qFormat/>
    <w:rsid w:val="001c2cd8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6"/>
    <w:uiPriority w:val="99"/>
    <w:qFormat/>
    <w:rsid w:val="001c2cd8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6"/>
    <w:uiPriority w:val="99"/>
    <w:qFormat/>
    <w:rsid w:val="001c2cd8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6"/>
    <w:uiPriority w:val="99"/>
    <w:qFormat/>
    <w:rsid w:val="001c2cd8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6"/>
    <w:uiPriority w:val="99"/>
    <w:qFormat/>
    <w:rsid w:val="001c2cd8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19">
    <w:name w:val="Сетка таблицы1"/>
    <w:basedOn w:val="a6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12">
    <w:name w:val="Сетка таблицы11"/>
    <w:basedOn w:val="a6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f3">
    <w:name w:val="Сетка таблицы2"/>
    <w:basedOn w:val="a6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d">
    <w:name w:val="Сетка таблицы3"/>
    <w:basedOn w:val="a6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7">
    <w:name w:val="Сетка таблицы4"/>
    <w:basedOn w:val="a6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7">
    <w:name w:val="Сетка таблицы5"/>
    <w:basedOn w:val="a6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3">
    <w:name w:val="Сетка таблицы6"/>
    <w:basedOn w:val="a6"/>
    <w:uiPriority w:val="39"/>
    <w:qFormat/>
    <w:rsid w:val="001c2cd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A01224-A5F2-4A5B-AEC1-CF96B65D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LibreOffice/25.8.7.3$Linux_X86_64 LibreOffice_project/30742500f2d3eb4366ac312fa33d3dcabdb3eba5</Application>
  <AppVersion>15.0000</AppVersion>
  <Pages>33</Pages>
  <Words>9687</Words>
  <Characters>69578</Characters>
  <CharactersWithSpaces>77903</CharactersWithSpaces>
  <Paragraphs>1313</Paragraphs>
  <Company>Rostelecom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2025-11-21T01:19:00Z</dcterms:created>
  <dc:creator>Скакун Анна Эдуардовна</dc:creator>
  <dc:description/>
  <dc:language>ru-RU</dc:language>
  <cp:lastModifiedBy/>
  <cp:lastPrinted>2025-05-19T08:48:00Z</cp:lastPrinted>
  <dcterms:modified xsi:type="dcterms:W3CDTF">2026-08-12T09:47:11Z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FD3E8F69C558444C8D61C9E2E8E9140E_13</vt:lpwstr>
  </property>
  <property fmtid="{D5CDD505-2E9C-101B-9397-08002B2CF9AE}" pid="3" name="KSOProductBuildVer">
    <vt:lpwstr>1049-12.2.0.23131</vt:lpwstr>
  </property>
</Properties>
</file>