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0"/>
        <w:shd w:val="clear" w:color="auto" w:fill="auto"/>
        <w:ind w:left="9020" w:hanging="47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Технические требования </w:t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ОКПД2 </w:t>
      </w:r>
      <w:r>
        <w:rPr>
          <w:rFonts w:eastAsia="Calibri"/>
          <w:color w:val="000000"/>
          <w:sz w:val="24"/>
          <w:szCs w:val="24"/>
          <w:highlight w:val="yellow"/>
        </w:rPr>
        <w:t>……..</w:t>
      </w:r>
      <w:r>
        <w:rPr>
          <w:rFonts w:eastAsia="Calibri"/>
          <w:color w:val="000000"/>
          <w:sz w:val="24"/>
          <w:szCs w:val="24"/>
        </w:rPr>
        <w:t xml:space="preserve"> Поставка материалов для выполнения цементационны</w:t>
      </w:r>
      <w:bookmarkStart w:id="0" w:name="_GoBack"/>
      <w:bookmarkEnd w:id="0"/>
      <w:r>
        <w:rPr>
          <w:rFonts w:eastAsia="Calibri"/>
          <w:color w:val="000000"/>
          <w:sz w:val="24"/>
          <w:szCs w:val="24"/>
        </w:rPr>
        <w:t>х работ на Каскаде Вилюйских ГЭС для нужд Саяно-Шушенского</w:t>
      </w:r>
      <w:r>
        <w:rPr>
          <w:rFonts w:eastAsia="Calibri"/>
          <w:sz w:val="24"/>
          <w:szCs w:val="24"/>
        </w:rPr>
        <w:t xml:space="preserve"> филиала АО «Гидроремонт-ВКК»</w:t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лот </w:t>
      </w:r>
      <w:r>
        <w:rPr>
          <w:rFonts w:eastAsia="Calibri"/>
          <w:color w:val="000000"/>
          <w:sz w:val="22"/>
          <w:szCs w:val="22"/>
          <w:highlight w:val="yellow"/>
        </w:rPr>
        <w:t>№…..-РЕМ</w:t>
      </w:r>
      <w:r>
        <w:rPr>
          <w:rFonts w:eastAsia="Calibri"/>
          <w:color w:val="000000"/>
          <w:sz w:val="22"/>
          <w:szCs w:val="22"/>
        </w:rPr>
        <w:t xml:space="preserve"> ДОХ-2026-ГРВКК-СШФ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0"/>
          <w:numId w:val="0"/>
        </w:numPr>
        <w:ind w:left="432" w:hanging="0"/>
        <w:rPr>
          <w:lang w:val="ru-RU"/>
        </w:rPr>
      </w:pPr>
      <w:r>
        <w:rPr>
          <w:lang w:val="ru-RU"/>
        </w:rPr>
        <w:t xml:space="preserve">                                                        </w:t>
      </w:r>
      <w:r>
        <w:rPr>
          <w:lang w:val="ru-RU"/>
        </w:rPr>
        <w:t>1. Общие сведения</w:t>
      </w:r>
    </w:p>
    <w:p>
      <w:pPr>
        <w:pStyle w:val="Heading4"/>
        <w:numPr>
          <w:ilvl w:val="1"/>
          <w:numId w:val="7"/>
        </w:numPr>
        <w:rPr>
          <w:lang w:val="ru-RU"/>
        </w:rPr>
      </w:pPr>
      <w:bookmarkStart w:id="1" w:name="_Toc75446568"/>
      <w:bookmarkStart w:id="2" w:name="_Toc46743506"/>
      <w:r>
        <w:rPr>
          <w:lang w:val="ru-RU"/>
        </w:rPr>
        <w:t>Наименование закупаемой продукции</w:t>
      </w:r>
      <w:bookmarkEnd w:id="1"/>
      <w:bookmarkEnd w:id="2"/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«ОКПД2</w:t>
      </w:r>
      <w:r>
        <w:rPr>
          <w:rFonts w:eastAsia="Calibri"/>
          <w:color w:val="000000"/>
          <w:sz w:val="24"/>
          <w:szCs w:val="24"/>
          <w:highlight w:val="yellow"/>
        </w:rPr>
        <w:t>…….</w:t>
      </w:r>
      <w:r>
        <w:rPr>
          <w:rFonts w:eastAsia="Calibri"/>
          <w:color w:val="000000"/>
          <w:sz w:val="24"/>
          <w:szCs w:val="24"/>
        </w:rPr>
        <w:t xml:space="preserve"> Поставка материалов для выполнения цементационных работ на Каскаде Вилюйских ГЭС для нужд Саяно-Шушенского филиала АО «Гидроремонт-ВКК»</w:t>
      </w:r>
      <w:r>
        <w:rPr>
          <w:rFonts w:eastAsia="Calibri"/>
          <w:color w:val="000000"/>
          <w:sz w:val="24"/>
          <w:szCs w:val="24"/>
          <w:lang w:eastAsia="x-none"/>
        </w:rPr>
        <w:t xml:space="preserve"> </w:t>
      </w:r>
      <w:r>
        <w:rPr>
          <w:rFonts w:eastAsia="Calibri"/>
          <w:sz w:val="24"/>
          <w:szCs w:val="24"/>
          <w:lang w:eastAsia="x-none"/>
        </w:rPr>
        <w:t>(далее – продукция)</w:t>
      </w:r>
    </w:p>
    <w:p>
      <w:pPr>
        <w:pStyle w:val="Heading4"/>
        <w:numPr>
          <w:ilvl w:val="1"/>
          <w:numId w:val="7"/>
        </w:numPr>
        <w:spacing w:before="240" w:after="60"/>
        <w:rPr>
          <w:lang w:val="ru-RU"/>
        </w:rPr>
      </w:pPr>
      <w:bookmarkStart w:id="3" w:name="_Toc75446569"/>
      <w:bookmarkStart w:id="4" w:name="_Toc46743507"/>
      <w:r>
        <w:rPr>
          <w:lang w:val="ru-RU"/>
        </w:rPr>
        <w:t xml:space="preserve">Цель </w:t>
      </w:r>
      <w:bookmarkEnd w:id="4"/>
      <w:r>
        <w:rPr>
          <w:lang w:val="ru-RU"/>
        </w:rPr>
        <w:t xml:space="preserve">использования закупаемой продукции </w:t>
      </w:r>
      <w:bookmarkEnd w:id="3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Продукция предназначена для устройства цементационных скважин при исполнении договора подряда </w:t>
      </w:r>
      <w:r>
        <w:rPr>
          <w:sz w:val="24"/>
          <w:szCs w:val="24"/>
          <w:lang w:eastAsia="x-none"/>
        </w:rPr>
        <w:t>№6501-СШФ/под-26 от 23.07.2026г «Капитальный ремонт гидроагрегатов ст. №3 и ст. №6 Каскада Вилюйских ГЭС».</w:t>
      </w:r>
    </w:p>
    <w:p>
      <w:pPr>
        <w:pStyle w:val="Normal"/>
        <w:jc w:val="both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bookmarkStart w:id="5" w:name="_Toc51339693"/>
      <w:bookmarkStart w:id="6" w:name="_Toc75446573"/>
      <w:r>
        <w:rPr>
          <w:b/>
          <w:bCs/>
          <w:sz w:val="24"/>
          <w:szCs w:val="24"/>
        </w:rPr>
        <w:t>2. Требования к продукции</w:t>
      </w:r>
      <w:bookmarkEnd w:id="5"/>
      <w:bookmarkEnd w:id="6"/>
    </w:p>
    <w:p>
      <w:pPr>
        <w:pStyle w:val="Heading4"/>
        <w:numPr>
          <w:ilvl w:val="0"/>
          <w:numId w:val="0"/>
        </w:numPr>
        <w:ind w:left="432" w:hanging="0"/>
        <w:rPr>
          <w:lang w:val="ru-RU"/>
        </w:rPr>
      </w:pPr>
      <w:bookmarkStart w:id="7" w:name="_Toc75446574"/>
      <w:r>
        <w:rPr>
          <w:lang w:val="ru-RU"/>
        </w:rPr>
        <w:t>2.1. Требования к объемам и срокам поставки</w:t>
      </w:r>
      <w:bookmarkEnd w:id="7"/>
    </w:p>
    <w:p>
      <w:pPr>
        <w:pStyle w:val="Heading3"/>
        <w:rPr>
          <w:lang w:val="ru-RU"/>
        </w:rPr>
      </w:pPr>
      <w:bookmarkStart w:id="8" w:name="_Toc75446575"/>
      <w:r>
        <w:rPr>
          <w:lang w:val="ru-RU"/>
        </w:rPr>
        <w:t>2.1.1. Перечень и объем закупаемой продукции</w:t>
      </w:r>
      <w:bookmarkEnd w:id="8"/>
    </w:p>
    <w:p>
      <w:pPr>
        <w:pStyle w:val="Heading1"/>
        <w:keepLines/>
        <w:spacing w:before="240" w:after="60"/>
        <w:ind w:left="0" w:hanging="0"/>
        <w:rPr>
          <w:sz w:val="24"/>
          <w:szCs w:val="24"/>
          <w:lang w:val="ru-RU"/>
        </w:rPr>
      </w:pPr>
      <w:bookmarkStart w:id="9" w:name="_Toc75446576"/>
      <w:bookmarkStart w:id="10" w:name="_Toc51339695"/>
      <w:r>
        <w:rPr>
          <w:b w:val="false"/>
          <w:sz w:val="24"/>
          <w:szCs w:val="24"/>
          <w:lang w:val="ru-RU"/>
        </w:rPr>
        <w:t xml:space="preserve">Таблица 2.1 Перечень </w:t>
      </w:r>
      <w:bookmarkEnd w:id="10"/>
      <w:r>
        <w:rPr>
          <w:b w:val="false"/>
          <w:sz w:val="24"/>
          <w:szCs w:val="24"/>
          <w:lang w:val="ru-RU"/>
        </w:rPr>
        <w:t>и объем закупаемой продукции</w:t>
      </w:r>
      <w:bookmarkEnd w:id="9"/>
    </w:p>
    <w:tbl>
      <w:tblPr>
        <w:tblW w:w="99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91"/>
        <w:gridCol w:w="6289"/>
        <w:gridCol w:w="1323"/>
        <w:gridCol w:w="1548"/>
      </w:tblGrid>
      <w:tr>
        <w:trPr/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03" w:hRule="atLeas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jc w:val="center"/>
              <w:rPr/>
            </w:pPr>
            <w:r>
              <w:rPr/>
            </w:r>
          </w:p>
        </w:tc>
        <w:tc>
          <w:tcPr>
            <w:tcW w:w="6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x-none"/>
              </w:rPr>
              <w:t>Портландцемент ЦЕМ I 42,5Н</w:t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тн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1630</w:t>
            </w:r>
          </w:p>
        </w:tc>
      </w:tr>
      <w:tr>
        <w:trPr>
          <w:trHeight w:val="566" w:hRule="atLeas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jc w:val="center"/>
              <w:rPr/>
            </w:pPr>
            <w:r>
              <w:rPr/>
            </w:r>
          </w:p>
        </w:tc>
        <w:tc>
          <w:tcPr>
            <w:tcW w:w="6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Бентонит глинопорошок ПБМВ</w:t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тн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>
        <w:trPr>
          <w:trHeight w:val="560" w:hRule="atLeas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jc w:val="center"/>
              <w:rPr/>
            </w:pPr>
            <w:r>
              <w:rPr/>
            </w:r>
          </w:p>
        </w:tc>
        <w:tc>
          <w:tcPr>
            <w:tcW w:w="6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Пластифицирующая химическая добавка ЛСТП</w:t>
            </w: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</w:t>
            </w:r>
          </w:p>
        </w:tc>
      </w:tr>
    </w:tbl>
    <w:p>
      <w:pPr>
        <w:pStyle w:val="Heading3"/>
        <w:ind w:left="720" w:hanging="0"/>
        <w:rPr>
          <w:lang w:val="ru-RU"/>
        </w:rPr>
      </w:pPr>
      <w:r>
        <w:rPr>
          <w:lang w:val="ru-RU"/>
        </w:rPr>
        <w:t>2.1.2. Требования к срокам поставки продукции</w:t>
      </w:r>
    </w:p>
    <w:p>
      <w:pPr>
        <w:pStyle w:val="Heading1"/>
        <w:keepLines/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75446579"/>
      <w:bookmarkStart w:id="12" w:name="_Toc50125127"/>
      <w:bookmarkStart w:id="13" w:name="_Toc51339697"/>
      <w:bookmarkStart w:id="14" w:name="_Toc50125126"/>
      <w:bookmarkEnd w:id="14"/>
      <w:r>
        <w:rPr>
          <w:sz w:val="24"/>
          <w:szCs w:val="24"/>
          <w:lang w:val="ru-RU"/>
        </w:rPr>
        <w:t>Продукция поставляется по заявкам, в соответствии со сроками Таблицы 2.2</w:t>
      </w:r>
    </w:p>
    <w:p>
      <w:pPr>
        <w:pStyle w:val="Heading1"/>
        <w:keepLines/>
        <w:spacing w:before="240" w:after="60"/>
        <w:ind w:left="0" w:hanging="0"/>
        <w:rPr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  <w:t xml:space="preserve">Таблица 2.2 </w:t>
      </w:r>
      <w:bookmarkStart w:id="15" w:name="_Hlk50465284"/>
      <w:r>
        <w:rPr>
          <w:b w:val="false"/>
          <w:sz w:val="24"/>
          <w:szCs w:val="24"/>
          <w:lang w:val="ru-RU"/>
        </w:rPr>
        <w:t xml:space="preserve">Требования по срокам </w:t>
      </w:r>
      <w:bookmarkEnd w:id="12"/>
      <w:bookmarkEnd w:id="13"/>
      <w:bookmarkEnd w:id="15"/>
      <w:r>
        <w:rPr>
          <w:b w:val="false"/>
          <w:sz w:val="24"/>
          <w:szCs w:val="24"/>
          <w:lang w:val="ru-RU"/>
        </w:rPr>
        <w:t>поставки продукции</w:t>
      </w:r>
      <w:bookmarkEnd w:id="11"/>
      <w:r>
        <w:rPr>
          <w:b w:val="false"/>
          <w:sz w:val="24"/>
          <w:szCs w:val="24"/>
          <w:lang w:val="ru-RU"/>
        </w:rPr>
        <w:t xml:space="preserve"> </w:t>
      </w:r>
    </w:p>
    <w:tbl>
      <w:tblPr>
        <w:tblW w:w="103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7"/>
        <w:gridCol w:w="4394"/>
        <w:gridCol w:w="2410"/>
        <w:gridCol w:w="2550"/>
      </w:tblGrid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заявки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423" w:hRule="atLeast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360" w:hanging="0"/>
              <w:rPr/>
            </w:pPr>
            <w:r>
              <w:rPr/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Портландцемент ЦЕМ I 42,5Н – </w:t>
            </w:r>
            <w:r>
              <w:rPr>
                <w:b/>
                <w:sz w:val="24"/>
                <w:szCs w:val="24"/>
              </w:rPr>
              <w:t>815 тн.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01.09.2026 г.</w:t>
            </w:r>
          </w:p>
        </w:tc>
      </w:tr>
      <w:tr>
        <w:trPr>
          <w:trHeight w:val="70" w:hRule="atLeast"/>
        </w:trPr>
        <w:tc>
          <w:tcPr>
            <w:tcW w:w="98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Бентонит глинопорошок ПБМВ – </w:t>
            </w:r>
            <w:r>
              <w:rPr>
                <w:b/>
                <w:sz w:val="24"/>
                <w:szCs w:val="24"/>
              </w:rPr>
              <w:t>40 тн.</w:t>
            </w:r>
          </w:p>
        </w:tc>
        <w:tc>
          <w:tcPr>
            <w:tcW w:w="24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4" w:hRule="atLeast"/>
        </w:trPr>
        <w:tc>
          <w:tcPr>
            <w:tcW w:w="9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Пластифицирующая химическая добавка ЛСТП – </w:t>
            </w:r>
            <w:r>
              <w:rPr>
                <w:b/>
                <w:sz w:val="24"/>
                <w:szCs w:val="24"/>
              </w:rPr>
              <w:t>1150 кг.</w:t>
            </w:r>
          </w:p>
        </w:tc>
        <w:tc>
          <w:tcPr>
            <w:tcW w:w="24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5" w:hRule="atLeast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360" w:hanging="0"/>
              <w:rPr/>
            </w:pPr>
            <w:r>
              <w:rPr/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Портландцемент ЦЕМ I 42,5Н – </w:t>
            </w:r>
            <w:r>
              <w:rPr>
                <w:b/>
                <w:sz w:val="24"/>
                <w:szCs w:val="24"/>
              </w:rPr>
              <w:t>815 тн.</w:t>
            </w:r>
          </w:p>
        </w:tc>
        <w:tc>
          <w:tcPr>
            <w:tcW w:w="24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01.04.2027 г.</w:t>
            </w:r>
          </w:p>
        </w:tc>
      </w:tr>
      <w:tr>
        <w:trPr>
          <w:trHeight w:val="70" w:hRule="atLeast"/>
        </w:trPr>
        <w:tc>
          <w:tcPr>
            <w:tcW w:w="98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Бентонит глинопорошок ПБМВ – </w:t>
            </w:r>
            <w:r>
              <w:rPr>
                <w:b/>
                <w:sz w:val="24"/>
                <w:szCs w:val="24"/>
              </w:rPr>
              <w:t>40 тн.</w:t>
            </w:r>
          </w:p>
        </w:tc>
        <w:tc>
          <w:tcPr>
            <w:tcW w:w="24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255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5" w:hRule="atLeast"/>
        </w:trPr>
        <w:tc>
          <w:tcPr>
            <w:tcW w:w="9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Пластифицирующая химическая добавка ЛСТП – </w:t>
            </w:r>
            <w:r>
              <w:rPr>
                <w:b/>
                <w:sz w:val="24"/>
                <w:szCs w:val="24"/>
              </w:rPr>
              <w:t>1150 кг.</w:t>
            </w:r>
          </w:p>
        </w:tc>
        <w:tc>
          <w:tcPr>
            <w:tcW w:w="24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2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0"/>
          <w:numId w:val="0"/>
        </w:numPr>
        <w:ind w:left="425" w:hanging="0"/>
        <w:rPr>
          <w:lang w:val="ru-RU"/>
        </w:rPr>
      </w:pPr>
      <w:r>
        <w:rPr>
          <w:lang w:val="ru-RU"/>
        </w:rPr>
        <w:t>2.3 Требования к качеству продукции</w:t>
      </w:r>
    </w:p>
    <w:p>
      <w:pPr>
        <w:pStyle w:val="Heading1"/>
        <w:keepLines/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bookmarkStart w:id="16" w:name="_Toc75446582"/>
      <w:r>
        <w:rPr>
          <w:b w:val="false"/>
          <w:sz w:val="24"/>
          <w:szCs w:val="24"/>
          <w:lang w:val="ru-RU"/>
        </w:rPr>
        <w:t>Таблица 2.3. Требования к продукции</w:t>
      </w:r>
      <w:bookmarkEnd w:id="16"/>
      <w:r>
        <w:rPr>
          <w:b w:val="false"/>
          <w:sz w:val="24"/>
          <w:szCs w:val="24"/>
          <w:lang w:val="ru-RU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Наименование продукции: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 xml:space="preserve">«ОКПД2 </w:t>
      </w:r>
      <w:r>
        <w:rPr>
          <w:rFonts w:eastAsia="Calibri"/>
          <w:color w:val="000000"/>
          <w:sz w:val="24"/>
          <w:szCs w:val="24"/>
          <w:highlight w:val="yellow"/>
        </w:rPr>
        <w:t>……..</w:t>
      </w:r>
      <w:r>
        <w:rPr>
          <w:rFonts w:eastAsia="Calibri"/>
          <w:color w:val="000000"/>
          <w:sz w:val="24"/>
          <w:szCs w:val="24"/>
        </w:rPr>
        <w:t xml:space="preserve"> Поставка материалов для выполнения цементационных работ на Каскаде Вилюйских ГЭС для нужд Саяно-Шушенского филиала АО «Гидроремонт-ВКК</w:t>
      </w:r>
    </w:p>
    <w:tbl>
      <w:tblPr>
        <w:tblStyle w:val="affff8"/>
        <w:tblW w:w="15135" w:type="dxa"/>
        <w:jc w:val="left"/>
        <w:tblInd w:w="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9"/>
        <w:gridCol w:w="3587"/>
        <w:gridCol w:w="3685"/>
        <w:gridCol w:w="2434"/>
        <w:gridCol w:w="2432"/>
        <w:gridCol w:w="2217"/>
      </w:tblGrid>
      <w:tr>
        <w:trPr/>
        <w:tc>
          <w:tcPr>
            <w:tcW w:w="77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5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368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434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6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779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34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32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77" w:hRule="atLeast"/>
        </w:trPr>
        <w:tc>
          <w:tcPr>
            <w:tcW w:w="7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5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4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432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2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14355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707" w:hRule="atLeast"/>
        </w:trPr>
        <w:tc>
          <w:tcPr>
            <w:tcW w:w="779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3587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Портландцемент ЦЕМ I 42,5Н</w:t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Марка прочности (российский стандарт):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М500</w:t>
            </w:r>
          </w:p>
        </w:tc>
        <w:tc>
          <w:tcPr>
            <w:tcW w:w="2432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217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702" w:hRule="atLeast"/>
        </w:trPr>
        <w:tc>
          <w:tcPr>
            <w:tcW w:w="779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Прочность на сжатие (28 суток)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42,5 МПа</w:t>
            </w:r>
          </w:p>
        </w:tc>
        <w:tc>
          <w:tcPr>
            <w:tcW w:w="2432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95" w:hRule="atLeast"/>
        </w:trPr>
        <w:tc>
          <w:tcPr>
            <w:tcW w:w="779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Тонкость помола (удельная поверхность)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Около 340 ± 40 м²/кг</w:t>
            </w:r>
          </w:p>
        </w:tc>
        <w:tc>
          <w:tcPr>
            <w:tcW w:w="2432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95" w:hRule="atLeast"/>
        </w:trPr>
        <w:tc>
          <w:tcPr>
            <w:tcW w:w="779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Нормальная густота цементного теста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24,5–26,5%</w:t>
            </w:r>
          </w:p>
        </w:tc>
        <w:tc>
          <w:tcPr>
            <w:tcW w:w="2432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91" w:hRule="atLeast"/>
        </w:trPr>
        <w:tc>
          <w:tcPr>
            <w:tcW w:w="779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Содержание оксида серы (VI) (SO₃)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2,50 ± 0,40%</w:t>
            </w:r>
          </w:p>
        </w:tc>
        <w:tc>
          <w:tcPr>
            <w:tcW w:w="2432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99" w:hRule="atLeast"/>
        </w:trPr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Клинкер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98%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37" w:hRule="atLeast"/>
        </w:trPr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Гипс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2%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28" w:hRule="atLeast"/>
        </w:trPr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Прочие добавки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0%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715" w:hRule="atLeast"/>
        </w:trPr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ГОСТ 31108-2020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583" w:hRule="atLeast"/>
        </w:trPr>
        <w:tc>
          <w:tcPr>
            <w:tcW w:w="77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</w:t>
            </w:r>
          </w:p>
        </w:tc>
        <w:tc>
          <w:tcPr>
            <w:tcW w:w="35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Бентонит глинопорошок ПБМВ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Выход глинистого раствора с вязкостью 20 мПа·с</w:t>
            </w:r>
          </w:p>
        </w:tc>
        <w:tc>
          <w:tcPr>
            <w:tcW w:w="24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14,5–15,5 м³/т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30" w:hRule="atLeast"/>
        </w:trPr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Массовая доля влаги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8–10 %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30" w:hRule="atLeast"/>
        </w:trPr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Содержание свободной соды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2,0–2,5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г/100 г глинопорошка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30" w:hRule="atLeast"/>
        </w:trPr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Показатель фильтрации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17–18 см³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80" w:hRule="atLeast"/>
        </w:trPr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ТУ 2164-006-41219638¬8-2005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44" w:hRule="atLeast"/>
        </w:trPr>
        <w:tc>
          <w:tcPr>
            <w:tcW w:w="779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</w:t>
            </w:r>
          </w:p>
        </w:tc>
        <w:tc>
          <w:tcPr>
            <w:tcW w:w="3587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Пластифицирующая химическая добавка ЛСТП</w:t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Внешний вид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мучнистый порошок от светло-желтого до коричневого цвета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44" w:hRule="atLeast"/>
        </w:trPr>
        <w:tc>
          <w:tcPr>
            <w:tcW w:w="779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Массовая доля сухих веществ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92%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44" w:hRule="atLeast"/>
        </w:trPr>
        <w:tc>
          <w:tcPr>
            <w:tcW w:w="779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Массовая доля основного вещества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58%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44" w:hRule="atLeast"/>
        </w:trPr>
        <w:tc>
          <w:tcPr>
            <w:tcW w:w="779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Массовая доля золы к массе сухих веществ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более 25%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44" w:hRule="atLeast"/>
        </w:trPr>
        <w:tc>
          <w:tcPr>
            <w:tcW w:w="779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Предел прочности при растяжении высушенных образцов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0,60 МПа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44" w:hRule="atLeast"/>
        </w:trPr>
        <w:tc>
          <w:tcPr>
            <w:tcW w:w="779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Температура разложения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Свыше 180 °C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409" w:hRule="atLeast"/>
        </w:trPr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</w:t>
            </w:r>
          </w:p>
        </w:tc>
        <w:tc>
          <w:tcPr>
            <w:tcW w:w="24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ТУ 2455-028-00279580¬2014</w:t>
            </w:r>
          </w:p>
        </w:tc>
        <w:tc>
          <w:tcPr>
            <w:tcW w:w="243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1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4355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586" w:hRule="atLeast"/>
        </w:trPr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358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1076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Российская Федерация, Республика Саха (Якутия), п.г.т. Чернышевский, Каскад Вилюйских ГЭС им. Е.Н. Батенчука</w:t>
            </w:r>
          </w:p>
        </w:tc>
      </w:tr>
      <w:tr>
        <w:trPr/>
        <w:tc>
          <w:tcPr>
            <w:tcW w:w="7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2.2</w:t>
            </w:r>
          </w:p>
        </w:tc>
        <w:tc>
          <w:tcPr>
            <w:tcW w:w="35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продукции</w:t>
            </w:r>
          </w:p>
        </w:tc>
        <w:tc>
          <w:tcPr>
            <w:tcW w:w="1076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9-00 до 11-00 и с 13-00 до 16-00.</w:t>
            </w:r>
          </w:p>
        </w:tc>
      </w:tr>
      <w:tr>
        <w:trPr>
          <w:trHeight w:val="748" w:hRule="atLeast"/>
        </w:trPr>
        <w:tc>
          <w:tcPr>
            <w:tcW w:w="7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35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</w:t>
            </w:r>
          </w:p>
        </w:tc>
        <w:tc>
          <w:tcPr>
            <w:tcW w:w="1076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поставка Продукции, предоставляется Поставщиком не позднее предыдущего рабочего дня до прибытия транспорта.</w:t>
            </w:r>
          </w:p>
        </w:tc>
      </w:tr>
      <w:tr>
        <w:trPr/>
        <w:tc>
          <w:tcPr>
            <w:tcW w:w="7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14355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</w:t>
            </w:r>
          </w:p>
        </w:tc>
        <w:tc>
          <w:tcPr>
            <w:tcW w:w="358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Сроки гарантии</w:t>
            </w:r>
          </w:p>
        </w:tc>
        <w:tc>
          <w:tcPr>
            <w:tcW w:w="1076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(двенадцати) месяцев,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14355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</w:t>
            </w:r>
          </w:p>
        </w:tc>
        <w:tc>
          <w:tcPr>
            <w:tcW w:w="358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продукцией</w:t>
            </w:r>
          </w:p>
        </w:tc>
        <w:tc>
          <w:tcPr>
            <w:tcW w:w="10768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ней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Сертификат качества в 1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Технический паспорт на русском языке в 1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Инструкция по эксплуатации (монтажу и т.п.) на русском языке в 1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Упаковочный лист на Продукцию (каждую партию отгруженной Продукции) в 1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Сертификат о происхождении Продукции в 1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т.п.) в зависимости от номенклатуры поставляемой Продукции;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Обязательные первичные документы: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1 экз. или Транспортную накладную ((для учета товарно-материальных ценностей и расчетов за их перевозки) по форме согласно Приложению 4 к Правилам перевозки грузов автомобильным транспортом (в ред. Постановления Правительства РФ от 21.12.2020 № 2200);</w:t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355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14355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не бывшей в употреблении, не должна быть восстановленной, не позднее 2026 года выпуска.</w:t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5.2</w:t>
            </w:r>
          </w:p>
        </w:tc>
        <w:tc>
          <w:tcPr>
            <w:tcW w:w="14355" w:type="dxa"/>
            <w:gridSpan w:val="5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соответствовать обязательным требованиям, установленным нормативными документами, действующими в РФ.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 Поставщик обязан согласовывать это с Покупателем.</w:t>
            </w:r>
          </w:p>
        </w:tc>
      </w:tr>
    </w:tbl>
    <w:p>
      <w:pPr>
        <w:pStyle w:val="Heading1"/>
        <w:spacing w:before="120" w:after="60"/>
        <w:ind w:left="0" w:right="114" w:hanging="0"/>
        <w:rPr>
          <w:sz w:val="24"/>
          <w:szCs w:val="24"/>
          <w:lang w:val="ru-RU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709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85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5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0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15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d4b0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spacing w:before="120" w:after="60"/>
      <w:ind w:left="737" w:hanging="34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ind w:left="737" w:hanging="34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Основной текст_"/>
    <w:basedOn w:val="DefaultParagraphFont"/>
    <w:link w:val="110"/>
    <w:uiPriority w:val="99"/>
    <w:qFormat/>
    <w:locked/>
    <w:rsid w:val="00480c65"/>
    <w:rPr>
      <w:sz w:val="28"/>
      <w:szCs w:val="28"/>
      <w:shd w:fill="FFFFFF" w:val="clear"/>
    </w:rPr>
  </w:style>
  <w:style w:type="character" w:styleId="Style15" w:customStyle="1">
    <w:name w:val="Основной текст + Малые прописные"/>
    <w:basedOn w:val="Style14"/>
    <w:uiPriority w:val="99"/>
    <w:qFormat/>
    <w:rsid w:val="00480c65"/>
    <w:rPr>
      <w:rFonts w:ascii="Times New Roman" w:hAnsi="Times New Roman" w:cs="Times New Roman"/>
      <w:smallCaps/>
      <w:strike w:val="false"/>
      <w:dstrike w:val="false"/>
      <w:color w:val="000000"/>
      <w:spacing w:val="0"/>
      <w:w w:val="100"/>
      <w:sz w:val="28"/>
      <w:szCs w:val="28"/>
      <w:u w:val="none"/>
      <w:effect w:val="none"/>
      <w:shd w:fill="FFFFFF" w:val="clear"/>
      <w:lang w:val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5928d1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10" w:customStyle="1">
    <w:name w:val="Основной текст1"/>
    <w:basedOn w:val="Normal"/>
    <w:link w:val="Style14"/>
    <w:uiPriority w:val="99"/>
    <w:qFormat/>
    <w:rsid w:val="00480c65"/>
    <w:pPr>
      <w:widowControl w:val="false"/>
      <w:shd w:val="clear" w:color="auto" w:fill="FFFFFF"/>
      <w:spacing w:lineRule="exact" w:line="302"/>
    </w:pPr>
    <w:rPr/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2964F-8077-426F-B07A-9C1BD1BE9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6360</TotalTime>
  <Application>AlterOffice/2025.3.1.0$Linux_X86_64 LibreOffice_project/431cd1b79110582f53535c95ed0a2449aadc8bf9</Application>
  <AppVersion>15.0000</AppVersion>
  <Pages>16</Pages>
  <Words>846</Words>
  <Characters>5631</Characters>
  <CharactersWithSpaces>6367</CharactersWithSpaces>
  <Paragraphs>164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Мигунов</dc:creator>
  <dc:description/>
  <dc:language>ru-RU</dc:language>
  <cp:lastModifiedBy>Цыганков Олег Сергеевич</cp:lastModifiedBy>
  <cp:lastPrinted>2024-11-07T07:04:00Z</cp:lastPrinted>
  <dcterms:modified xsi:type="dcterms:W3CDTF">2026-08-11T14:53:00Z</dcterms:modified>
  <cp:revision>438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