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outlineLvl w:val="0"/>
        <w:rPr>
          <w:sz w:val="24"/>
        </w:rPr>
      </w:pPr>
      <w:r>
        <w:rPr>
          <w:sz w:val="24"/>
        </w:rPr>
        <w:t>Договор поставки № _______</w:t>
      </w:r>
    </w:p>
    <w:p>
      <w:pPr>
        <w:pStyle w:val="Normal"/>
        <w:spacing w:before="0" w:after="120"/>
        <w:rPr>
          <w:sz w:val="24"/>
          <w:szCs w:val="24"/>
        </w:rPr>
      </w:pPr>
      <w:r>
        <w:rPr>
          <w:sz w:val="24"/>
          <w:szCs w:val="24"/>
        </w:rPr>
        <w:t>г._______________</w:t>
        <w:tab/>
        <w:tab/>
        <w:tab/>
        <w:tab/>
        <w:tab/>
        <w:tab/>
        <w:t xml:space="preserve"> </w:t>
        <w:tab/>
        <w:t>«___»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w:t>
      </w:r>
      <w:r>
        <w:rPr>
          <w:rStyle w:val="FootnoteReference"/>
          <w:sz w:val="24"/>
          <w:szCs w:val="24"/>
        </w:rPr>
        <w:footnoteReference w:id="2"/>
      </w:r>
      <w:r>
        <w:rPr>
          <w:sz w:val="24"/>
          <w:szCs w:val="24"/>
        </w:rPr>
        <w:t xml:space="preserve">, действующего на основании ______________, с одной стороны, и </w:t>
      </w: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в лице</w:t>
      </w:r>
      <w:r>
        <w:rPr>
          <w:color w:val="FF0000"/>
          <w:sz w:val="24"/>
          <w:szCs w:val="24"/>
        </w:rPr>
        <w:t xml:space="preserve">                          </w:t>
      </w:r>
      <w:r>
        <w:rPr>
          <w:sz w:val="24"/>
          <w:szCs w:val="24"/>
        </w:rPr>
        <w:t xml:space="preserve">, действующего на основании Устава,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sz w:val="24"/>
          <w:szCs w:val="24"/>
        </w:rPr>
        <w:t xml:space="preserve">по результатам проведенного аукциона в электронной форме на право заключения договора ОКПД2 42.99.19.140 поставка ограждения (лот № </w:t>
      </w:r>
      <w:r>
        <w:rPr>
          <w:i/>
          <w:sz w:val="24"/>
          <w:szCs w:val="24"/>
        </w:rPr>
        <w:t>1023-ТПиР БЕЗОП ДОХ-2024-ГРВКК-КубФ</w:t>
      </w:r>
      <w:r>
        <w:rPr>
          <w:sz w:val="24"/>
          <w:szCs w:val="24"/>
        </w:rPr>
        <w:t xml:space="preserve">), что подтверждается ____________________________________________,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 xml:space="preserve">Поставщик обязуется передать Покупателю </w:t>
      </w:r>
      <w:r>
        <w:rPr>
          <w:sz w:val="24"/>
        </w:rPr>
        <w:t>ограждения</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и техническими требованиями (</w:t>
      </w:r>
      <w:r>
        <w:rPr>
          <w:sz w:val="24"/>
        </w:rPr>
        <w:t>Приложение № 3</w:t>
      </w:r>
      <w:r>
        <w:rPr>
          <w:b w:val="false"/>
          <w:sz w:val="24"/>
        </w:rPr>
        <w:t xml:space="preserve">), а Покупатель обязуется принять и оплатить Продукцию в установленном Договором порядке. </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rPr>
        <w:t>Приложения № 2</w:t>
      </w:r>
      <w:r>
        <w:rPr>
          <w:sz w:val="24"/>
          <w:szCs w:val="24"/>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rPr>
        <w:t>Приложение № 1</w:t>
      </w:r>
      <w:r>
        <w:rPr>
          <w:sz w:val="24"/>
          <w:szCs w:val="24"/>
        </w:rPr>
        <w:t>).</w:t>
      </w:r>
    </w:p>
    <w:p>
      <w:pPr>
        <w:pStyle w:val="Normal"/>
        <w:shd w:val="clear" w:color="auto" w:fill="FFFFFF"/>
        <w:tabs>
          <w:tab w:val="clear" w:pos="720"/>
          <w:tab w:val="left" w:pos="540" w:leader="none"/>
        </w:tabs>
        <w:spacing w:before="0" w:after="120"/>
        <w:jc w:val="both"/>
        <w:rPr>
          <w:sz w:val="24"/>
          <w:szCs w:val="24"/>
        </w:rPr>
      </w:pPr>
      <w:r>
        <w:rPr>
          <w:sz w:val="24"/>
          <w:szCs w:val="24"/>
        </w:rPr>
        <w:tab/>
        <w:t xml:space="preserve">Заявка на соответствующую партию Продукцию направляется по факсу/электронной почте/нарочно Поставщику в срок не менее 45 календарных дней до даты поставки. После получения Заявки Поставщик обязан подписать её и направить Покупателю по факсу/электронной почте/нарочно в срок, не превышающий 3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Normal"/>
        <w:shd w:val="clear" w:color="auto" w:fill="FFFFFF"/>
        <w:tabs>
          <w:tab w:val="clear" w:pos="720"/>
          <w:tab w:val="left" w:pos="540" w:leader="none"/>
        </w:tabs>
        <w:spacing w:before="120" w:after="0"/>
        <w:jc w:val="both"/>
        <w:rPr>
          <w:sz w:val="24"/>
          <w:szCs w:val="24"/>
        </w:rPr>
      </w:pPr>
      <w:r>
        <w:rPr>
          <w:sz w:val="24"/>
          <w:szCs w:val="24"/>
        </w:rPr>
        <w:tab/>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Кубанского филиала АО «Гидроремонт-ВКК» в г.Невинномысск.</w:t>
      </w:r>
    </w:p>
    <w:p>
      <w:pPr>
        <w:pStyle w:val="ListParagraph"/>
        <w:numPr>
          <w:ilvl w:val="1"/>
          <w:numId w:val="6"/>
        </w:numPr>
        <w:shd w:val="clear" w:color="auto" w:fill="FFFFFF"/>
        <w:tabs>
          <w:tab w:val="clear" w:pos="720"/>
          <w:tab w:val="left" w:pos="540" w:leader="none"/>
          <w:tab w:val="left" w:pos="567" w:leader="none"/>
        </w:tabs>
        <w:spacing w:before="0" w:after="120"/>
        <w:ind w:left="0" w:firstLine="567"/>
        <w:contextualSpacing w:val="false"/>
        <w:jc w:val="both"/>
        <w:rPr>
          <w:sz w:val="24"/>
          <w:szCs w:val="24"/>
        </w:rPr>
      </w:pPr>
      <w:r>
        <w:rPr>
          <w:sz w:val="24"/>
          <w:szCs w:val="24"/>
        </w:rPr>
        <w:t>Место поставки: РФ, Ставропольский край, Кочубеевский р-н, с. Кочубеевское, АВТОДОРОГА «КАВКАЗ» 246КМ+1200М (СПРАВА) (далее – «Место поставки»).</w:t>
      </w:r>
    </w:p>
    <w:p>
      <w:pPr>
        <w:pStyle w:val="ListParagraph"/>
        <w:numPr>
          <w:ilvl w:val="1"/>
          <w:numId w:val="6"/>
        </w:numPr>
        <w:shd w:val="clear" w:color="auto" w:fill="FFFFFF"/>
        <w:tabs>
          <w:tab w:val="clear" w:pos="720"/>
          <w:tab w:val="left" w:pos="540" w:leader="none"/>
        </w:tabs>
        <w:spacing w:before="0" w:after="120"/>
        <w:ind w:left="0" w:firstLine="567"/>
        <w:contextualSpacing w:val="false"/>
        <w:jc w:val="both"/>
        <w:rPr>
          <w:sz w:val="24"/>
          <w:szCs w:val="24"/>
        </w:rPr>
      </w:pPr>
      <w:r>
        <w:rPr>
          <w:sz w:val="24"/>
          <w:szCs w:val="24"/>
        </w:rPr>
        <w:t>Конечный срок поставки Продукции по договору: Не позднее 120 календарных дней с даты подписания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Общая стоимость Продукции (далее – «Цена Договора») по Договору является твердой и составляет __________(__________________) рублей _____ копеек, в том числе НДС (20 %) в размере ___________(____________) рублей ____ копеек.</w:t>
      </w:r>
      <w:r>
        <w:rPr>
          <w:bCs/>
          <w:szCs w:val="28"/>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r>
        <w:rPr>
          <w:bCs/>
          <w:sz w:val="24"/>
          <w:szCs w:val="24"/>
        </w:rPr>
        <w:t xml:space="preserve">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партии Продукции определяется Заявкой (по форме </w:t>
      </w:r>
      <w:r>
        <w:rPr>
          <w:b/>
          <w:sz w:val="24"/>
          <w:szCs w:val="24"/>
        </w:rPr>
        <w:t>Приложения № 2</w:t>
      </w:r>
      <w:r>
        <w:rPr>
          <w:sz w:val="24"/>
          <w:szCs w:val="24"/>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2.5.1. Авансовый платеж в размере 30 % (тридцать) от стоимости партии Продукции, согласно Заявке, подписанной с 2-х сторон, выплачивается в срок, не превышающий 30 (тридцать) календарных дней с даты подписания Заявки на соответствующую партию продукции, но не ранее чем за 30 календарных дней до планируемой даты поставки, указанной в Заявке, при условии получения Покупателем счета, выставленного Поставщиком. Авансовый платеж засчитывается в счет оплаты соответствующей партии Продукции.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2.5.2. Платеж в размере 70 %</w:t>
      </w:r>
      <w:r>
        <w:rPr>
          <w:rStyle w:val="FootnoteReference"/>
          <w:i/>
          <w:sz w:val="24"/>
          <w:szCs w:val="24"/>
        </w:rPr>
        <w:footnoteReference w:id="3"/>
      </w:r>
      <w:r>
        <w:rPr>
          <w:sz w:val="24"/>
          <w:szCs w:val="24"/>
        </w:rPr>
        <w:t xml:space="preserve"> (семьдесят) от стоимости  поставленной партии Продукции, согласно Заявке, производится Покупателем в течение 30 (тридцати) календарных дней/7 (семи) рабочих дней</w:t>
      </w:r>
      <w:r>
        <w:rPr>
          <w:rStyle w:val="FootnoteReference"/>
          <w:sz w:val="24"/>
          <w:szCs w:val="24"/>
        </w:rPr>
        <w:footnoteReference w:id="4"/>
      </w:r>
      <w:r>
        <w:rPr>
          <w:sz w:val="24"/>
          <w:szCs w:val="24"/>
        </w:rPr>
        <w:t xml:space="preserve">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получении счета, выставленного Поставщиком.</w:t>
      </w:r>
      <w:r>
        <w:rPr/>
        <w:t xml:space="preserve"> П</w:t>
      </w:r>
      <w:r>
        <w:rPr>
          <w:sz w:val="24"/>
          <w:szCs w:val="24"/>
        </w:rPr>
        <w:t>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2.5.3 Если по факту выплаты авансового платежа совокупная сумма неотработанных авансовых платежей по Договору составляет 5 000 000 (пять миллионов) рублей и более (без учета НДС) Поставщик в срок не позднее 3 (трех) рабочих дней до предполагаемой даты выплаты авансового платежа, предоставляет обеспечение исполнения обязательств по возврату предварительной оплаты (аванса) в виде банковской гарантии, оформленной в соответствии с требованиями Приложения № 3 к Договору.</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 xml:space="preserve">В случаях: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 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 xml:space="preserve">- наступления иных обстоятельств до срока окончания действия гарантии, в связи с которыми гарантия теряет свою силу или предъявление требований по гарантии не представляется возможным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Поставщик обязан предоставить Покупателю новую гарантию, отвечающую требованиям, указанным в Приложении № 4 к Договору,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Покупателя с требованием о замене гарантии.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В случае непредставления Поставщиком в установленный срок новой гарантии Покупатель вправе удерживать сумму неотработанного аванса при выплате каждого платежа, причитающегося Поставщику, до полного зачета неотработанного аванса.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За непредставление либо несвоевременное предоставление / переоформление Поставщиком гарантий, предусмотренных Договором, Покупатель вправе потребовать уплаты Поставщиком неустойки в размере 0,03 (ноль целых и три сотых) процента от цены Договора за каждый день просрочки.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Гарантия возвращается 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r>
        <w:rPr>
          <w:rStyle w:val="FootnoteReference"/>
        </w:rPr>
        <w:footnoteReference w:id="5"/>
      </w:r>
      <w:r>
        <w:rPr>
          <w:sz w:val="24"/>
          <w:szCs w:val="24"/>
        </w:rPr>
        <w:t>.</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rStyle w:val="FootnoteReference"/>
          <w:sz w:val="24"/>
          <w:szCs w:val="24"/>
        </w:rPr>
        <w:footnoteReference w:id="6"/>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Сертификаты качества в 2 экз.;</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Технический паспорт  на русском языке в 2 экз.;</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Инструкция по эксплуатации (монтажу и т.п.) на русском языке в 2 экз.;</w:t>
      </w:r>
    </w:p>
    <w:p>
      <w:pPr>
        <w:pStyle w:val="Normal"/>
        <w:widowControl w:val="false"/>
        <w:numPr>
          <w:ilvl w:val="0"/>
          <w:numId w:val="3"/>
        </w:numPr>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Упаковочный лист на Продукцию (каждую партию отгруженной Продукции) 1 экз.;</w:t>
      </w:r>
    </w:p>
    <w:p>
      <w:pPr>
        <w:pStyle w:val="Normal"/>
        <w:widowControl w:val="false"/>
        <w:numPr>
          <w:ilvl w:val="0"/>
          <w:numId w:val="3"/>
        </w:numPr>
        <w:shd w:val="clear" w:color="auto" w:fill="FFFFFF"/>
        <w:tabs>
          <w:tab w:val="clear" w:pos="720"/>
          <w:tab w:val="left" w:pos="900" w:leader="none"/>
          <w:tab w:val="left" w:pos="1134" w:leader="none"/>
        </w:tabs>
        <w:spacing w:before="0" w:after="120"/>
        <w:ind w:left="0" w:firstLine="567"/>
        <w:jc w:val="both"/>
        <w:rPr>
          <w:sz w:val="24"/>
          <w:szCs w:val="24"/>
        </w:rPr>
      </w:pPr>
      <w:r>
        <w:rPr>
          <w:sz w:val="24"/>
          <w:szCs w:val="24"/>
        </w:rPr>
        <w:t>иные документы (Сертификат о происхождении товара,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с обязательным указанием номера и даты Заявки-Спецификации в 2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30 (тридцати)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рабочих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На Продукцию устанавливается гарантийный срок, равный 36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более 42 месяцев с даты подписания Сторонами товарной накладной по форме ТОРГ-12 или Универсального передаточного документа (УПД).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tabs>
          <w:tab w:val="clear" w:pos="720"/>
          <w:tab w:val="left" w:pos="-2977" w:leader="none"/>
          <w:tab w:val="left" w:pos="1134" w:leader="none"/>
        </w:tabs>
        <w:spacing w:before="0" w:after="120"/>
        <w:ind w:left="0" w:firstLine="567"/>
        <w:jc w:val="both"/>
        <w:rPr>
          <w:sz w:val="24"/>
          <w:szCs w:val="24"/>
          <w:u w:val="single"/>
        </w:rPr>
      </w:pPr>
      <w:r>
        <w:rPr>
          <w:sz w:val="24"/>
          <w:szCs w:val="24"/>
        </w:rPr>
        <w:t xml:space="preserve">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 </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каждого места указывается;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в соответствии с Заявками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10 (десять) календарных дней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ListParagraph"/>
        <w:numPr>
          <w:ilvl w:val="1"/>
          <w:numId w:val="6"/>
        </w:numPr>
        <w:tabs>
          <w:tab w:val="clear" w:pos="720"/>
          <w:tab w:val="left" w:pos="993" w:leader="none"/>
        </w:tabs>
        <w:ind w:left="0" w:firstLine="567"/>
        <w:rPr>
          <w:sz w:val="24"/>
          <w:szCs w:val="24"/>
        </w:rPr>
      </w:pPr>
      <w:r>
        <w:rPr>
          <w:sz w:val="24"/>
          <w:szCs w:val="24"/>
        </w:rPr>
        <w:t xml:space="preserve">   </w:t>
      </w:r>
      <w:r>
        <w:rPr>
          <w:sz w:val="24"/>
          <w:szCs w:val="24"/>
        </w:rPr>
        <w:t xml:space="preserve">В случае нарушения Покупателем сроков оплаты поставленного товара, результатов выполненных работ / оказанных услуг,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Normal"/>
        <w:widowControl w:val="false"/>
        <w:shd w:val="clear" w:color="auto" w:fill="FFFFFF"/>
        <w:tabs>
          <w:tab w:val="clear" w:pos="720"/>
          <w:tab w:val="left" w:pos="1276" w:leader="none"/>
        </w:tabs>
        <w:spacing w:before="0" w:after="120"/>
        <w:ind w:left="567" w:hanging="0"/>
        <w:jc w:val="both"/>
        <w:rPr>
          <w:sz w:val="24"/>
          <w:szCs w:val="24"/>
        </w:rPr>
      </w:pPr>
      <w:r>
        <w:rPr>
          <w:sz w:val="24"/>
          <w:szCs w:val="24"/>
        </w:rPr>
      </w:r>
    </w:p>
    <w:p>
      <w:pPr>
        <w:pStyle w:val="Normal"/>
        <w:widowControl w:val="false"/>
        <w:numPr>
          <w:ilvl w:val="1"/>
          <w:numId w:val="6"/>
        </w:numPr>
        <w:shd w:val="clear" w:color="auto" w:fill="FFFFFF"/>
        <w:tabs>
          <w:tab w:val="clear" w:pos="720"/>
          <w:tab w:val="left" w:pos="993" w:leader="none"/>
          <w:tab w:val="left" w:pos="1276" w:leader="none"/>
        </w:tabs>
        <w:spacing w:before="0" w:after="120"/>
        <w:ind w:left="0" w:firstLine="993"/>
        <w:jc w:val="both"/>
        <w:rPr>
          <w:sz w:val="24"/>
          <w:szCs w:val="24"/>
        </w:rPr>
      </w:pPr>
      <w:r>
        <w:rPr>
          <w:sz w:val="24"/>
          <w:szCs w:val="24"/>
        </w:rPr>
        <w:t xml:space="preserve">В случае нарушения Поставщиком обязательств по оказанию услуг и поставке товара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 </w:t>
      </w:r>
    </w:p>
    <w:p>
      <w:pPr>
        <w:pStyle w:val="Normal"/>
        <w:widowControl w:val="false"/>
        <w:shd w:val="clear" w:color="auto" w:fill="FFFFFF"/>
        <w:tabs>
          <w:tab w:val="clear" w:pos="720"/>
          <w:tab w:val="left" w:pos="1276" w:leader="none"/>
        </w:tabs>
        <w:spacing w:before="0" w:after="120"/>
        <w:ind w:firstLine="1418"/>
        <w:jc w:val="both"/>
        <w:rPr>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w:t>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w:t>
        <w:tab/>
        <w:t>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r>
      <w:bookmarkStart w:id="2" w:name="_GoBack"/>
      <w:bookmarkEnd w:id="2"/>
      <w:r>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Предусмотренная Договором неустойка является штрафной. Убытки подлежат возмещению в полной сумме сверх неустойки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п.13.7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10"/>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10"/>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10"/>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numPr>
          <w:ilvl w:val="1"/>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numPr>
          <w:ilvl w:val="0"/>
          <w:numId w:val="0"/>
        </w:numPr>
        <w:tabs>
          <w:tab w:val="clear" w:pos="720"/>
          <w:tab w:val="left" w:pos="567" w:leader="none"/>
        </w:tabs>
        <w:spacing w:before="0" w:after="120"/>
        <w:ind w:left="567" w:hanging="0"/>
        <w:jc w:val="both"/>
        <w:outlineLvl w:val="0"/>
        <w:rPr>
          <w:sz w:val="24"/>
          <w:szCs w:val="24"/>
        </w:rPr>
      </w:pPr>
      <w:r>
        <w:rPr>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Каналы связи Линия доверия Группы РусГидро: </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-Электронная почта: ld@rushydro.ru.</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8.1, 8.2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9"/>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9"/>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r>
        <w:rPr>
          <w:rStyle w:val="FootnoteReference"/>
          <w:sz w:val="24"/>
          <w:szCs w:val="24"/>
        </w:rPr>
        <w:footnoteReference w:id="7"/>
      </w:r>
    </w:p>
    <w:p>
      <w:pPr>
        <w:pStyle w:val="ListParagraph"/>
        <w:shd w:val="clear" w:color="auto" w:fill="FFFFFF"/>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jc w:val="center"/>
        <w:rPr>
          <w:b/>
          <w:sz w:val="24"/>
          <w:szCs w:val="24"/>
        </w:rPr>
      </w:pPr>
      <w:r>
        <w:rPr>
          <w:b/>
          <w:sz w:val="24"/>
          <w:szCs w:val="24"/>
        </w:rPr>
        <w:t xml:space="preserve">Банковская гарантия в обеспечение </w:t>
      </w:r>
    </w:p>
    <w:p>
      <w:pPr>
        <w:pStyle w:val="Normal"/>
        <w:widowControl w:val="false"/>
        <w:shd w:val="clear" w:color="auto" w:fill="FFFFFF"/>
        <w:jc w:val="center"/>
        <w:rPr>
          <w:b/>
          <w:sz w:val="24"/>
          <w:szCs w:val="24"/>
        </w:rPr>
      </w:pPr>
      <w:r>
        <w:rPr>
          <w:b/>
          <w:sz w:val="24"/>
          <w:szCs w:val="24"/>
        </w:rPr>
        <w:t>надлежащего исполнения обязательств по договору</w:t>
      </w:r>
      <w:r>
        <w:rPr>
          <w:rStyle w:val="FootnoteReference"/>
          <w:b/>
          <w:sz w:val="24"/>
          <w:szCs w:val="24"/>
        </w:rPr>
        <w:footnoteReference w:id="8"/>
      </w:r>
    </w:p>
    <w:p>
      <w:pPr>
        <w:pStyle w:val="Normal"/>
        <w:widowControl w:val="false"/>
        <w:shd w:val="clear" w:color="auto" w:fill="FFFFFF"/>
        <w:jc w:val="center"/>
        <w:rPr>
          <w:b/>
          <w:sz w:val="24"/>
          <w:szCs w:val="24"/>
        </w:rPr>
      </w:pPr>
      <w:r>
        <w:rPr>
          <w:b/>
          <w:sz w:val="24"/>
          <w:szCs w:val="24"/>
        </w:rPr>
      </w:r>
    </w:p>
    <w:p>
      <w:pPr>
        <w:pStyle w:val="Normal"/>
        <w:widowControl w:val="false"/>
        <w:numPr>
          <w:ilvl w:val="1"/>
          <w:numId w:val="6"/>
        </w:numPr>
        <w:shd w:val="clear" w:color="auto" w:fill="FFFFFF"/>
        <w:tabs>
          <w:tab w:val="left" w:pos="720" w:leader="none"/>
        </w:tabs>
        <w:spacing w:before="0" w:after="120"/>
        <w:ind w:left="0" w:firstLine="567"/>
        <w:jc w:val="both"/>
        <w:rPr>
          <w:sz w:val="28"/>
          <w:szCs w:val="28"/>
        </w:rPr>
      </w:pPr>
      <w:r>
        <w:rPr>
          <w:sz w:val="24"/>
          <w:szCs w:val="24"/>
        </w:rPr>
        <w:t>Поставщик обязан предоставить Покупателю банковскую гарантию надлежащего исполнения обязательств по Договору, отвечающую требованиям, указанным в приложении 4 к настоящему Положению, на сумму не менее 10 (десяти) процентов</w:t>
      </w:r>
      <w:r>
        <w:rPr>
          <w:rStyle w:val="FootnoteReference"/>
          <w:sz w:val="24"/>
          <w:szCs w:val="24"/>
        </w:rPr>
        <w:footnoteReference w:id="9"/>
      </w:r>
      <w:r>
        <w:rPr>
          <w:sz w:val="24"/>
          <w:szCs w:val="24"/>
        </w:rPr>
        <w:t xml:space="preserve">  от цены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 случае непредставления банковской гарантии надлежащего исполнения обязательств по Договору и при отсутствии соглашения сторон об ином, Покупатель вправе удерживать 10 (десять) % </w:t>
      </w:r>
      <w:r>
        <w:rPr>
          <w:rStyle w:val="FootnoteReference"/>
          <w:sz w:val="24"/>
          <w:szCs w:val="24"/>
        </w:rPr>
        <w:footnoteReference w:id="10"/>
      </w:r>
      <w:r>
        <w:rPr>
          <w:sz w:val="24"/>
          <w:szCs w:val="24"/>
        </w:rPr>
        <w:t xml:space="preserve"> от цены соответствующей  партии Продукции по Договору, причитающегося Поставщику, при этом в счетах на оплату, выставленных Поставщиком, должна быть отдельно выделена сумма обеспечительного платежа. Оплата обеспечительного платежа производится в течение 30 (тридцати) календарных дней с даты получения Обществом счета, выставленного Поставщиком, но не ранее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В случае отзыва лицензии Банка-Гаранта представленная банковская гарантия должна быть заменена на новую банковскую гарантию другого Банка-Гаранта, входящего в Перечень Банков-Гарантов</w:t>
      </w:r>
      <w:r>
        <w:rPr>
          <w:rStyle w:val="FootnoteReference"/>
          <w:sz w:val="24"/>
          <w:szCs w:val="24"/>
        </w:rPr>
        <w:footnoteReference w:id="11"/>
      </w:r>
      <w:r>
        <w:rPr>
          <w:sz w:val="24"/>
          <w:szCs w:val="24"/>
        </w:rPr>
        <w:t>, действующий на дату предоставления новой банковской гарантии, в течение 30 (тридцати) календарных дней с даты отзыва лицензии Банка-Гаранта.                  В случае непредставления Поставщиком в установленный срок новой банковской гарантии Общество вправе удерживать сумму неотработанного аванса при выплате каждого платежа, причитающегося Поставщиум, до  полного зачета неотработанного аванса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141"/>
        <w:jc w:val="both"/>
        <w:textAlignment w:val="baseline"/>
        <w:rPr>
          <w:b w:val="false"/>
          <w:sz w:val="24"/>
          <w:szCs w:val="24"/>
        </w:rPr>
      </w:pPr>
      <w:bookmarkStart w:id="4" w:name="sub_1"/>
      <w:bookmarkEnd w:id="4"/>
      <w:r>
        <w:rPr>
          <w:b w:val="false"/>
          <w:sz w:val="24"/>
          <w:szCs w:val="24"/>
        </w:rPr>
        <w:t>- Приложение № 1 – Спецификация.</w:t>
      </w:r>
    </w:p>
    <w:p>
      <w:pPr>
        <w:pStyle w:val="Heading3"/>
        <w:keepNext w:val="false"/>
        <w:tabs>
          <w:tab w:val="clear" w:pos="0"/>
        </w:tabs>
        <w:overflowPunct w:val="true"/>
        <w:spacing w:before="0" w:after="120"/>
        <w:ind w:left="567" w:hanging="141"/>
        <w:jc w:val="both"/>
        <w:textAlignment w:val="baseline"/>
        <w:rPr>
          <w:b w:val="false"/>
          <w:sz w:val="24"/>
          <w:szCs w:val="24"/>
        </w:rPr>
      </w:pPr>
      <w:r>
        <w:rPr>
          <w:b w:val="false"/>
          <w:sz w:val="24"/>
          <w:szCs w:val="24"/>
        </w:rPr>
        <w:t>- Приложение № 2 – Форма Заявки-Спецификации.</w:t>
      </w:r>
    </w:p>
    <w:p>
      <w:pPr>
        <w:pStyle w:val="Normal"/>
        <w:spacing w:before="0" w:after="120"/>
        <w:ind w:firstLine="426"/>
        <w:rPr>
          <w:sz w:val="24"/>
          <w:szCs w:val="24"/>
        </w:rPr>
      </w:pPr>
      <w:r>
        <w:rPr>
          <w:sz w:val="24"/>
          <w:szCs w:val="24"/>
        </w:rPr>
        <w:t>- Приложение № 3 – Технические требования на поставку продукции.</w:t>
      </w:r>
    </w:p>
    <w:p>
      <w:pPr>
        <w:pStyle w:val="Normal"/>
        <w:spacing w:before="0" w:after="120"/>
        <w:ind w:firstLine="426"/>
        <w:rPr>
          <w:sz w:val="24"/>
          <w:szCs w:val="24"/>
        </w:rPr>
      </w:pPr>
      <w:r>
        <w:rPr>
          <w:sz w:val="24"/>
          <w:szCs w:val="24"/>
        </w:rPr>
        <w:t>- Приложение № 4 – Финансовое обеспечение исполнения обязательств.</w:t>
      </w:r>
    </w:p>
    <w:p>
      <w:pPr>
        <w:pStyle w:val="Normal"/>
        <w:spacing w:before="0" w:after="120"/>
        <w:ind w:left="567" w:hanging="141"/>
        <w:rPr>
          <w:sz w:val="24"/>
          <w:szCs w:val="24"/>
        </w:rPr>
      </w:pPr>
      <w:r>
        <w:rPr>
          <w:sz w:val="24"/>
          <w:szCs w:val="24"/>
        </w:rPr>
        <w:t xml:space="preserve"> </w:t>
      </w:r>
    </w:p>
    <w:p>
      <w:pPr>
        <w:pStyle w:val="Normal"/>
        <w:spacing w:before="0" w:after="120"/>
        <w:ind w:left="567" w:hanging="567"/>
        <w:rPr>
          <w:sz w:val="24"/>
          <w:szCs w:val="24"/>
        </w:rPr>
      </w:pPr>
      <w:r>
        <w:rPr>
          <w:sz w:val="24"/>
          <w:szCs w:val="24"/>
        </w:rPr>
      </w:r>
      <w:bookmarkStart w:id="5" w:name="sub_1"/>
      <w:bookmarkStart w:id="6" w:name="sub_1"/>
      <w:bookmarkEnd w:id="6"/>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 xml:space="preserve">(ОГРН)  </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shd w:color="auto" w:fill="auto" w:val="clear"/>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 /</w:t>
            </w:r>
          </w:p>
          <w:p>
            <w:pPr>
              <w:pStyle w:val="Normal"/>
              <w:widowControl w:val="false"/>
              <w:rPr>
                <w:sz w:val="22"/>
                <w:szCs w:val="22"/>
              </w:rPr>
            </w:pPr>
            <w:r>
              <w:rPr>
                <w:sz w:val="22"/>
                <w:szCs w:val="22"/>
              </w:rPr>
              <w:t>м.п.</w:t>
            </w:r>
          </w:p>
        </w:tc>
        <w:tc>
          <w:tcPr>
            <w:tcW w:w="4786" w:type="dxa"/>
            <w:tcBorders/>
            <w:shd w:color="auto" w:fill="auto" w:val="clear"/>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 /</w:t>
            </w:r>
          </w:p>
          <w:p>
            <w:pPr>
              <w:pStyle w:val="Normal"/>
              <w:widowControl w:val="false"/>
              <w:rPr>
                <w:sz w:val="22"/>
                <w:szCs w:val="22"/>
              </w:rPr>
            </w:pPr>
            <w:r>
              <w:rPr>
                <w:sz w:val="22"/>
                <w:szCs w:val="22"/>
              </w:rPr>
              <w:t>м.п.</w:t>
            </w:r>
          </w:p>
        </w:tc>
      </w:tr>
    </w:tbl>
    <w:p>
      <w:pPr>
        <w:sectPr>
          <w:headerReference w:type="default" r:id="rId5"/>
          <w:footerReference w:type="even" r:id="rId6"/>
          <w:footerReference w:type="default" r:id="rId7"/>
          <w:footerReference w:type="first" r:id="rId8"/>
          <w:footnotePr>
            <w:numFmt w:val="decimal"/>
          </w:footnotePr>
          <w:type w:val="nextPage"/>
          <w:pgSz w:w="11906" w:h="16838"/>
          <w:pgMar w:left="1701" w:right="849" w:gutter="0" w:header="720" w:top="1134" w:footer="720" w:bottom="1134"/>
          <w:pgNumType w:fmt="decimal"/>
          <w:formProt w:val="false"/>
          <w:textDirection w:val="lrTb"/>
          <w:docGrid w:type="default" w:linePitch="100" w:charSpace="8192"/>
        </w:sectPr>
        <w:pStyle w:val="BodyText"/>
        <w:spacing w:before="120" w:after="0"/>
        <w:ind w:firstLine="567"/>
        <w:jc w:val="right"/>
        <w:rPr>
          <w:b/>
          <w:bCs/>
          <w:color w:val="000000"/>
          <w:sz w:val="24"/>
          <w:szCs w:val="24"/>
        </w:rPr>
      </w:pPr>
      <w:r>
        <w:rPr>
          <w:b/>
          <w:bCs/>
          <w:color w:val="000000"/>
          <w:sz w:val="24"/>
          <w:szCs w:val="24"/>
        </w:rPr>
      </w:r>
    </w:p>
    <w:p>
      <w:pPr>
        <w:pStyle w:val="BodyText"/>
        <w:numPr>
          <w:ilvl w:val="0"/>
          <w:numId w:val="0"/>
        </w:numPr>
        <w:spacing w:before="0" w:after="120"/>
        <w:ind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firstLine="567"/>
        <w:jc w:val="center"/>
        <w:outlineLvl w:val="0"/>
        <w:rPr>
          <w:b/>
          <w:sz w:val="24"/>
          <w:szCs w:val="24"/>
        </w:rPr>
      </w:pPr>
      <w:r>
        <w:rPr>
          <w:b/>
          <w:sz w:val="24"/>
          <w:szCs w:val="24"/>
        </w:rPr>
      </w:r>
    </w:p>
    <w:p>
      <w:pPr>
        <w:pStyle w:val="Normal"/>
        <w:numPr>
          <w:ilvl w:val="0"/>
          <w:numId w:val="0"/>
        </w:numPr>
        <w:spacing w:before="0" w:after="120"/>
        <w:ind w:firstLine="567"/>
        <w:jc w:val="center"/>
        <w:outlineLvl w:val="0"/>
        <w:rPr>
          <w:b/>
          <w:sz w:val="24"/>
          <w:szCs w:val="24"/>
        </w:rPr>
      </w:pPr>
      <w:r>
        <w:rPr>
          <w:b/>
          <w:sz w:val="24"/>
          <w:szCs w:val="24"/>
        </w:rPr>
        <w:t>Спецификация №__</w:t>
      </w:r>
    </w:p>
    <w:p>
      <w:pPr>
        <w:pStyle w:val="Normal"/>
        <w:numPr>
          <w:ilvl w:val="0"/>
          <w:numId w:val="0"/>
        </w:numPr>
        <w:spacing w:before="0" w:after="120"/>
        <w:ind w:firstLine="567"/>
        <w:jc w:val="center"/>
        <w:outlineLvl w:val="0"/>
        <w:rPr>
          <w:b/>
          <w:sz w:val="24"/>
          <w:szCs w:val="24"/>
        </w:rPr>
      </w:pPr>
      <w:r>
        <w:rPr>
          <w:b/>
          <w:sz w:val="24"/>
          <w:szCs w:val="24"/>
        </w:rPr>
      </w:r>
    </w:p>
    <w:p>
      <w:pPr>
        <w:pStyle w:val="Normal"/>
        <w:numPr>
          <w:ilvl w:val="0"/>
          <w:numId w:val="0"/>
        </w:numPr>
        <w:spacing w:before="0" w:after="120"/>
        <w:ind w:firstLine="567"/>
        <w:jc w:val="center"/>
        <w:outlineLvl w:val="0"/>
        <w:rPr>
          <w:b/>
          <w:i/>
          <w:i/>
          <w:color w:val="FF0000"/>
          <w:sz w:val="22"/>
          <w:szCs w:val="22"/>
        </w:rPr>
      </w:pPr>
      <w:r>
        <w:rPr>
          <w:b/>
          <w:i/>
          <w:color w:val="FF0000"/>
          <w:sz w:val="22"/>
          <w:szCs w:val="22"/>
        </w:rPr>
      </w:r>
    </w:p>
    <w:tbl>
      <w:tblPr>
        <w:tblW w:w="1034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989"/>
        <w:gridCol w:w="1704"/>
        <w:gridCol w:w="1844"/>
        <w:gridCol w:w="708"/>
        <w:gridCol w:w="708"/>
        <w:gridCol w:w="994"/>
        <w:gridCol w:w="1842"/>
        <w:gridCol w:w="1558"/>
      </w:tblGrid>
      <w:tr>
        <w:trPr>
          <w:trHeight w:val="510"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 страна-изготовитель, наименование производителя</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9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5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84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99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55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84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99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55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8789"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55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8789"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5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24"/>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8"/>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8"/>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BodyText"/>
        <w:spacing w:before="0" w:after="120"/>
        <w:ind w:firstLine="567"/>
        <w:rPr>
          <w:b/>
          <w:bCs/>
          <w:sz w:val="24"/>
          <w:szCs w:val="24"/>
        </w:rPr>
      </w:pPr>
      <w:r>
        <w:rPr>
          <w:b/>
          <w:sz w:val="24"/>
          <w:szCs w:val="24"/>
        </w:rPr>
        <w:t>*</w:t>
      </w:r>
      <w:r>
        <w:rPr>
          <w:sz w:val="24"/>
          <w:szCs w:val="24"/>
        </w:rPr>
        <w:t xml:space="preserve"> </w:t>
      </w:r>
      <w:r>
        <w:rPr>
          <w:sz w:val="20"/>
        </w:rPr>
        <w:t>По требованию Покупателя Поставщик обязан представить запрашиваемую информацию/документы, расчеты, обосновывающие стоимость доставки Продукции</w:t>
      </w:r>
      <w:r>
        <w:rPr>
          <w:sz w:val="24"/>
          <w:szCs w:val="24"/>
        </w:rPr>
        <w:t>.</w:t>
      </w:r>
    </w:p>
    <w:p>
      <w:pPr>
        <w:pStyle w:val="Normal"/>
        <w:spacing w:before="0" w:after="120"/>
        <w:jc w:val="both"/>
        <w:rPr>
          <w:color w:val="1F497D"/>
          <w:sz w:val="24"/>
          <w:szCs w:val="24"/>
        </w:rPr>
      </w:pPr>
      <w:r>
        <w:rPr>
          <w:color w:val="1F497D"/>
          <w:sz w:val="24"/>
          <w:szCs w:val="24"/>
        </w:rPr>
      </w:r>
    </w:p>
    <w:p>
      <w:pPr>
        <w:pStyle w:val="Normal"/>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9"/>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9"/>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9"/>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9"/>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9"/>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9"/>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9"/>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9"/>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spacing w:before="0" w:after="120"/>
        <w:rPr>
          <w:sz w:val="22"/>
          <w:szCs w:val="22"/>
        </w:rPr>
      </w:pPr>
      <w:r>
        <w:rPr>
          <w:sz w:val="22"/>
          <w:szCs w:val="22"/>
        </w:rPr>
      </w:r>
      <w:r>
        <w:br w:type="page"/>
      </w:r>
    </w:p>
    <w:p>
      <w:pPr>
        <w:pStyle w:val="Normal"/>
        <w:spacing w:before="0" w:after="120"/>
        <w:jc w:val="right"/>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firstLine="567"/>
        <w:jc w:val="center"/>
        <w:outlineLvl w:val="0"/>
        <w:rPr>
          <w:b/>
          <w:sz w:val="24"/>
          <w:szCs w:val="24"/>
          <w:u w:val="single"/>
        </w:rPr>
      </w:pPr>
      <w:r>
        <w:rPr>
          <w:b/>
          <w:sz w:val="24"/>
          <w:szCs w:val="24"/>
          <w:u w:val="single"/>
        </w:rPr>
      </w:r>
    </w:p>
    <w:p>
      <w:pPr>
        <w:pStyle w:val="Normal"/>
        <w:numPr>
          <w:ilvl w:val="0"/>
          <w:numId w:val="0"/>
        </w:numPr>
        <w:spacing w:before="0" w:after="120"/>
        <w:ind w:firstLine="567"/>
        <w:jc w:val="center"/>
        <w:outlineLvl w:val="0"/>
        <w:rPr>
          <w:b/>
          <w:sz w:val="24"/>
          <w:szCs w:val="24"/>
          <w:u w:val="single"/>
        </w:rPr>
      </w:pPr>
      <w:r>
        <w:rPr>
          <w:b/>
          <w:sz w:val="24"/>
          <w:szCs w:val="24"/>
          <w:u w:val="single"/>
        </w:rPr>
        <w:t>ФОРМА</w:t>
      </w:r>
    </w:p>
    <w:p>
      <w:pPr>
        <w:pStyle w:val="Normal"/>
        <w:numPr>
          <w:ilvl w:val="0"/>
          <w:numId w:val="0"/>
        </w:numPr>
        <w:spacing w:before="0" w:after="120"/>
        <w:ind w:firstLine="567"/>
        <w:jc w:val="center"/>
        <w:outlineLvl w:val="0"/>
        <w:rPr>
          <w:b/>
          <w:sz w:val="24"/>
          <w:szCs w:val="24"/>
          <w:u w:val="single"/>
        </w:rPr>
      </w:pPr>
      <w:r>
        <w:rPr>
          <w:b/>
          <w:sz w:val="24"/>
          <w:szCs w:val="24"/>
        </w:rPr>
        <w:t>Заявки-спецификации</w:t>
      </w:r>
    </w:p>
    <w:p>
      <w:pPr>
        <w:pStyle w:val="Normal"/>
        <w:numPr>
          <w:ilvl w:val="0"/>
          <w:numId w:val="0"/>
        </w:numPr>
        <w:spacing w:before="0" w:after="120"/>
        <w:ind w:firstLine="567"/>
        <w:outlineLvl w:val="0"/>
        <w:rPr>
          <w:b/>
          <w:sz w:val="24"/>
          <w:szCs w:val="24"/>
        </w:rPr>
      </w:pPr>
      <w:r>
        <w:rPr>
          <w:b/>
          <w:sz w:val="24"/>
          <w:szCs w:val="24"/>
        </w:rPr>
        <mc:AlternateContent>
          <mc:Choice Requires="wps">
            <w:drawing>
              <wp:anchor behindDoc="0" distT="0" distB="19050" distL="0" distR="15240" simplePos="0" locked="0" layoutInCell="0" allowOverlap="1" relativeHeight="2" wp14:anchorId="393238F0">
                <wp:simplePos x="0" y="0"/>
                <wp:positionH relativeFrom="column">
                  <wp:posOffset>-110490</wp:posOffset>
                </wp:positionH>
                <wp:positionV relativeFrom="paragraph">
                  <wp:posOffset>109855</wp:posOffset>
                </wp:positionV>
                <wp:extent cx="6118860" cy="635"/>
                <wp:effectExtent l="6985" t="6350" r="6985" b="6350"/>
                <wp:wrapNone/>
                <wp:docPr id="4"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7pt,8.65pt" to="473.05pt,8.65pt" ID="Прямая соединительная линия 1" stroked="t" o:allowincell="f" style="position:absolute" wp14:anchorId="393238F0">
                <v:stroke color="black" weight="12600" joinstyle="round" endcap="flat"/>
                <v:fill o:detectmouseclick="t" on="false"/>
                <w10:wrap type="none"/>
              </v:line>
            </w:pict>
          </mc:Fallback>
        </mc:AlternateContent>
      </w:r>
    </w:p>
    <w:tbl>
      <w:tblPr>
        <w:tblStyle w:val="af"/>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76"/>
        <w:gridCol w:w="5954"/>
      </w:tblGrid>
      <w:tr>
        <w:trPr/>
        <w:tc>
          <w:tcPr>
            <w:tcW w:w="4076" w:type="dxa"/>
            <w:tcBorders>
              <w:top w:val="nil"/>
              <w:left w:val="nil"/>
              <w:bottom w:val="nil"/>
              <w:right w:val="nil"/>
            </w:tcBorders>
          </w:tcPr>
          <w:p>
            <w:pPr>
              <w:pStyle w:val="Normal"/>
              <w:widowControl/>
              <w:numPr>
                <w:ilvl w:val="0"/>
                <w:numId w:val="0"/>
              </w:numPr>
              <w:spacing w:before="0" w:after="120"/>
              <w:jc w:val="left"/>
              <w:outlineLvl w:val="0"/>
              <w:rPr>
                <w:b/>
                <w:sz w:val="24"/>
                <w:szCs w:val="24"/>
              </w:rPr>
            </w:pPr>
            <w:r>
              <w:rPr>
                <w:rFonts w:eastAsia="Times New Roman" w:cs="Times New Roman"/>
                <w:b/>
                <w:kern w:val="0"/>
                <w:sz w:val="24"/>
                <w:szCs w:val="24"/>
                <w:lang w:val="ru-RU" w:eastAsia="ru-RU" w:bidi="ar-SA"/>
              </w:rPr>
            </w:r>
          </w:p>
          <w:p>
            <w:pPr>
              <w:pStyle w:val="Normal"/>
              <w:widowControl/>
              <w:numPr>
                <w:ilvl w:val="0"/>
                <w:numId w:val="0"/>
              </w:numPr>
              <w:spacing w:before="0" w:after="120"/>
              <w:jc w:val="left"/>
              <w:outlineLvl w:val="0"/>
              <w:rPr>
                <w:b/>
                <w:sz w:val="24"/>
                <w:szCs w:val="24"/>
              </w:rPr>
            </w:pPr>
            <w:r>
              <w:rPr>
                <w:rFonts w:eastAsia="Times New Roman" w:cs="Times New Roman"/>
                <w:b/>
                <w:kern w:val="0"/>
                <w:sz w:val="24"/>
                <w:szCs w:val="24"/>
                <w:lang w:val="ru-RU" w:eastAsia="ru-RU" w:bidi="ar-SA"/>
              </w:rPr>
            </w:r>
          </w:p>
          <w:p>
            <w:pPr>
              <w:pStyle w:val="Normal"/>
              <w:widowControl/>
              <w:numPr>
                <w:ilvl w:val="0"/>
                <w:numId w:val="0"/>
              </w:numPr>
              <w:spacing w:before="0" w:after="120"/>
              <w:jc w:val="left"/>
              <w:outlineLvl w:val="0"/>
              <w:rPr>
                <w:b/>
                <w:sz w:val="24"/>
                <w:szCs w:val="24"/>
              </w:rPr>
            </w:pPr>
            <w:r>
              <w:rPr>
                <w:rFonts w:eastAsia="Times New Roman" w:cs="Times New Roman"/>
                <w:b/>
                <w:kern w:val="0"/>
                <w:sz w:val="24"/>
                <w:szCs w:val="24"/>
                <w:lang w:val="ru-RU" w:eastAsia="ru-RU" w:bidi="ar-SA"/>
              </w:rPr>
            </w:r>
          </w:p>
        </w:tc>
        <w:tc>
          <w:tcPr>
            <w:tcW w:w="5954" w:type="dxa"/>
            <w:tcBorders>
              <w:top w:val="nil"/>
              <w:left w:val="nil"/>
              <w:bottom w:val="nil"/>
              <w:right w:val="nil"/>
            </w:tcBorders>
          </w:tcPr>
          <w:p>
            <w:pPr>
              <w:pStyle w:val="Normal"/>
              <w:widowControl/>
              <w:numPr>
                <w:ilvl w:val="0"/>
                <w:numId w:val="0"/>
              </w:numPr>
              <w:spacing w:before="0" w:after="0"/>
              <w:jc w:val="right"/>
              <w:outlineLvl w:val="0"/>
              <w:rPr>
                <w:b/>
                <w:sz w:val="24"/>
                <w:szCs w:val="24"/>
              </w:rPr>
            </w:pPr>
            <w:r>
              <w:rPr>
                <w:rFonts w:eastAsia="Times New Roman" w:cs="Times New Roman"/>
                <w:b/>
                <w:kern w:val="0"/>
                <w:sz w:val="24"/>
                <w:szCs w:val="24"/>
                <w:lang w:val="ru-RU" w:eastAsia="ru-RU" w:bidi="ar-SA"/>
              </w:rPr>
              <w:t>Приложение № _____</w:t>
            </w:r>
          </w:p>
          <w:p>
            <w:pPr>
              <w:pStyle w:val="BodyText"/>
              <w:widowControl/>
              <w:spacing w:before="0" w:after="0"/>
              <w:ind w:firstLine="567"/>
              <w:jc w:val="right"/>
              <w:rPr>
                <w:bCs/>
                <w:sz w:val="24"/>
                <w:szCs w:val="24"/>
              </w:rPr>
            </w:pPr>
            <w:r>
              <w:rPr>
                <w:rFonts w:eastAsia="Times New Roman" w:cs="Times New Roman"/>
                <w:bCs/>
                <w:kern w:val="0"/>
                <w:sz w:val="24"/>
                <w:szCs w:val="24"/>
                <w:lang w:val="ru-RU" w:eastAsia="ru-RU" w:bidi="ar-SA"/>
              </w:rPr>
              <w:t>от «___» _________ ______ г.</w:t>
            </w:r>
          </w:p>
          <w:p>
            <w:pPr>
              <w:pStyle w:val="BodyText"/>
              <w:widowControl/>
              <w:spacing w:before="0" w:after="0"/>
              <w:ind w:firstLine="567"/>
              <w:jc w:val="right"/>
              <w:rPr>
                <w:bCs/>
                <w:sz w:val="24"/>
                <w:szCs w:val="24"/>
              </w:rPr>
            </w:pPr>
            <w:r>
              <w:rPr>
                <w:rFonts w:eastAsia="Times New Roman" w:cs="Times New Roman"/>
                <w:bCs/>
                <w:kern w:val="0"/>
                <w:sz w:val="24"/>
                <w:szCs w:val="24"/>
                <w:lang w:val="ru-RU" w:eastAsia="ru-RU" w:bidi="ar-SA"/>
              </w:rPr>
              <w:t>к договору поставки № _____ от _____ г.</w:t>
            </w:r>
          </w:p>
          <w:p>
            <w:pPr>
              <w:pStyle w:val="Normal"/>
              <w:widowControl/>
              <w:numPr>
                <w:ilvl w:val="0"/>
                <w:numId w:val="0"/>
              </w:numPr>
              <w:spacing w:before="0" w:after="120"/>
              <w:jc w:val="right"/>
              <w:outlineLvl w:val="0"/>
              <w:rPr>
                <w:b/>
                <w:sz w:val="24"/>
                <w:szCs w:val="24"/>
              </w:rPr>
            </w:pPr>
            <w:r>
              <w:rPr>
                <w:rFonts w:eastAsia="Times New Roman" w:cs="Times New Roman"/>
                <w:b/>
                <w:kern w:val="0"/>
                <w:sz w:val="24"/>
                <w:szCs w:val="24"/>
                <w:lang w:val="ru-RU" w:eastAsia="ru-RU" w:bidi="ar-SA"/>
              </w:rPr>
            </w:r>
          </w:p>
        </w:tc>
      </w:tr>
    </w:tbl>
    <w:p>
      <w:pPr>
        <w:pStyle w:val="Normal"/>
        <w:numPr>
          <w:ilvl w:val="0"/>
          <w:numId w:val="0"/>
        </w:numPr>
        <w:spacing w:before="0" w:after="120"/>
        <w:ind w:firstLine="567"/>
        <w:jc w:val="center"/>
        <w:outlineLvl w:val="0"/>
        <w:rPr>
          <w:b/>
          <w:sz w:val="24"/>
          <w:szCs w:val="24"/>
        </w:rPr>
      </w:pPr>
      <w:r>
        <w:rPr>
          <w:b/>
          <w:sz w:val="24"/>
          <w:szCs w:val="24"/>
        </w:rPr>
        <w:t>Заявка-спецификация №__</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9"/>
        <w:gridCol w:w="1621"/>
        <w:gridCol w:w="2427"/>
        <w:gridCol w:w="673"/>
        <w:gridCol w:w="776"/>
        <w:gridCol w:w="1918"/>
        <w:gridCol w:w="1676"/>
      </w:tblGrid>
      <w:tr>
        <w:trPr>
          <w:trHeight w:val="507" w:hRule="atLeast"/>
        </w:trPr>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2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 xml:space="preserve">Характеристики продукции, </w:t>
            </w:r>
          </w:p>
          <w:p>
            <w:pPr>
              <w:pStyle w:val="Normal"/>
              <w:widowControl w:val="false"/>
              <w:jc w:val="center"/>
              <w:rPr>
                <w:bCs/>
                <w:sz w:val="22"/>
                <w:szCs w:val="24"/>
              </w:rPr>
            </w:pPr>
            <w:r>
              <w:rPr>
                <w:bCs/>
                <w:sz w:val="22"/>
                <w:szCs w:val="24"/>
              </w:rPr>
              <w:t>страна-изготовитель, наименование производителя</w:t>
            </w:r>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0" w:hRule="atLeast"/>
        </w:trPr>
        <w:tc>
          <w:tcPr>
            <w:tcW w:w="9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242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0" w:hRule="atLeast"/>
        </w:trPr>
        <w:tc>
          <w:tcPr>
            <w:tcW w:w="9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242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120" w:after="120"/>
        <w:ind w:firstLine="567"/>
        <w:rPr>
          <w:b/>
          <w:bCs/>
          <w:i/>
          <w:i/>
          <w:sz w:val="24"/>
          <w:szCs w:val="24"/>
        </w:rPr>
      </w:pPr>
      <w:r>
        <w:rPr>
          <w:b/>
          <w:bCs/>
          <w:i/>
          <w:sz w:val="24"/>
          <w:szCs w:val="24"/>
        </w:rPr>
        <w:t>Условия поставки:</w:t>
      </w:r>
    </w:p>
    <w:p>
      <w:pPr>
        <w:pStyle w:val="Normal"/>
        <w:widowControl w:val="false"/>
        <w:numPr>
          <w:ilvl w:val="0"/>
          <w:numId w:val="11"/>
        </w:numPr>
        <w:tabs>
          <w:tab w:val="left" w:pos="720" w:leader="none"/>
        </w:tabs>
        <w:spacing w:before="0" w:after="120"/>
        <w:jc w:val="both"/>
        <w:rPr>
          <w:i/>
          <w:i/>
          <w:sz w:val="24"/>
          <w:szCs w:val="24"/>
        </w:rPr>
      </w:pPr>
      <w:r>
        <w:rPr>
          <w:bCs/>
          <w:sz w:val="24"/>
          <w:szCs w:val="24"/>
        </w:rPr>
        <w:t>Общая сумма Заявки-спецификации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i/>
          <w:sz w:val="24"/>
          <w:szCs w:val="24"/>
        </w:rPr>
        <w:t>.</w:t>
      </w:r>
    </w:p>
    <w:p>
      <w:pPr>
        <w:pStyle w:val="Normal"/>
        <w:widowControl w:val="false"/>
        <w:numPr>
          <w:ilvl w:val="0"/>
          <w:numId w:val="11"/>
        </w:numPr>
        <w:tabs>
          <w:tab w:val="left" w:pos="720" w:leader="none"/>
        </w:tabs>
        <w:spacing w:before="0" w:after="120"/>
        <w:ind w:left="0" w:firstLine="284"/>
        <w:jc w:val="both"/>
        <w:rPr>
          <w:sz w:val="24"/>
          <w:szCs w:val="24"/>
        </w:rPr>
      </w:pPr>
      <w:r>
        <w:rPr>
          <w:sz w:val="24"/>
          <w:szCs w:val="24"/>
        </w:rPr>
        <w:t>Срок поставки Продукции: до «______» ____________ 202_г..</w:t>
      </w:r>
    </w:p>
    <w:p>
      <w:pPr>
        <w:pStyle w:val="Normal"/>
        <w:widowControl w:val="false"/>
        <w:numPr>
          <w:ilvl w:val="0"/>
          <w:numId w:val="11"/>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w:t>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9"/>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9"/>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9"/>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9"/>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9"/>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9"/>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9"/>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9"/>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outlineLvl w:val="0"/>
        <w:rPr>
          <w:b/>
          <w:bCs/>
          <w:sz w:val="24"/>
          <w:szCs w:val="24"/>
        </w:rPr>
      </w:pPr>
      <w:r>
        <w:rPr>
          <w:b/>
          <w:bCs/>
          <w:sz w:val="24"/>
          <w:szCs w:val="24"/>
        </w:rPr>
        <mc:AlternateContent>
          <mc:Choice Requires="wps">
            <w:drawing>
              <wp:anchor behindDoc="0" distT="0" distB="19050" distL="0" distR="19050" simplePos="0" locked="0" layoutInCell="0" allowOverlap="1" relativeHeight="3" wp14:anchorId="7BD582E5">
                <wp:simplePos x="0" y="0"/>
                <wp:positionH relativeFrom="column">
                  <wp:posOffset>147955</wp:posOffset>
                </wp:positionH>
                <wp:positionV relativeFrom="paragraph">
                  <wp:posOffset>1155700</wp:posOffset>
                </wp:positionV>
                <wp:extent cx="5943600" cy="635"/>
                <wp:effectExtent l="6350" t="6985" r="6985" b="6350"/>
                <wp:wrapNone/>
                <wp:docPr id="5" name="Прямая соединительная линия 2"/>
                <a:graphic xmlns:a="http://schemas.openxmlformats.org/drawingml/2006/main">
                  <a:graphicData uri="http://schemas.microsoft.com/office/word/2010/wordprocessingShape">
                    <wps:wsp>
                      <wps:cNvSpPr/>
                      <wps:spPr>
                        <a:xfrm>
                          <a:off x="0" y="0"/>
                          <a:ext cx="594360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1.65pt,91pt" to="479.6pt,91pt" ID="Прямая соединительная линия 2" stroked="t" o:allowincell="f" style="position:absolute" wp14:anchorId="7BD582E5">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9"/>
              <w:widowControl w:val="false"/>
              <w:spacing w:lineRule="auto" w:line="240" w:before="0" w:after="120"/>
              <w:ind w:firstLine="567"/>
              <w:jc w:val="left"/>
              <w:rPr>
                <w:rFonts w:ascii="Times New Roman" w:hAnsi="Times New Roman"/>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19"/>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9"/>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auto" w:val="clear"/>
          </w:tcPr>
          <w:p>
            <w:pPr>
              <w:pStyle w:val="Style19"/>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9"/>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auto" w:val="clear"/>
          </w:tcPr>
          <w:p>
            <w:pPr>
              <w:pStyle w:val="Style19"/>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9"/>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highlight w:val="yellow"/>
        </w:rPr>
      </w:pPr>
      <w:r>
        <w:rPr>
          <w:b/>
          <w:bCs/>
          <w:sz w:val="24"/>
          <w:szCs w:val="24"/>
          <w:highlight w:val="yellow"/>
        </w:rPr>
      </w:r>
    </w:p>
    <w:p>
      <w:pPr>
        <w:pStyle w:val="BodyText"/>
        <w:numPr>
          <w:ilvl w:val="0"/>
          <w:numId w:val="0"/>
        </w:numPr>
        <w:spacing w:before="0" w:after="120"/>
        <w:ind w:firstLine="567"/>
        <w:jc w:val="right"/>
        <w:outlineLvl w:val="0"/>
        <w:rPr>
          <w:b/>
          <w:bCs/>
          <w:sz w:val="24"/>
          <w:szCs w:val="24"/>
        </w:rPr>
      </w:pPr>
      <w:r>
        <w:rPr>
          <w:b/>
          <w:bCs/>
          <w:sz w:val="24"/>
          <w:szCs w:val="24"/>
        </w:rPr>
        <w:t>Приложение № 3</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center"/>
        <w:rPr>
          <w:b/>
          <w:bCs/>
          <w:sz w:val="24"/>
          <w:szCs w:val="24"/>
        </w:rPr>
      </w:pPr>
      <w:r>
        <w:rPr>
          <w:b/>
          <w:bCs/>
          <w:sz w:val="24"/>
          <w:szCs w:val="24"/>
        </w:rPr>
        <w:t>ТЕХНИЧЕСКИЕ ТРЕБОВАНИЯ</w:t>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outlineLvl w:val="0"/>
        <w:rPr>
          <w:b/>
          <w:bCs/>
          <w:sz w:val="24"/>
          <w:szCs w:val="24"/>
        </w:rPr>
      </w:pPr>
      <w:r>
        <w:rPr>
          <w:b/>
          <w:bCs/>
          <w:sz w:val="24"/>
          <w:szCs w:val="24"/>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9"/>
              <w:widowControl w:val="false"/>
              <w:spacing w:lineRule="auto" w:line="240" w:before="0" w:after="120"/>
              <w:ind w:firstLine="567"/>
              <w:jc w:val="left"/>
              <w:rPr>
                <w:rFonts w:ascii="Times New Roman" w:hAnsi="Times New Roman"/>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19"/>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9"/>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9"/>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9"/>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9"/>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9"/>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r>
    </w:p>
    <w:p>
      <w:pPr>
        <w:pStyle w:val="BodyText"/>
        <w:numPr>
          <w:ilvl w:val="0"/>
          <w:numId w:val="0"/>
        </w:numPr>
        <w:spacing w:before="0" w:after="120"/>
        <w:ind w:firstLine="567"/>
        <w:jc w:val="right"/>
        <w:outlineLvl w:val="0"/>
        <w:rPr>
          <w:b/>
          <w:bCs/>
          <w:sz w:val="24"/>
          <w:szCs w:val="24"/>
        </w:rPr>
      </w:pPr>
      <w:r>
        <w:rPr>
          <w:b/>
          <w:bCs/>
          <w:sz w:val="24"/>
          <w:szCs w:val="24"/>
        </w:rPr>
        <w:t>Приложение № 4</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BodyText"/>
        <w:numPr>
          <w:ilvl w:val="0"/>
          <w:numId w:val="0"/>
        </w:numPr>
        <w:spacing w:before="0" w:after="120"/>
        <w:outlineLvl w:val="0"/>
        <w:rPr>
          <w:b/>
          <w:bCs/>
          <w:sz w:val="24"/>
          <w:szCs w:val="24"/>
        </w:rPr>
      </w:pPr>
      <w:r>
        <w:rPr>
          <w:b/>
          <w:bCs/>
          <w:sz w:val="24"/>
          <w:szCs w:val="24"/>
        </w:rPr>
      </w:r>
    </w:p>
    <w:p>
      <w:pPr>
        <w:pStyle w:val="Normal"/>
        <w:widowControl w:val="false"/>
        <w:shd w:val="clear" w:color="auto" w:fill="FFFFFF"/>
        <w:tabs>
          <w:tab w:val="clear" w:pos="720"/>
          <w:tab w:val="left" w:pos="3054" w:leader="none"/>
        </w:tabs>
        <w:spacing w:before="0" w:after="120"/>
        <w:jc w:val="center"/>
        <w:rPr>
          <w:b/>
          <w:sz w:val="24"/>
          <w:szCs w:val="24"/>
        </w:rPr>
      </w:pPr>
      <w:r>
        <w:rPr>
          <w:b/>
          <w:sz w:val="24"/>
          <w:szCs w:val="24"/>
        </w:rPr>
        <w:t>Финансовое обеспечение исполнения обязательств</w:t>
      </w:r>
      <w:r>
        <w:rPr>
          <w:rStyle w:val="FootnoteReference"/>
          <w:b/>
          <w:sz w:val="24"/>
          <w:szCs w:val="24"/>
        </w:rPr>
        <w:footnoteReference w:id="12"/>
      </w:r>
    </w:p>
    <w:p>
      <w:pPr>
        <w:pStyle w:val="Normal"/>
        <w:keepNext w:val="true"/>
        <w:numPr>
          <w:ilvl w:val="0"/>
          <w:numId w:val="22"/>
        </w:numPr>
        <w:spacing w:before="240" w:after="60"/>
        <w:jc w:val="center"/>
        <w:outlineLvl w:val="0"/>
        <w:rPr>
          <w:bCs/>
          <w:kern w:val="2"/>
          <w:sz w:val="24"/>
          <w:szCs w:val="24"/>
        </w:rPr>
      </w:pPr>
      <w:bookmarkStart w:id="7" w:name="_Toc122678950"/>
      <w:r>
        <w:rPr>
          <w:bCs/>
          <w:kern w:val="2"/>
          <w:sz w:val="24"/>
          <w:szCs w:val="24"/>
        </w:rPr>
        <w:t>Критерии отбора Банков-гарантов</w:t>
      </w:r>
      <w:r>
        <w:rPr>
          <w:rStyle w:val="FootnoteReference"/>
          <w:bCs/>
          <w:kern w:val="2"/>
          <w:sz w:val="24"/>
          <w:szCs w:val="24"/>
          <w:vertAlign w:val="superscript"/>
        </w:rPr>
        <w:footnoteReference w:id="13"/>
      </w:r>
      <w:bookmarkEnd w:id="7"/>
    </w:p>
    <w:p>
      <w:pPr>
        <w:pStyle w:val="Normal"/>
        <w:ind w:left="709" w:hanging="0"/>
        <w:rPr>
          <w:b/>
          <w:sz w:val="24"/>
          <w:szCs w:val="24"/>
        </w:rPr>
      </w:pPr>
      <w:r>
        <w:rPr>
          <w:b/>
          <w:sz w:val="24"/>
          <w:szCs w:val="24"/>
        </w:rPr>
      </w:r>
    </w:p>
    <w:p>
      <w:pPr>
        <w:pStyle w:val="Normal"/>
        <w:tabs>
          <w:tab w:val="clear" w:pos="720"/>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rPr>
        <w:footnoteReference w:id="14"/>
      </w:r>
      <w:r>
        <w:rPr>
          <w:sz w:val="24"/>
          <w:szCs w:val="24"/>
        </w:rPr>
        <w:t>, а также соответствовать следующим критериям:</w:t>
      </w:r>
    </w:p>
    <w:p>
      <w:pPr>
        <w:pStyle w:val="Normal"/>
        <w:numPr>
          <w:ilvl w:val="1"/>
          <w:numId w:val="17"/>
        </w:numPr>
        <w:tabs>
          <w:tab w:val="clear" w:pos="720"/>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17"/>
        </w:numPr>
        <w:tabs>
          <w:tab w:val="clear" w:pos="720"/>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17"/>
        </w:numPr>
        <w:tabs>
          <w:tab w:val="clear" w:pos="720"/>
          <w:tab w:val="left" w:pos="1134" w:leader="none"/>
        </w:tabs>
        <w:ind w:left="0" w:firstLine="710"/>
        <w:jc w:val="both"/>
        <w:rPr>
          <w:sz w:val="24"/>
          <w:szCs w:val="24"/>
        </w:rPr>
      </w:pPr>
      <w:r>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pPr>
        <w:pStyle w:val="Normal"/>
        <w:numPr>
          <w:ilvl w:val="1"/>
          <w:numId w:val="17"/>
        </w:numPr>
        <w:tabs>
          <w:tab w:val="clear" w:pos="720"/>
          <w:tab w:val="left" w:pos="1134" w:leader="none"/>
        </w:tabs>
        <w:ind w:left="0" w:firstLine="710"/>
        <w:jc w:val="both"/>
        <w:rPr>
          <w:sz w:val="24"/>
          <w:szCs w:val="24"/>
        </w:rPr>
      </w:pPr>
      <w:r>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vertAlign w:val="superscript"/>
        </w:rPr>
        <w:footnoteReference w:id="15"/>
      </w:r>
      <w:r>
        <w:rPr>
          <w:sz w:val="24"/>
          <w:szCs w:val="24"/>
        </w:rPr>
        <w:t xml:space="preserve">. </w:t>
      </w:r>
    </w:p>
    <w:p>
      <w:pPr>
        <w:pStyle w:val="Normal"/>
        <w:numPr>
          <w:ilvl w:val="1"/>
          <w:numId w:val="17"/>
        </w:numPr>
        <w:tabs>
          <w:tab w:val="clear" w:pos="720"/>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vertAlign w:val="superscript"/>
        </w:rPr>
        <w:footnoteReference w:id="16"/>
      </w:r>
      <w:r>
        <w:rPr>
          <w:sz w:val="24"/>
          <w:szCs w:val="24"/>
        </w:rPr>
        <w:t>.</w:t>
      </w:r>
    </w:p>
    <w:p>
      <w:pPr>
        <w:pStyle w:val="Normal"/>
        <w:numPr>
          <w:ilvl w:val="1"/>
          <w:numId w:val="17"/>
        </w:numPr>
        <w:tabs>
          <w:tab w:val="clear" w:pos="720"/>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numPr>
          <w:ilvl w:val="1"/>
          <w:numId w:val="17"/>
        </w:numPr>
        <w:tabs>
          <w:tab w:val="clear" w:pos="720"/>
          <w:tab w:val="left" w:pos="1134" w:leader="none"/>
        </w:tabs>
        <w:ind w:left="0" w:firstLine="710"/>
        <w:jc w:val="both"/>
        <w:rPr>
          <w:sz w:val="24"/>
          <w:szCs w:val="24"/>
        </w:rPr>
      </w:pPr>
      <w:r>
        <w:rPr>
          <w:sz w:val="24"/>
          <w:szCs w:val="24"/>
        </w:rPr>
        <w:t>Не иметь просроченную задолженность перед АО «Гидроремонт-ВКК» и компаниями Группы РусГидро.</w:t>
      </w:r>
    </w:p>
    <w:p>
      <w:pPr>
        <w:pStyle w:val="Normal"/>
        <w:numPr>
          <w:ilvl w:val="1"/>
          <w:numId w:val="17"/>
        </w:numPr>
        <w:tabs>
          <w:tab w:val="clear" w:pos="720"/>
          <w:tab w:val="left" w:pos="1134" w:leader="none"/>
        </w:tabs>
        <w:ind w:left="0" w:firstLine="710"/>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numPr>
          <w:ilvl w:val="1"/>
          <w:numId w:val="18"/>
        </w:numPr>
        <w:tabs>
          <w:tab w:val="clear" w:pos="720"/>
          <w:tab w:val="left" w:pos="1134" w:leader="none"/>
        </w:tabs>
        <w:ind w:left="0" w:firstLine="709"/>
        <w:jc w:val="both"/>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18"/>
        </w:numPr>
        <w:tabs>
          <w:tab w:val="clear" w:pos="720"/>
          <w:tab w:val="left" w:pos="1134" w:leader="none"/>
        </w:tabs>
        <w:ind w:left="0" w:firstLine="709"/>
        <w:jc w:val="both"/>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18"/>
        </w:numPr>
        <w:tabs>
          <w:tab w:val="clear" w:pos="720"/>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18"/>
        </w:numPr>
        <w:tabs>
          <w:tab w:val="clear" w:pos="720"/>
          <w:tab w:val="left" w:pos="1134" w:leader="none"/>
        </w:tabs>
        <w:ind w:left="0" w:firstLine="709"/>
        <w:jc w:val="both"/>
        <w:rPr>
          <w:sz w:val="24"/>
          <w:szCs w:val="24"/>
        </w:rPr>
      </w:pPr>
      <w:r>
        <w:rPr>
          <w:sz w:val="24"/>
          <w:szCs w:val="24"/>
        </w:rPr>
        <w:t xml:space="preserve"> </w:t>
      </w:r>
      <w:r>
        <w:rPr>
          <w:sz w:val="24"/>
          <w:szCs w:val="24"/>
        </w:rPr>
        <w:t>ВЭБ.РФ.</w:t>
      </w:r>
    </w:p>
    <w:p>
      <w:pPr>
        <w:pStyle w:val="Normal"/>
        <w:numPr>
          <w:ilvl w:val="1"/>
          <w:numId w:val="17"/>
        </w:numPr>
        <w:tabs>
          <w:tab w:val="clear" w:pos="720"/>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20"/>
          <w:tab w:val="left" w:pos="1134" w:leader="none"/>
        </w:tabs>
        <w:ind w:firstLine="709"/>
        <w:jc w:val="center"/>
        <w:rPr>
          <w:sz w:val="24"/>
          <w:szCs w:val="24"/>
        </w:rPr>
      </w:pPr>
      <w:r>
        <w:rPr>
          <w:b/>
          <w:i/>
          <w:sz w:val="24"/>
          <w:szCs w:val="24"/>
        </w:rPr>
        <w:t>Lim</w:t>
      </w:r>
      <w:r>
        <w:rPr>
          <w:b/>
          <w:i/>
          <w:sz w:val="24"/>
          <w:szCs w:val="24"/>
          <w:vertAlign w:val="subscript"/>
        </w:rPr>
        <w:t>Ai</w:t>
      </w:r>
      <w:r>
        <w:rPr>
          <w:b/>
          <w:i/>
          <w:sz w:val="24"/>
          <w:szCs w:val="24"/>
        </w:rPr>
        <w:t xml:space="preserve">  = r</w:t>
      </w:r>
      <w:r>
        <w:rPr>
          <w:b/>
          <w:i/>
          <w:sz w:val="24"/>
          <w:szCs w:val="24"/>
          <w:vertAlign w:val="subscript"/>
        </w:rPr>
        <w:t>i</w:t>
      </w:r>
      <w:r>
        <w:rPr>
          <w:b/>
          <w:i/>
          <w:sz w:val="24"/>
          <w:szCs w:val="24"/>
        </w:rPr>
        <w:t xml:space="preserve"> × СK</w:t>
      </w:r>
      <w:r>
        <w:rPr>
          <w:b/>
          <w:i/>
          <w:sz w:val="24"/>
          <w:szCs w:val="24"/>
          <w:vertAlign w:val="subscript"/>
        </w:rPr>
        <w:t>i</w:t>
      </w:r>
      <w:r>
        <w:rPr>
          <w:sz w:val="24"/>
          <w:szCs w:val="24"/>
        </w:rPr>
        <w:t>, где</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3"/>
        <w:gridCol w:w="8506"/>
      </w:tblGrid>
      <w:tr>
        <w:trPr>
          <w:trHeight w:val="426" w:hRule="atLeast"/>
        </w:trPr>
        <w:tc>
          <w:tcPr>
            <w:tcW w:w="817" w:type="dxa"/>
            <w:tcBorders/>
            <w:shd w:color="auto" w:fill="auto" w:val="clear"/>
          </w:tcPr>
          <w:p>
            <w:pPr>
              <w:pStyle w:val="Normal"/>
              <w:widowControl w:val="false"/>
              <w:ind w:right="-108" w:hanging="0"/>
              <w:jc w:val="both"/>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3" w:type="dxa"/>
            <w:tcBorders/>
            <w:shd w:color="auto" w:fill="auto" w:val="clear"/>
          </w:tcPr>
          <w:p>
            <w:pPr>
              <w:pStyle w:val="Normal"/>
              <w:widowControl w:val="false"/>
              <w:ind w:left="317" w:right="-108" w:hanging="317"/>
              <w:jc w:val="both"/>
              <w:rPr>
                <w:color w:val="000000"/>
                <w:sz w:val="24"/>
                <w:szCs w:val="24"/>
              </w:rPr>
            </w:pPr>
            <w:r>
              <w:rPr>
                <w:sz w:val="24"/>
                <w:szCs w:val="24"/>
              </w:rPr>
              <w:t xml:space="preserve">-  </w:t>
            </w:r>
          </w:p>
        </w:tc>
        <w:tc>
          <w:tcPr>
            <w:tcW w:w="8506" w:type="dxa"/>
            <w:tcBorders/>
            <w:shd w:color="auto" w:fill="auto" w:val="clear"/>
          </w:tcPr>
          <w:p>
            <w:pPr>
              <w:pStyle w:val="Normal"/>
              <w:widowControl w:val="false"/>
              <w:ind w:left="-75" w:right="-108" w:hanging="0"/>
              <w:jc w:val="both"/>
              <w:rPr>
                <w:color w:val="000000"/>
                <w:sz w:val="24"/>
                <w:szCs w:val="24"/>
              </w:rPr>
            </w:pPr>
            <w:r>
              <w:rPr>
                <w:sz w:val="24"/>
                <w:szCs w:val="24"/>
              </w:rPr>
              <w:t>Лимит риска для i-ой кредитной организации</w:t>
            </w:r>
            <w:r>
              <w:rPr>
                <w:rStyle w:val="FootnoteReference"/>
                <w:sz w:val="24"/>
                <w:szCs w:val="24"/>
                <w:vertAlign w:val="superscript"/>
              </w:rPr>
              <w:footnoteReference w:id="17"/>
            </w:r>
            <w:r>
              <w:rPr>
                <w:sz w:val="24"/>
                <w:szCs w:val="24"/>
                <w:vertAlign w:val="superscript"/>
              </w:rPr>
              <w:t>.</w:t>
            </w:r>
            <w:r>
              <w:rPr>
                <w:sz w:val="24"/>
                <w:szCs w:val="24"/>
              </w:rPr>
              <w:t xml:space="preserve"> </w:t>
            </w:r>
          </w:p>
        </w:tc>
      </w:tr>
      <w:tr>
        <w:trPr>
          <w:trHeight w:val="280" w:hRule="atLeast"/>
        </w:trPr>
        <w:tc>
          <w:tcPr>
            <w:tcW w:w="817" w:type="dxa"/>
            <w:tcBorders/>
            <w:shd w:color="auto" w:fill="auto" w:val="clear"/>
          </w:tcPr>
          <w:p>
            <w:pPr>
              <w:pStyle w:val="Normal"/>
              <w:widowControl w:val="false"/>
              <w:ind w:right="-108" w:hanging="0"/>
              <w:jc w:val="both"/>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hanging="0"/>
              <w:jc w:val="both"/>
              <w:rPr>
                <w:color w:val="000000"/>
                <w:sz w:val="24"/>
                <w:szCs w:val="24"/>
              </w:rPr>
            </w:pPr>
            <w:r>
              <w:rPr>
                <w:color w:val="000000"/>
                <w:sz w:val="24"/>
                <w:szCs w:val="24"/>
              </w:rPr>
            </w:r>
          </w:p>
        </w:tc>
        <w:tc>
          <w:tcPr>
            <w:tcW w:w="283" w:type="dxa"/>
            <w:tcBorders/>
            <w:shd w:color="auto" w:fill="auto" w:val="clear"/>
          </w:tcPr>
          <w:p>
            <w:pPr>
              <w:pStyle w:val="Normal"/>
              <w:widowControl w:val="false"/>
              <w:ind w:right="-108" w:hanging="0"/>
              <w:jc w:val="both"/>
              <w:rPr>
                <w:color w:val="000000"/>
                <w:sz w:val="24"/>
                <w:szCs w:val="24"/>
              </w:rPr>
            </w:pPr>
            <w:r>
              <w:rPr>
                <w:sz w:val="24"/>
                <w:szCs w:val="24"/>
              </w:rPr>
              <w:t>-</w:t>
            </w:r>
            <w:r>
              <w:rPr>
                <w:color w:val="000000"/>
                <w:sz w:val="24"/>
                <w:szCs w:val="24"/>
              </w:rPr>
              <w:t xml:space="preserve">  </w:t>
            </w:r>
          </w:p>
        </w:tc>
        <w:tc>
          <w:tcPr>
            <w:tcW w:w="8506" w:type="dxa"/>
            <w:tcBorders/>
            <w:shd w:color="auto" w:fill="auto" w:val="clear"/>
          </w:tcPr>
          <w:p>
            <w:pPr>
              <w:pStyle w:val="Normal"/>
              <w:widowControl w:val="false"/>
              <w:ind w:left="-75" w:right="-108" w:hanging="0"/>
              <w:jc w:val="both"/>
              <w:rPr>
                <w:color w:val="000000"/>
                <w:sz w:val="24"/>
                <w:szCs w:val="24"/>
              </w:rPr>
            </w:pPr>
            <w:r>
              <w:rPr>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9">
              <w:r>
                <w:rPr>
                  <w:sz w:val="24"/>
                  <w:szCs w:val="24"/>
                  <w:u w:val="single"/>
                </w:rPr>
                <w:t>www.cbr.ru</w:t>
              </w:r>
            </w:hyperlink>
            <w:r>
              <w:rPr>
                <w:sz w:val="24"/>
                <w:szCs w:val="24"/>
              </w:rPr>
              <w:t>) по строке 000 «Расчет собственных средств (капитала) («Базель III»)», код формы 0409123;</w:t>
            </w:r>
          </w:p>
        </w:tc>
      </w:tr>
      <w:tr>
        <w:trPr>
          <w:trHeight w:val="993" w:hRule="atLeast"/>
        </w:trPr>
        <w:tc>
          <w:tcPr>
            <w:tcW w:w="817" w:type="dxa"/>
            <w:tcBorders/>
          </w:tcPr>
          <w:p>
            <w:pPr>
              <w:pStyle w:val="Normal"/>
              <w:widowControl w:val="false"/>
              <w:ind w:right="-108" w:hanging="0"/>
              <w:jc w:val="both"/>
              <w:rPr>
                <w:b/>
                <w:i/>
                <w:i/>
                <w:color w:val="000000"/>
                <w:sz w:val="24"/>
                <w:szCs w:val="24"/>
              </w:rPr>
            </w:pPr>
            <w:r>
              <w:rPr>
                <w:b/>
                <w:i/>
                <w:color w:val="000000"/>
                <w:sz w:val="24"/>
                <w:szCs w:val="24"/>
              </w:rPr>
              <w:t>r</w:t>
            </w:r>
            <w:r>
              <w:rPr>
                <w:b/>
                <w:i/>
                <w:color w:val="000000"/>
                <w:sz w:val="24"/>
                <w:szCs w:val="24"/>
                <w:vertAlign w:val="subscript"/>
              </w:rPr>
              <w:t>i</w:t>
            </w:r>
          </w:p>
        </w:tc>
        <w:tc>
          <w:tcPr>
            <w:tcW w:w="283" w:type="dxa"/>
            <w:tcBorders/>
          </w:tcPr>
          <w:p>
            <w:pPr>
              <w:pStyle w:val="Normal"/>
              <w:widowControl w:val="false"/>
              <w:ind w:right="-108" w:hanging="0"/>
              <w:jc w:val="both"/>
              <w:rPr>
                <w:sz w:val="24"/>
                <w:szCs w:val="24"/>
              </w:rPr>
            </w:pPr>
            <w:r>
              <w:rPr>
                <w:sz w:val="24"/>
                <w:szCs w:val="24"/>
              </w:rPr>
              <w:t>-</w:t>
            </w:r>
          </w:p>
        </w:tc>
        <w:tc>
          <w:tcPr>
            <w:tcW w:w="8506" w:type="dxa"/>
            <w:tcBorders/>
          </w:tcPr>
          <w:p>
            <w:pPr>
              <w:pStyle w:val="Normal"/>
              <w:widowControl w:val="false"/>
              <w:tabs>
                <w:tab w:val="clear" w:pos="720"/>
                <w:tab w:val="left" w:pos="7130" w:leader="none"/>
              </w:tabs>
              <w:ind w:right="-108" w:hanging="0"/>
              <w:jc w:val="both"/>
              <w:rPr>
                <w:sz w:val="24"/>
                <w:szCs w:val="24"/>
              </w:rPr>
            </w:pPr>
            <w:r>
              <w:rPr>
                <w:sz w:val="24"/>
                <w:szCs w:val="24"/>
              </w:rPr>
              <w:t>рейтинговый коэффициент</w:t>
            </w:r>
            <w:r>
              <w:rPr>
                <w:rStyle w:val="FootnoteReference"/>
                <w:sz w:val="24"/>
                <w:szCs w:val="24"/>
                <w:vertAlign w:val="superscript"/>
              </w:rPr>
              <w:footnoteReference w:id="18"/>
            </w:r>
            <w:r>
              <w:rPr>
                <w:sz w:val="24"/>
                <w:szCs w:val="24"/>
              </w:rPr>
              <w:t xml:space="preserve"> для i-ой кредитной организации, равный:</w:t>
            </w:r>
          </w:p>
          <w:p>
            <w:pPr>
              <w:pStyle w:val="Normal"/>
              <w:widowControl w:val="false"/>
              <w:ind w:firstLine="492"/>
              <w:jc w:val="both"/>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ind w:left="67" w:firstLine="425"/>
              <w:jc w:val="both"/>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ind w:firstLine="492"/>
              <w:jc w:val="both"/>
              <w:rPr>
                <w:sz w:val="24"/>
                <w:szCs w:val="24"/>
              </w:rPr>
            </w:pPr>
            <w:r>
              <w:rPr>
                <w:b/>
                <w:sz w:val="24"/>
                <w:szCs w:val="24"/>
              </w:rPr>
              <w:t>0,015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spacing w:lineRule="auto" w:line="276" w:before="0" w:after="0"/>
        <w:ind w:left="720" w:hanging="0"/>
        <w:contextualSpacing/>
        <w:jc w:val="right"/>
        <w:rPr>
          <w:rFonts w:ascii="Calibri" w:hAnsi="Calibri" w:eastAsia="Calibri"/>
          <w:sz w:val="24"/>
          <w:szCs w:val="24"/>
          <w:lang w:eastAsia="en-US"/>
        </w:rPr>
      </w:pPr>
      <w:r>
        <w:rPr>
          <w:rFonts w:eastAsia="Calibri" w:ascii="Calibri" w:hAnsi="Calibri"/>
          <w:sz w:val="24"/>
          <w:szCs w:val="24"/>
          <w:lang w:eastAsia="en-US"/>
        </w:rPr>
      </w:r>
      <w:r>
        <w:br w:type="page"/>
      </w:r>
    </w:p>
    <w:p>
      <w:pPr>
        <w:pStyle w:val="Normal"/>
        <w:spacing w:lineRule="auto" w:line="276" w:before="0" w:after="200"/>
        <w:ind w:left="720" w:hanging="0"/>
        <w:contextualSpacing/>
        <w:jc w:val="right"/>
        <w:rPr>
          <w:rFonts w:eastAsia="Calibri"/>
          <w:sz w:val="24"/>
          <w:szCs w:val="24"/>
          <w:lang w:eastAsia="en-US"/>
        </w:rPr>
      </w:pPr>
      <w:r>
        <w:rPr>
          <w:rFonts w:eastAsia="Calibri"/>
          <w:sz w:val="24"/>
          <w:szCs w:val="24"/>
          <w:lang w:eastAsia="en-US"/>
        </w:rPr>
      </w:r>
    </w:p>
    <w:p>
      <w:pPr>
        <w:pStyle w:val="Normal"/>
        <w:keepNext w:val="true"/>
        <w:numPr>
          <w:ilvl w:val="0"/>
          <w:numId w:val="17"/>
        </w:numPr>
        <w:spacing w:before="240" w:after="0"/>
        <w:ind w:left="142" w:hanging="142"/>
        <w:jc w:val="center"/>
        <w:outlineLvl w:val="0"/>
        <w:rPr>
          <w:bCs/>
          <w:kern w:val="2"/>
          <w:sz w:val="24"/>
          <w:szCs w:val="24"/>
        </w:rPr>
      </w:pPr>
      <w:bookmarkStart w:id="8" w:name="_Toc122678951"/>
      <w:r>
        <w:rPr>
          <w:bCs/>
          <w:kern w:val="2"/>
          <w:sz w:val="24"/>
          <w:szCs w:val="24"/>
        </w:rPr>
        <w:t>Условия банковской гарантии</w:t>
      </w:r>
      <w:r>
        <w:rPr>
          <w:rStyle w:val="FootnoteReference"/>
          <w:bCs/>
          <w:kern w:val="2"/>
          <w:sz w:val="24"/>
          <w:szCs w:val="24"/>
          <w:vertAlign w:val="superscript"/>
        </w:rPr>
        <w:footnoteReference w:id="19"/>
      </w:r>
      <w:bookmarkEnd w:id="8"/>
    </w:p>
    <w:p>
      <w:pPr>
        <w:pStyle w:val="Normal"/>
        <w:jc w:val="center"/>
        <w:rPr>
          <w:sz w:val="24"/>
          <w:szCs w:val="24"/>
        </w:rPr>
      </w:pPr>
      <w:r>
        <w:rPr>
          <w:sz w:val="24"/>
          <w:szCs w:val="24"/>
        </w:rPr>
      </w:r>
    </w:p>
    <w:p>
      <w:pPr>
        <w:pStyle w:val="Normal"/>
        <w:numPr>
          <w:ilvl w:val="0"/>
          <w:numId w:val="20"/>
        </w:numPr>
        <w:spacing w:before="120" w:after="120"/>
        <w:ind w:left="0" w:firstLine="709"/>
        <w:jc w:val="both"/>
        <w:rPr>
          <w:bCs/>
          <w:sz w:val="24"/>
          <w:szCs w:val="24"/>
        </w:rPr>
      </w:pPr>
      <w:r>
        <w:rPr>
          <w:bCs/>
          <w:sz w:val="24"/>
          <w:szCs w:val="24"/>
        </w:rPr>
        <w:t>Условия банковской гарантии возврата предварительной оплаты (аванса)/надлежащего исполнения обязательств по Договору</w:t>
      </w:r>
    </w:p>
    <w:p>
      <w:pPr>
        <w:pStyle w:val="Normal"/>
        <w:tabs>
          <w:tab w:val="clear" w:pos="720"/>
          <w:tab w:val="left" w:pos="540" w:leader="none"/>
        </w:tabs>
        <w:spacing w:before="20" w:after="20"/>
        <w:ind w:firstLine="709"/>
        <w:jc w:val="both"/>
        <w:rPr>
          <w:color w:val="000000"/>
          <w:sz w:val="24"/>
          <w:szCs w:val="24"/>
        </w:rPr>
      </w:pPr>
      <w:r>
        <w:rPr>
          <w:bCs/>
          <w:sz w:val="24"/>
          <w:szCs w:val="24"/>
        </w:rPr>
        <w:t>Под банковской гарантией понимается гарантия согласованного Покупателем Банка</w:t>
      </w:r>
      <w:r>
        <w:rPr>
          <w:sz w:val="24"/>
          <w:szCs w:val="24"/>
        </w:rPr>
        <w:t xml:space="preserve">, </w:t>
      </w:r>
      <w:r>
        <w:rPr>
          <w:bCs/>
          <w:sz w:val="24"/>
          <w:szCs w:val="24"/>
        </w:rPr>
        <w:t>которая будет регулироваться унифицированными правилами Международной торговой палаты – публикация МТП № 758 (ICC Uniform Rules for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r>
        <w:rPr>
          <w:color w:val="000000"/>
          <w:sz w:val="24"/>
          <w:szCs w:val="24"/>
        </w:rPr>
        <w:t>:</w:t>
      </w:r>
    </w:p>
    <w:p>
      <w:pPr>
        <w:pStyle w:val="Normal"/>
        <w:numPr>
          <w:ilvl w:val="0"/>
          <w:numId w:val="19"/>
        </w:numPr>
        <w:tabs>
          <w:tab w:val="clear" w:pos="720"/>
          <w:tab w:val="left" w:pos="1134" w:leader="none"/>
        </w:tabs>
        <w:spacing w:before="20" w:after="20"/>
        <w:ind w:left="0" w:firstLine="709"/>
        <w:jc w:val="both"/>
        <w:rPr>
          <w:color w:val="000000"/>
          <w:sz w:val="24"/>
          <w:szCs w:val="24"/>
        </w:rPr>
      </w:pPr>
      <w:r>
        <w:rPr>
          <w:color w:val="000000"/>
          <w:sz w:val="24"/>
          <w:szCs w:val="24"/>
        </w:rPr>
        <w:t>банковская гарантия должна быть безотзывной и безусловной (гарантия по первому требованию);</w:t>
      </w:r>
    </w:p>
    <w:p>
      <w:pPr>
        <w:pStyle w:val="Normal"/>
        <w:numPr>
          <w:ilvl w:val="0"/>
          <w:numId w:val="19"/>
        </w:numPr>
        <w:tabs>
          <w:tab w:val="clear" w:pos="720"/>
          <w:tab w:val="left" w:pos="1134" w:leader="none"/>
        </w:tabs>
        <w:spacing w:before="20" w:after="20"/>
        <w:ind w:left="0" w:firstLine="709"/>
        <w:jc w:val="both"/>
        <w:rPr>
          <w:color w:val="000000"/>
          <w:sz w:val="24"/>
          <w:szCs w:val="24"/>
        </w:rPr>
      </w:pPr>
      <w:r>
        <w:rPr>
          <w:color w:val="000000"/>
          <w:sz w:val="24"/>
          <w:szCs w:val="24"/>
        </w:rPr>
        <w:t>бенефициар по банковской гарантии – Покупатель (далее – Бенефициар), принципал – Поставщик (далее – Принципал);</w:t>
      </w:r>
    </w:p>
    <w:p>
      <w:pPr>
        <w:pStyle w:val="Normal"/>
        <w:numPr>
          <w:ilvl w:val="0"/>
          <w:numId w:val="19"/>
        </w:numPr>
        <w:tabs>
          <w:tab w:val="clear" w:pos="720"/>
          <w:tab w:val="left" w:pos="1134" w:leader="none"/>
        </w:tabs>
        <w:spacing w:before="20" w:after="20"/>
        <w:ind w:left="0" w:firstLine="709"/>
        <w:jc w:val="both"/>
        <w:rPr>
          <w:color w:val="000000"/>
          <w:sz w:val="24"/>
          <w:szCs w:val="24"/>
        </w:rPr>
      </w:pPr>
      <w:r>
        <w:rPr>
          <w:color w:val="000000"/>
          <w:sz w:val="24"/>
          <w:szCs w:val="24"/>
        </w:rPr>
        <w:t xml:space="preserve">сумма банковской гарантии выражена в валюте расчетов </w:t>
        <w:br/>
        <w:t>по Договору;</w:t>
      </w:r>
    </w:p>
    <w:p>
      <w:pPr>
        <w:pStyle w:val="Normal"/>
        <w:numPr>
          <w:ilvl w:val="0"/>
          <w:numId w:val="19"/>
        </w:numPr>
        <w:tabs>
          <w:tab w:val="clear" w:pos="720"/>
          <w:tab w:val="left" w:pos="1134" w:leader="none"/>
        </w:tabs>
        <w:spacing w:before="20" w:after="20"/>
        <w:ind w:left="0" w:firstLine="709"/>
        <w:jc w:val="both"/>
        <w:rPr>
          <w:color w:val="000000"/>
          <w:sz w:val="24"/>
          <w:szCs w:val="24"/>
        </w:rPr>
      </w:pPr>
      <w:r>
        <w:rPr>
          <w:color w:val="000000"/>
          <w:sz w:val="24"/>
          <w:szCs w:val="24"/>
        </w:rPr>
        <w:t xml:space="preserve">сумма банковской гарантии возврата авансового платежа – не менее 100 (ста) процентов от суммы уплачиваемого по Договору аванса </w:t>
        <w:br/>
        <w:t>(в совокупной сумме с учетом ранее выплаченных и неотработанных авансовых платежей);</w:t>
      </w:r>
    </w:p>
    <w:p>
      <w:pPr>
        <w:pStyle w:val="Normal"/>
        <w:numPr>
          <w:ilvl w:val="0"/>
          <w:numId w:val="19"/>
        </w:numPr>
        <w:tabs>
          <w:tab w:val="clear" w:pos="720"/>
          <w:tab w:val="left" w:pos="1134" w:leader="none"/>
        </w:tabs>
        <w:spacing w:before="20" w:after="20"/>
        <w:ind w:left="0" w:firstLine="709"/>
        <w:jc w:val="both"/>
        <w:rPr>
          <w:color w:val="000000"/>
          <w:sz w:val="24"/>
          <w:szCs w:val="24"/>
        </w:rPr>
      </w:pPr>
      <w:r>
        <w:rPr>
          <w:color w:val="000000"/>
          <w:sz w:val="24"/>
          <w:szCs w:val="24"/>
        </w:rPr>
        <w:t>сумма банковской гарантии надлежащего исполнения обязательств по Договору должна составлять не менее:</w:t>
      </w:r>
    </w:p>
    <w:p>
      <w:pPr>
        <w:pStyle w:val="Normal"/>
        <w:numPr>
          <w:ilvl w:val="0"/>
          <w:numId w:val="16"/>
        </w:numPr>
        <w:tabs>
          <w:tab w:val="clear" w:pos="720"/>
          <w:tab w:val="left" w:pos="1134" w:leader="none"/>
        </w:tabs>
        <w:spacing w:before="20" w:after="20"/>
        <w:ind w:left="0" w:firstLine="709"/>
        <w:jc w:val="both"/>
        <w:rPr>
          <w:color w:val="000000"/>
          <w:sz w:val="24"/>
          <w:szCs w:val="24"/>
        </w:rPr>
      </w:pPr>
      <w:r>
        <w:rPr>
          <w:color w:val="000000"/>
          <w:sz w:val="24"/>
          <w:szCs w:val="24"/>
        </w:rPr>
        <w:t>10 (десяти) процентов от цены Договора / объекта;</w:t>
      </w:r>
    </w:p>
    <w:p>
      <w:pPr>
        <w:pStyle w:val="Normal"/>
        <w:numPr>
          <w:ilvl w:val="0"/>
          <w:numId w:val="19"/>
        </w:numPr>
        <w:tabs>
          <w:tab w:val="clear" w:pos="720"/>
          <w:tab w:val="left" w:pos="1134" w:leader="none"/>
        </w:tabs>
        <w:spacing w:before="20" w:after="20"/>
        <w:ind w:left="0" w:firstLine="709"/>
        <w:jc w:val="both"/>
        <w:rPr>
          <w:color w:val="000000"/>
          <w:sz w:val="24"/>
          <w:szCs w:val="24"/>
        </w:rPr>
      </w:pPr>
      <w:r>
        <w:rPr>
          <w:color w:val="000000"/>
          <w:sz w:val="24"/>
          <w:szCs w:val="24"/>
        </w:rPr>
        <w:t xml:space="preserve">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Договору, или не ранее </w:t>
        <w:br/>
        <w:t xml:space="preserve">70 (семидесяти) календарных дней с даты окончания гарантийного срока </w:t>
        <w:br/>
        <w:t>на объект</w:t>
      </w:r>
      <w:r>
        <w:rPr>
          <w:rStyle w:val="FootnoteReference"/>
          <w:color w:val="000000"/>
          <w:sz w:val="24"/>
          <w:szCs w:val="24"/>
          <w:vertAlign w:val="superscript"/>
        </w:rPr>
        <w:footnoteReference w:id="20"/>
      </w:r>
      <w:r>
        <w:rPr>
          <w:color w:val="000000"/>
          <w:sz w:val="24"/>
          <w:szCs w:val="24"/>
        </w:rPr>
        <w:t>.</w:t>
      </w:r>
    </w:p>
    <w:p>
      <w:pPr>
        <w:pStyle w:val="Normal"/>
        <w:spacing w:before="20" w:after="20"/>
        <w:ind w:firstLine="709"/>
        <w:jc w:val="both"/>
        <w:rPr>
          <w:sz w:val="24"/>
          <w:szCs w:val="24"/>
        </w:rPr>
      </w:pPr>
      <w:r>
        <w:rPr>
          <w:bCs/>
          <w:sz w:val="24"/>
          <w:szCs w:val="24"/>
        </w:rPr>
        <w:t xml:space="preserve">Банковская гарантия должна предусматривать, что для истребования суммы обеспечения Бенефициар направляет Банку-гаранту только письменное требование о предъявлении суммы обеспечения к оплате, как полностью, так </w:t>
        <w:br/>
        <w:t xml:space="preserve">и частично, с указанием на существо допущенных Принципалом нарушений, </w:t>
        <w:br/>
        <w:t>в том числе в случаях</w:t>
      </w:r>
      <w:r>
        <w:rPr>
          <w:sz w:val="24"/>
          <w:szCs w:val="24"/>
        </w:rPr>
        <w:t>:</w:t>
      </w:r>
    </w:p>
    <w:p>
      <w:pPr>
        <w:pStyle w:val="Normal"/>
        <w:numPr>
          <w:ilvl w:val="0"/>
          <w:numId w:val="15"/>
        </w:numPr>
        <w:tabs>
          <w:tab w:val="clear" w:pos="720"/>
          <w:tab w:val="left" w:pos="1134" w:leader="none"/>
        </w:tabs>
        <w:spacing w:before="20" w:after="20"/>
        <w:ind w:left="0" w:firstLine="709"/>
        <w:jc w:val="both"/>
        <w:rPr>
          <w:color w:val="000000"/>
          <w:sz w:val="24"/>
          <w:szCs w:val="24"/>
        </w:rPr>
      </w:pPr>
      <w:r>
        <w:rPr>
          <w:color w:val="000000"/>
          <w:sz w:val="24"/>
          <w:szCs w:val="24"/>
        </w:rPr>
        <w:t>отказа Принципала от исполнения обязательств по Договору, в том числе одностороннего отказа от Договора;</w:t>
      </w:r>
    </w:p>
    <w:p>
      <w:pPr>
        <w:pStyle w:val="Normal"/>
        <w:numPr>
          <w:ilvl w:val="0"/>
          <w:numId w:val="15"/>
        </w:numPr>
        <w:tabs>
          <w:tab w:val="clear" w:pos="720"/>
          <w:tab w:val="left" w:pos="1134" w:leader="none"/>
        </w:tabs>
        <w:spacing w:before="20" w:after="20"/>
        <w:ind w:left="0" w:firstLine="709"/>
        <w:jc w:val="both"/>
        <w:rPr>
          <w:color w:val="000000"/>
          <w:sz w:val="24"/>
          <w:szCs w:val="24"/>
        </w:rPr>
      </w:pPr>
      <w:r>
        <w:rPr>
          <w:color w:val="000000"/>
          <w:sz w:val="24"/>
          <w:szCs w:val="24"/>
        </w:rPr>
        <w:t xml:space="preserve">отказа Принципала от возврата неотработанного аванса </w:t>
        <w:br/>
        <w:t xml:space="preserve">при досрочном прекращении Договора/признании Договора недействительным; </w:t>
      </w:r>
    </w:p>
    <w:p>
      <w:pPr>
        <w:pStyle w:val="Normal"/>
        <w:numPr>
          <w:ilvl w:val="0"/>
          <w:numId w:val="15"/>
        </w:numPr>
        <w:tabs>
          <w:tab w:val="clear" w:pos="720"/>
          <w:tab w:val="left" w:pos="1134" w:leader="none"/>
        </w:tabs>
        <w:spacing w:before="20" w:after="20"/>
        <w:ind w:left="0" w:firstLine="709"/>
        <w:jc w:val="both"/>
        <w:rPr>
          <w:color w:val="000000"/>
          <w:sz w:val="24"/>
          <w:szCs w:val="24"/>
        </w:rPr>
      </w:pPr>
      <w:r>
        <w:rPr>
          <w:color w:val="000000"/>
          <w:sz w:val="24"/>
          <w:szCs w:val="24"/>
        </w:rPr>
        <w:t xml:space="preserve">нарушения Принципалом сроков поставки/выполнения работ/ оказания услуг, установленных Календарным графиком, более чем </w:t>
        <w:br/>
        <w:t>на 15 (пятнадцать) календарных дней;</w:t>
      </w:r>
    </w:p>
    <w:p>
      <w:pPr>
        <w:pStyle w:val="Normal"/>
        <w:numPr>
          <w:ilvl w:val="0"/>
          <w:numId w:val="15"/>
        </w:numPr>
        <w:tabs>
          <w:tab w:val="clear" w:pos="720"/>
          <w:tab w:val="left" w:pos="1134" w:leader="none"/>
        </w:tabs>
        <w:spacing w:before="20" w:after="20"/>
        <w:ind w:left="0" w:firstLine="709"/>
        <w:jc w:val="both"/>
        <w:rPr>
          <w:color w:val="000000"/>
          <w:sz w:val="24"/>
          <w:szCs w:val="24"/>
        </w:rPr>
      </w:pPr>
      <w:r>
        <w:rPr>
          <w:color w:val="000000"/>
          <w:sz w:val="24"/>
          <w:szCs w:val="24"/>
        </w:rPr>
        <w:t xml:space="preserve"> </w:t>
      </w:r>
      <w:r>
        <w:rPr>
          <w:color w:val="000000"/>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pPr>
        <w:pStyle w:val="Normal"/>
        <w:numPr>
          <w:ilvl w:val="0"/>
          <w:numId w:val="15"/>
        </w:numPr>
        <w:tabs>
          <w:tab w:val="clear" w:pos="720"/>
          <w:tab w:val="left" w:pos="1134" w:leader="none"/>
        </w:tabs>
        <w:spacing w:before="20" w:after="20"/>
        <w:ind w:left="0" w:firstLine="709"/>
        <w:jc w:val="both"/>
        <w:rPr>
          <w:bCs/>
          <w:sz w:val="24"/>
          <w:szCs w:val="24"/>
        </w:rPr>
      </w:pPr>
      <w:r>
        <w:rPr>
          <w:color w:val="000000"/>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15"/>
        </w:numPr>
        <w:tabs>
          <w:tab w:val="clear" w:pos="720"/>
          <w:tab w:val="left" w:pos="1134" w:leader="none"/>
        </w:tabs>
        <w:spacing w:before="20" w:after="20"/>
        <w:ind w:left="0" w:firstLine="709"/>
        <w:jc w:val="both"/>
        <w:rPr>
          <w:color w:val="000000"/>
          <w:sz w:val="24"/>
          <w:szCs w:val="24"/>
        </w:rPr>
      </w:pPr>
      <w:r>
        <w:rPr>
          <w:color w:val="000000"/>
          <w:sz w:val="24"/>
          <w:szCs w:val="24"/>
        </w:rPr>
        <w:t>введения арбитражным судом процедуры несостоятельности (банкротства) в отношении Принципала;</w:t>
      </w:r>
    </w:p>
    <w:p>
      <w:pPr>
        <w:pStyle w:val="Normal"/>
        <w:numPr>
          <w:ilvl w:val="0"/>
          <w:numId w:val="15"/>
        </w:numPr>
        <w:tabs>
          <w:tab w:val="clear" w:pos="720"/>
          <w:tab w:val="left" w:pos="1134" w:leader="none"/>
        </w:tabs>
        <w:spacing w:before="20" w:after="20"/>
        <w:ind w:left="0" w:firstLine="709"/>
        <w:jc w:val="both"/>
        <w:rPr>
          <w:color w:val="000000"/>
          <w:sz w:val="24"/>
          <w:szCs w:val="24"/>
        </w:rPr>
      </w:pPr>
      <w:r>
        <w:rPr>
          <w:color w:val="000000"/>
          <w:sz w:val="24"/>
          <w:szCs w:val="24"/>
        </w:rPr>
        <w:t xml:space="preserve">установления в ходе исполнения Договора фактов несоответствия Принципала установленным документацией о закупке требованиям </w:t>
        <w:br/>
        <w:t xml:space="preserve">к участникам закупки и / или предоставления недостоверной информации </w:t>
        <w:br/>
        <w:t>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pPr>
        <w:pStyle w:val="Normal"/>
        <w:numPr>
          <w:ilvl w:val="0"/>
          <w:numId w:val="15"/>
        </w:numPr>
        <w:tabs>
          <w:tab w:val="clear" w:pos="720"/>
          <w:tab w:val="left" w:pos="1134" w:leader="none"/>
        </w:tabs>
        <w:spacing w:before="20" w:after="20"/>
        <w:ind w:left="0" w:firstLine="709"/>
        <w:jc w:val="both"/>
        <w:rPr>
          <w:sz w:val="24"/>
          <w:szCs w:val="24"/>
        </w:rPr>
      </w:pPr>
      <w:r>
        <w:rPr>
          <w:color w:val="000000"/>
          <w:sz w:val="24"/>
          <w:szCs w:val="24"/>
        </w:rPr>
        <w:t>признания Договора недействительным по причинам отсутствия необходимых</w:t>
      </w:r>
      <w:r>
        <w:rPr>
          <w:sz w:val="24"/>
          <w:szCs w:val="24"/>
        </w:rPr>
        <w:t xml:space="preserve"> корпоративных одобрений у Принципала;</w:t>
      </w:r>
    </w:p>
    <w:p>
      <w:pPr>
        <w:pStyle w:val="Normal"/>
        <w:numPr>
          <w:ilvl w:val="0"/>
          <w:numId w:val="15"/>
        </w:numPr>
        <w:tabs>
          <w:tab w:val="clear" w:pos="720"/>
          <w:tab w:val="left" w:pos="1134" w:leader="none"/>
        </w:tabs>
        <w:spacing w:before="20" w:after="20"/>
        <w:ind w:left="0" w:firstLine="709"/>
        <w:jc w:val="both"/>
        <w:rPr>
          <w:sz w:val="24"/>
          <w:szCs w:val="24"/>
        </w:rPr>
      </w:pPr>
      <w:r>
        <w:rPr>
          <w:sz w:val="24"/>
          <w:szCs w:val="24"/>
        </w:rPr>
        <w:t xml:space="preserve">не предоставления Принципалом в срок не позднее чем </w:t>
        <w:br/>
        <w:t xml:space="preserve">за 30 (тридцать) календарных дней до даты истечения срока действия банковской гарантии новой банковской гарантии или изменения </w:t>
        <w:br/>
        <w:t>к действующей гарантии в части увеличения срока ее действия на новый период, в случаях если срок исполнения обязательств Принципала</w:t>
        <w:br/>
        <w:t>по Договору превышает срок действия банковской гарантии либо срок исполнения обязательств продлен.</w:t>
      </w:r>
    </w:p>
    <w:p>
      <w:pPr>
        <w:pStyle w:val="Normal"/>
        <w:spacing w:before="20" w:after="20"/>
        <w:ind w:firstLine="709"/>
        <w:jc w:val="both"/>
        <w:rPr>
          <w:color w:val="000000"/>
          <w:sz w:val="24"/>
          <w:szCs w:val="24"/>
        </w:rPr>
      </w:pPr>
      <w:r>
        <w:rPr>
          <w:color w:val="000000"/>
          <w:sz w:val="24"/>
          <w:szCs w:val="24"/>
        </w:rPr>
        <w:t>Вместе с требованием о предъявлении суммы обеспечения к оплате Бенефициар направляет Банку-гаранту копию банковской гарантии.</w:t>
      </w:r>
    </w:p>
    <w:p>
      <w:pPr>
        <w:pStyle w:val="Normal"/>
        <w:spacing w:before="20" w:after="20"/>
        <w:ind w:firstLine="709"/>
        <w:jc w:val="both"/>
        <w:rPr>
          <w:sz w:val="24"/>
          <w:szCs w:val="24"/>
        </w:rPr>
      </w:pPr>
      <w:r>
        <w:rPr>
          <w:bCs/>
          <w:sz w:val="24"/>
          <w:szCs w:val="24"/>
        </w:rPr>
        <w:t xml:space="preserve">Банковской гарантией возврата авансового платежа может быть предусмотрено условие о предоставлении вместе с требованием </w:t>
        <w:br/>
        <w:t>о предъявлении суммы обеспечения к оплате платежного поручения Бенефициара, подтверждающего факт осуществления Бенефициаром авансового платежа, с отметкой банка об исполнении.</w:t>
      </w:r>
    </w:p>
    <w:p>
      <w:pPr>
        <w:pStyle w:val="Normal"/>
        <w:spacing w:before="20" w:after="20"/>
        <w:ind w:firstLine="709"/>
        <w:jc w:val="both"/>
        <w:rPr>
          <w:sz w:val="24"/>
          <w:szCs w:val="24"/>
        </w:rPr>
      </w:pPr>
      <w:r>
        <w:rPr>
          <w:sz w:val="24"/>
          <w:szCs w:val="24"/>
        </w:rPr>
        <w:t xml:space="preserve">Платеж по банковской гарантии осуществляется Банком-гарантом </w:t>
        <w:br/>
        <w:t>в течение 10 (десяти) рабочих дней после обращения Бенефициара.</w:t>
      </w:r>
    </w:p>
    <w:p>
      <w:pPr>
        <w:pStyle w:val="Normal"/>
        <w:spacing w:before="20" w:after="20"/>
        <w:ind w:firstLine="709"/>
        <w:jc w:val="both"/>
        <w:rPr>
          <w:sz w:val="24"/>
          <w:szCs w:val="24"/>
        </w:rPr>
      </w:pPr>
      <w:r>
        <w:rPr>
          <w:sz w:val="24"/>
          <w:szCs w:val="24"/>
        </w:rPr>
        <w:t xml:space="preserve">Сумма банковской гарантии возврата авансового платежа по согласованию с Бенефициаром может быть уменьшена пропорционально сумме выполненных Принципалом обязательств по Договору </w:t>
      </w:r>
      <w:r>
        <w:rPr>
          <w:color w:val="000000"/>
          <w:sz w:val="24"/>
          <w:szCs w:val="24"/>
        </w:rPr>
        <w:t xml:space="preserve">/ </w:t>
      </w:r>
      <w:r>
        <w:rPr>
          <w:sz w:val="24"/>
          <w:szCs w:val="24"/>
        </w:rPr>
        <w:t>соответствующему объекту при условии подтверждения их выполнения</w:t>
      </w:r>
      <w:r>
        <w:rPr>
          <w:rStyle w:val="FootnoteReference"/>
          <w:sz w:val="24"/>
          <w:szCs w:val="24"/>
          <w:vertAlign w:val="superscript"/>
        </w:rPr>
        <w:footnoteReference w:id="21"/>
      </w:r>
      <w:r>
        <w:rPr>
          <w:sz w:val="24"/>
          <w:szCs w:val="24"/>
        </w:rPr>
        <w:t>.</w:t>
      </w:r>
    </w:p>
    <w:p>
      <w:pPr>
        <w:pStyle w:val="Normal"/>
        <w:spacing w:before="20" w:after="20"/>
        <w:ind w:firstLine="709"/>
        <w:jc w:val="both"/>
        <w:rPr>
          <w:sz w:val="24"/>
          <w:szCs w:val="24"/>
        </w:rPr>
      </w:pPr>
      <w:r>
        <w:rPr>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pPr>
        <w:pStyle w:val="Normal"/>
        <w:ind w:firstLine="709"/>
        <w:jc w:val="both"/>
        <w:rPr>
          <w:sz w:val="24"/>
          <w:szCs w:val="24"/>
        </w:rPr>
      </w:pPr>
      <w:r>
        <w:rPr>
          <w:sz w:val="24"/>
          <w:szCs w:val="24"/>
        </w:rPr>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pPr>
        <w:pStyle w:val="Normal"/>
        <w:spacing w:before="20" w:after="20"/>
        <w:ind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 Москвы</w:t>
      </w:r>
      <w:r>
        <w:rPr>
          <w:rStyle w:val="FootnoteReference"/>
          <w:sz w:val="24"/>
          <w:szCs w:val="24"/>
          <w:vertAlign w:val="superscript"/>
        </w:rPr>
        <w:footnoteReference w:id="22"/>
      </w:r>
      <w:r>
        <w:rPr>
          <w:bCs/>
          <w:sz w:val="24"/>
          <w:szCs w:val="24"/>
        </w:rPr>
        <w:t xml:space="preserve"> </w:t>
        <w:br/>
        <w:t>в качестве органа, компетентного разрешать споры из банковской гарантии.</w:t>
      </w:r>
    </w:p>
    <w:p>
      <w:pPr>
        <w:pStyle w:val="Normal"/>
        <w:spacing w:before="20" w:after="20"/>
        <w:ind w:firstLine="709"/>
        <w:jc w:val="both"/>
        <w:rPr>
          <w:sz w:val="24"/>
          <w:szCs w:val="24"/>
        </w:rPr>
      </w:pPr>
      <w:r>
        <w:rPr>
          <w:sz w:val="24"/>
          <w:szCs w:val="24"/>
        </w:rPr>
        <w:t>Банковская гарантия не должна содержать условий или требований, противоречащих изложенному или делающих изложенное неисполнимым.</w:t>
      </w:r>
    </w:p>
    <w:p>
      <w:pPr>
        <w:pStyle w:val="Normal"/>
        <w:ind w:firstLine="709"/>
        <w:jc w:val="right"/>
        <w:rPr>
          <w:sz w:val="24"/>
          <w:szCs w:val="24"/>
        </w:rPr>
      </w:pPr>
      <w:r>
        <w:rPr>
          <w:sz w:val="24"/>
          <w:szCs w:val="24"/>
        </w:rPr>
      </w:r>
      <w:r>
        <w:br w:type="page"/>
      </w:r>
    </w:p>
    <w:p>
      <w:pPr>
        <w:pStyle w:val="Normal"/>
        <w:ind w:firstLine="709"/>
        <w:jc w:val="right"/>
        <w:rPr>
          <w:bCs/>
          <w:sz w:val="24"/>
          <w:szCs w:val="24"/>
        </w:rPr>
      </w:pPr>
      <w:r>
        <w:rPr>
          <w:bCs/>
          <w:sz w:val="24"/>
          <w:szCs w:val="24"/>
        </w:rPr>
      </w:r>
    </w:p>
    <w:p>
      <w:pPr>
        <w:pStyle w:val="Normal"/>
        <w:keepNext w:val="true"/>
        <w:numPr>
          <w:ilvl w:val="0"/>
          <w:numId w:val="20"/>
        </w:numPr>
        <w:jc w:val="center"/>
        <w:outlineLvl w:val="0"/>
        <w:rPr>
          <w:bCs/>
          <w:kern w:val="2"/>
          <w:sz w:val="24"/>
          <w:szCs w:val="24"/>
        </w:rPr>
      </w:pPr>
      <w:bookmarkStart w:id="9" w:name="_Toc122678952"/>
      <w:r>
        <w:rPr>
          <w:bCs/>
          <w:kern w:val="2"/>
          <w:sz w:val="24"/>
          <w:szCs w:val="24"/>
        </w:rPr>
        <w:t>Условия Независимой(-ых) гарантии(-й),</w:t>
      </w:r>
      <w:bookmarkEnd w:id="9"/>
      <w:r>
        <w:rPr>
          <w:bCs/>
          <w:kern w:val="2"/>
          <w:sz w:val="24"/>
          <w:szCs w:val="24"/>
        </w:rPr>
        <w:t xml:space="preserve"> </w:t>
      </w:r>
    </w:p>
    <w:p>
      <w:pPr>
        <w:pStyle w:val="Normal"/>
        <w:jc w:val="center"/>
        <w:rPr>
          <w:sz w:val="24"/>
          <w:szCs w:val="24"/>
        </w:rPr>
      </w:pPr>
      <w:bookmarkStart w:id="10" w:name="_Toc122678294"/>
      <w:r>
        <w:rPr>
          <w:sz w:val="24"/>
          <w:szCs w:val="24"/>
        </w:rPr>
        <w:t xml:space="preserve">предоставляемой(-ых) в качестве обеспечения исполнения Договора, заключаемого с МСП при осуществлении закупки товаров, работ, услуг в электронной форме с участием МСП </w:t>
      </w:r>
      <w:r>
        <w:rPr>
          <w:rStyle w:val="FootnoteReference"/>
          <w:sz w:val="24"/>
          <w:szCs w:val="24"/>
          <w:vertAlign w:val="superscript"/>
        </w:rPr>
        <w:footnoteReference w:id="23"/>
      </w:r>
      <w:r>
        <w:rPr>
          <w:sz w:val="24"/>
          <w:szCs w:val="24"/>
        </w:rPr>
        <w:t xml:space="preserve"> </w:t>
      </w:r>
      <w:bookmarkEnd w:id="10"/>
    </w:p>
    <w:p>
      <w:pPr>
        <w:pStyle w:val="Normal"/>
        <w:jc w:val="center"/>
        <w:rPr>
          <w:sz w:val="24"/>
          <w:szCs w:val="24"/>
        </w:rPr>
      </w:pPr>
      <w:r>
        <w:rPr>
          <w:sz w:val="24"/>
          <w:szCs w:val="24"/>
        </w:rPr>
      </w:r>
    </w:p>
    <w:p>
      <w:pPr>
        <w:pStyle w:val="Normal"/>
        <w:ind w:firstLine="709"/>
        <w:jc w:val="both"/>
        <w:rPr>
          <w:bCs/>
          <w:sz w:val="24"/>
          <w:szCs w:val="24"/>
        </w:rPr>
      </w:pPr>
      <w:r>
        <w:rPr>
          <w:bCs/>
          <w:sz w:val="24"/>
          <w:szCs w:val="24"/>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pPr>
        <w:pStyle w:val="Normal"/>
        <w:numPr>
          <w:ilvl w:val="0"/>
          <w:numId w:val="21"/>
        </w:numPr>
        <w:ind w:left="0" w:firstLine="709"/>
        <w:jc w:val="both"/>
        <w:rPr>
          <w:bCs/>
          <w:sz w:val="24"/>
          <w:szCs w:val="24"/>
        </w:rPr>
      </w:pPr>
      <w:r>
        <w:rPr>
          <w:bCs/>
          <w:sz w:val="24"/>
          <w:szCs w:val="24"/>
        </w:rPr>
        <w:t>Независимая гарантия не может быть отозвана выдавшим ее гарантом (далее – Гарант);</w:t>
      </w:r>
    </w:p>
    <w:p>
      <w:pPr>
        <w:pStyle w:val="Normal"/>
        <w:numPr>
          <w:ilvl w:val="0"/>
          <w:numId w:val="21"/>
        </w:numPr>
        <w:ind w:left="0" w:firstLine="709"/>
        <w:jc w:val="both"/>
        <w:rPr>
          <w:bCs/>
          <w:sz w:val="24"/>
          <w:szCs w:val="24"/>
        </w:rPr>
      </w:pPr>
      <w:r>
        <w:rPr>
          <w:bCs/>
          <w:sz w:val="24"/>
          <w:szCs w:val="24"/>
        </w:rPr>
        <w:t>бенефициар по Независимой гарантии – Покупатель (далее –Бенефициар), принципал – Поставщик (далее – Принципал);</w:t>
      </w:r>
    </w:p>
    <w:p>
      <w:pPr>
        <w:pStyle w:val="Normal"/>
        <w:numPr>
          <w:ilvl w:val="0"/>
          <w:numId w:val="21"/>
        </w:numPr>
        <w:ind w:left="0" w:firstLine="709"/>
        <w:jc w:val="both"/>
        <w:rPr>
          <w:bCs/>
          <w:sz w:val="24"/>
          <w:szCs w:val="24"/>
        </w:rPr>
      </w:pPr>
      <w:r>
        <w:rPr>
          <w:bCs/>
          <w:sz w:val="24"/>
          <w:szCs w:val="24"/>
        </w:rPr>
        <w:t>сумма Независимой гарантии выражена в валюте расчетов по Договору;</w:t>
      </w:r>
    </w:p>
    <w:p>
      <w:pPr>
        <w:pStyle w:val="Normal"/>
        <w:numPr>
          <w:ilvl w:val="0"/>
          <w:numId w:val="21"/>
        </w:numPr>
        <w:ind w:left="0" w:firstLine="709"/>
        <w:jc w:val="both"/>
        <w:rPr>
          <w:bCs/>
          <w:sz w:val="24"/>
          <w:szCs w:val="24"/>
        </w:rPr>
      </w:pPr>
      <w:r>
        <w:rPr>
          <w:bCs/>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 объекта (если Договором не предусмотрена выплата аванса) или в размере аванса (если Договором предусмотрена выплата аванса);</w:t>
      </w:r>
    </w:p>
    <w:p>
      <w:pPr>
        <w:pStyle w:val="Normal"/>
        <w:numPr>
          <w:ilvl w:val="0"/>
          <w:numId w:val="21"/>
        </w:numPr>
        <w:ind w:left="0" w:firstLine="709"/>
        <w:jc w:val="both"/>
        <w:rPr>
          <w:bCs/>
          <w:sz w:val="24"/>
          <w:szCs w:val="24"/>
        </w:rPr>
      </w:pPr>
      <w:r>
        <w:rPr>
          <w:bCs/>
          <w:sz w:val="24"/>
          <w:szCs w:val="24"/>
        </w:rPr>
        <w:t xml:space="preserve">сумма Независимой гарантии на гарантийный период – не менее </w:t>
        <w:br/>
        <w:t>5 (пяти) процентов от цены Договора / объекта;</w:t>
      </w:r>
    </w:p>
    <w:p>
      <w:pPr>
        <w:pStyle w:val="Normal"/>
        <w:numPr>
          <w:ilvl w:val="0"/>
          <w:numId w:val="21"/>
        </w:numPr>
        <w:ind w:left="0" w:firstLine="709"/>
        <w:jc w:val="both"/>
        <w:rPr>
          <w:bCs/>
          <w:sz w:val="24"/>
          <w:szCs w:val="24"/>
        </w:rPr>
      </w:pPr>
      <w:r>
        <w:rPr>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или не ранее 70 (семидесяти) календарных дней с даты окончания гарантийного срока на объект</w:t>
      </w:r>
      <w:r>
        <w:rPr>
          <w:rStyle w:val="FootnoteReference"/>
          <w:sz w:val="24"/>
          <w:szCs w:val="24"/>
          <w:vertAlign w:val="superscript"/>
        </w:rPr>
        <w:footnoteReference w:id="24"/>
      </w:r>
      <w:r>
        <w:rPr>
          <w:bCs/>
          <w:sz w:val="24"/>
          <w:szCs w:val="24"/>
        </w:rPr>
        <w:t>;</w:t>
      </w:r>
    </w:p>
    <w:p>
      <w:pPr>
        <w:pStyle w:val="Normal"/>
        <w:numPr>
          <w:ilvl w:val="0"/>
          <w:numId w:val="21"/>
        </w:numPr>
        <w:ind w:left="0" w:firstLine="709"/>
        <w:jc w:val="both"/>
        <w:rPr>
          <w:bCs/>
          <w:sz w:val="24"/>
          <w:szCs w:val="24"/>
        </w:rPr>
      </w:pPr>
      <w:r>
        <w:rPr>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pPr>
        <w:pStyle w:val="Normal"/>
        <w:ind w:firstLine="709"/>
        <w:jc w:val="both"/>
        <w:rPr>
          <w:bCs/>
          <w:sz w:val="24"/>
          <w:szCs w:val="24"/>
        </w:rPr>
      </w:pPr>
      <w:r>
        <w:rPr>
          <w:bCs/>
          <w:sz w:val="24"/>
          <w:szCs w:val="24"/>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pPr>
        <w:pStyle w:val="Normal"/>
        <w:ind w:firstLine="709"/>
        <w:jc w:val="both"/>
        <w:rPr>
          <w:bCs/>
          <w:sz w:val="24"/>
          <w:szCs w:val="24"/>
        </w:rPr>
      </w:pPr>
      <w:r>
        <w:rPr>
          <w:bCs/>
          <w:sz w:val="24"/>
          <w:szCs w:val="24"/>
        </w:rPr>
        <w:t>а) условие о праве Бенефициара предъявлять до окончания срока действия Независимой гарантии в случае неисполнения или ненадлежащего исполнения Принципалом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Принципалом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ind w:firstLine="709"/>
        <w:jc w:val="both"/>
        <w:rPr>
          <w:bCs/>
          <w:sz w:val="24"/>
          <w:szCs w:val="24"/>
        </w:rPr>
      </w:pPr>
      <w:r>
        <w:rPr>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bCs/>
          <w:sz w:val="24"/>
          <w:szCs w:val="24"/>
        </w:rPr>
      </w:pPr>
      <w:r>
        <w:rPr>
          <w:bCs/>
          <w:sz w:val="24"/>
          <w:szCs w:val="24"/>
        </w:rPr>
        <w:t xml:space="preserve">Выбор формы направления такого требования осуществляется Бенефициаром самостоятельно. </w:t>
      </w:r>
    </w:p>
    <w:p>
      <w:pPr>
        <w:pStyle w:val="Normal"/>
        <w:ind w:firstLine="709"/>
        <w:jc w:val="both"/>
        <w:rPr>
          <w:bCs/>
          <w:sz w:val="24"/>
          <w:szCs w:val="24"/>
        </w:rPr>
      </w:pPr>
      <w:r>
        <w:rPr>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numPr>
          <w:ilvl w:val="0"/>
          <w:numId w:val="21"/>
        </w:numPr>
        <w:ind w:left="0" w:firstLine="709"/>
        <w:jc w:val="both"/>
        <w:rPr>
          <w:bCs/>
          <w:sz w:val="24"/>
          <w:szCs w:val="24"/>
        </w:rPr>
      </w:pPr>
      <w:r>
        <w:rPr>
          <w:bCs/>
          <w:sz w:val="24"/>
          <w:szCs w:val="24"/>
        </w:rPr>
        <w:t>расчет суммы, включаемой в требование об уплате денежной суммы по Независимой гарантии;</w:t>
      </w:r>
    </w:p>
    <w:p>
      <w:pPr>
        <w:pStyle w:val="Normal"/>
        <w:numPr>
          <w:ilvl w:val="0"/>
          <w:numId w:val="21"/>
        </w:numPr>
        <w:ind w:left="0" w:firstLine="709"/>
        <w:jc w:val="both"/>
        <w:rPr>
          <w:bCs/>
          <w:sz w:val="24"/>
          <w:szCs w:val="24"/>
        </w:rPr>
      </w:pPr>
      <w:r>
        <w:rPr>
          <w:bCs/>
          <w:sz w:val="24"/>
          <w:szCs w:val="24"/>
        </w:rPr>
        <w:t>документ, содержащий указание на нарушения Принципалом обязательств, предусмотренных Договором;</w:t>
      </w:r>
    </w:p>
    <w:p>
      <w:pPr>
        <w:pStyle w:val="Normal"/>
        <w:numPr>
          <w:ilvl w:val="0"/>
          <w:numId w:val="21"/>
        </w:numPr>
        <w:ind w:left="0" w:firstLine="709"/>
        <w:jc w:val="both"/>
        <w:rPr>
          <w:bCs/>
          <w:sz w:val="24"/>
          <w:szCs w:val="24"/>
        </w:rPr>
      </w:pPr>
      <w:r>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Normal"/>
        <w:ind w:firstLine="709"/>
        <w:jc w:val="both"/>
        <w:rPr>
          <w:bCs/>
          <w:sz w:val="24"/>
          <w:szCs w:val="24"/>
        </w:rPr>
      </w:pPr>
      <w:r>
        <w:rPr>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pPr>
        <w:pStyle w:val="Normal"/>
        <w:ind w:firstLine="709"/>
        <w:jc w:val="both"/>
        <w:rPr>
          <w:bCs/>
          <w:sz w:val="24"/>
          <w:szCs w:val="24"/>
        </w:rPr>
      </w:pPr>
      <w:r>
        <w:rPr>
          <w:bCs/>
          <w:sz w:val="24"/>
          <w:szCs w:val="24"/>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Normal"/>
        <w:ind w:firstLine="709"/>
        <w:jc w:val="both"/>
        <w:rPr>
          <w:bCs/>
          <w:sz w:val="24"/>
          <w:szCs w:val="24"/>
        </w:rPr>
      </w:pPr>
      <w:r>
        <w:rPr>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Принципалом нарушений, в том числе в случаях:</w:t>
      </w:r>
    </w:p>
    <w:p>
      <w:pPr>
        <w:pStyle w:val="Normal"/>
        <w:numPr>
          <w:ilvl w:val="0"/>
          <w:numId w:val="21"/>
        </w:numPr>
        <w:ind w:left="0" w:firstLine="709"/>
        <w:jc w:val="both"/>
        <w:rPr>
          <w:bCs/>
          <w:sz w:val="24"/>
          <w:szCs w:val="24"/>
        </w:rPr>
      </w:pPr>
      <w:r>
        <w:rPr>
          <w:bCs/>
          <w:sz w:val="24"/>
          <w:szCs w:val="24"/>
        </w:rPr>
        <w:t>отказа Принципала от исполнения обязательств по Договору, в том числе одностороннего отказа от Договора;</w:t>
      </w:r>
    </w:p>
    <w:p>
      <w:pPr>
        <w:pStyle w:val="Normal"/>
        <w:numPr>
          <w:ilvl w:val="0"/>
          <w:numId w:val="21"/>
        </w:numPr>
        <w:ind w:left="0" w:firstLine="709"/>
        <w:jc w:val="both"/>
        <w:rPr>
          <w:bCs/>
          <w:sz w:val="24"/>
          <w:szCs w:val="24"/>
        </w:rPr>
      </w:pPr>
      <w:r>
        <w:rPr>
          <w:bCs/>
          <w:sz w:val="24"/>
          <w:szCs w:val="24"/>
        </w:rPr>
        <w:t>отказа Принципала от возврата неотработанного аванса при досрочном прекращении Договора / признании Договора недействительным;</w:t>
      </w:r>
    </w:p>
    <w:p>
      <w:pPr>
        <w:pStyle w:val="Normal"/>
        <w:numPr>
          <w:ilvl w:val="0"/>
          <w:numId w:val="21"/>
        </w:numPr>
        <w:ind w:left="0" w:firstLine="709"/>
        <w:jc w:val="both"/>
        <w:rPr>
          <w:bCs/>
          <w:sz w:val="24"/>
          <w:szCs w:val="24"/>
        </w:rPr>
      </w:pPr>
      <w:r>
        <w:rPr>
          <w:bCs/>
          <w:sz w:val="24"/>
          <w:szCs w:val="24"/>
        </w:rPr>
        <w:t>нарушения Принципалом сроков поставки/выполнения работ/ оказания услуг, установленных Календарным графиком, более чем на 15 (пятнадцать) календарных дней;</w:t>
      </w:r>
    </w:p>
    <w:p>
      <w:pPr>
        <w:pStyle w:val="Normal"/>
        <w:numPr>
          <w:ilvl w:val="0"/>
          <w:numId w:val="21"/>
        </w:numPr>
        <w:ind w:left="0" w:firstLine="709"/>
        <w:jc w:val="both"/>
        <w:rPr>
          <w:bCs/>
          <w:sz w:val="24"/>
          <w:szCs w:val="24"/>
        </w:rPr>
      </w:pPr>
      <w:r>
        <w:rPr>
          <w:bCs/>
          <w:sz w:val="24"/>
          <w:szCs w:val="24"/>
        </w:rPr>
        <w:t>утраты Принципалом специальных разрешений (в том числе отзыв, прекращение (приостановление) действие допусков, разрешений) и / или лицензий, предоставляющих Принципалу возможность надлежащего исполнения обязательств по Договору;</w:t>
      </w:r>
    </w:p>
    <w:p>
      <w:pPr>
        <w:pStyle w:val="Normal"/>
        <w:numPr>
          <w:ilvl w:val="0"/>
          <w:numId w:val="21"/>
        </w:numPr>
        <w:ind w:left="0" w:firstLine="709"/>
        <w:jc w:val="both"/>
        <w:rPr>
          <w:bCs/>
          <w:sz w:val="24"/>
          <w:szCs w:val="24"/>
        </w:rPr>
      </w:pPr>
      <w:r>
        <w:rPr>
          <w:bCs/>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Normal"/>
        <w:numPr>
          <w:ilvl w:val="0"/>
          <w:numId w:val="21"/>
        </w:numPr>
        <w:ind w:left="0" w:firstLine="709"/>
        <w:jc w:val="both"/>
        <w:rPr>
          <w:bCs/>
          <w:sz w:val="24"/>
          <w:szCs w:val="24"/>
        </w:rPr>
      </w:pPr>
      <w:r>
        <w:rPr>
          <w:bCs/>
          <w:sz w:val="24"/>
          <w:szCs w:val="24"/>
        </w:rPr>
        <w:t>введения арбитражным судом процедуры несостоятельности (банкротства) в отношении Принципала;</w:t>
      </w:r>
    </w:p>
    <w:p>
      <w:pPr>
        <w:pStyle w:val="Normal"/>
        <w:numPr>
          <w:ilvl w:val="0"/>
          <w:numId w:val="21"/>
        </w:numPr>
        <w:ind w:left="0" w:firstLine="709"/>
        <w:jc w:val="both"/>
        <w:rPr>
          <w:bCs/>
          <w:sz w:val="24"/>
          <w:szCs w:val="24"/>
        </w:rPr>
      </w:pPr>
      <w:r>
        <w:rPr>
          <w:bCs/>
          <w:sz w:val="24"/>
          <w:szCs w:val="24"/>
        </w:rPr>
        <w:t>установления в ходе исполнения Договора фактов несоответствия Принципала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Принципала об обстоятельствах, указанных в Договоре, и имеющих существенное значение для его заключения и исполнения;</w:t>
      </w:r>
    </w:p>
    <w:p>
      <w:pPr>
        <w:pStyle w:val="Normal"/>
        <w:numPr>
          <w:ilvl w:val="0"/>
          <w:numId w:val="21"/>
        </w:numPr>
        <w:ind w:left="0" w:firstLine="709"/>
        <w:jc w:val="both"/>
        <w:rPr>
          <w:bCs/>
          <w:sz w:val="24"/>
          <w:szCs w:val="24"/>
        </w:rPr>
      </w:pPr>
      <w:r>
        <w:rPr>
          <w:bCs/>
          <w:sz w:val="24"/>
          <w:szCs w:val="24"/>
        </w:rPr>
        <w:t>признания Договора недействительным по причинам отсутствия необходимых корпоративных одобрений у Принципала;</w:t>
      </w:r>
    </w:p>
    <w:p>
      <w:pPr>
        <w:pStyle w:val="Normal"/>
        <w:numPr>
          <w:ilvl w:val="0"/>
          <w:numId w:val="21"/>
        </w:numPr>
        <w:ind w:left="0" w:firstLine="709"/>
        <w:jc w:val="both"/>
        <w:rPr>
          <w:bCs/>
          <w:sz w:val="24"/>
          <w:szCs w:val="24"/>
        </w:rPr>
      </w:pPr>
      <w:r>
        <w:rPr>
          <w:bCs/>
          <w:sz w:val="24"/>
          <w:szCs w:val="24"/>
        </w:rPr>
        <w:t>непредоставления Принципалом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Принципала по Договору превышает срок действия Независимой гарантии либо срок исполнения обязательств продлен.</w:t>
      </w:r>
    </w:p>
    <w:p>
      <w:pPr>
        <w:pStyle w:val="Normal"/>
        <w:ind w:firstLine="709"/>
        <w:jc w:val="both"/>
        <w:rPr>
          <w:bCs/>
          <w:sz w:val="24"/>
          <w:szCs w:val="24"/>
        </w:rPr>
      </w:pPr>
      <w:r>
        <w:rPr>
          <w:bCs/>
          <w:sz w:val="24"/>
          <w:szCs w:val="24"/>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Normal"/>
        <w:ind w:firstLine="709"/>
        <w:jc w:val="both"/>
        <w:rPr>
          <w:bCs/>
          <w:sz w:val="24"/>
          <w:szCs w:val="24"/>
        </w:rPr>
      </w:pPr>
      <w:r>
        <w:rPr>
          <w:bCs/>
          <w:sz w:val="24"/>
          <w:szCs w:val="24"/>
        </w:rPr>
        <w:t>в) текст Независимой гарантии должен содержать перечень Документов к требованию.</w:t>
      </w:r>
    </w:p>
    <w:p>
      <w:pPr>
        <w:pStyle w:val="Normal"/>
        <w:ind w:firstLine="709"/>
        <w:jc w:val="both"/>
        <w:rPr>
          <w:bCs/>
          <w:sz w:val="24"/>
          <w:szCs w:val="24"/>
        </w:rPr>
      </w:pPr>
      <w:r>
        <w:rPr>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Normal"/>
        <w:ind w:firstLine="709"/>
        <w:jc w:val="both"/>
        <w:rPr>
          <w:bCs/>
          <w:sz w:val="24"/>
          <w:szCs w:val="24"/>
        </w:rPr>
      </w:pPr>
      <w:r>
        <w:rPr>
          <w:bCs/>
          <w:sz w:val="24"/>
          <w:szCs w:val="24"/>
        </w:rPr>
        <w:t>д)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pPr>
        <w:pStyle w:val="Normal"/>
        <w:ind w:firstLine="709"/>
        <w:jc w:val="both"/>
        <w:rPr>
          <w:bCs/>
          <w:sz w:val="24"/>
          <w:szCs w:val="24"/>
        </w:rPr>
      </w:pPr>
      <w:r>
        <w:rPr>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pPr>
        <w:pStyle w:val="Normal"/>
        <w:ind w:firstLine="709"/>
        <w:jc w:val="both"/>
        <w:rPr>
          <w:bCs/>
          <w:sz w:val="24"/>
          <w:szCs w:val="24"/>
        </w:rPr>
      </w:pPr>
      <w:r>
        <w:rPr>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Normal"/>
        <w:ind w:firstLine="709"/>
        <w:jc w:val="both"/>
        <w:rPr>
          <w:bCs/>
          <w:sz w:val="24"/>
          <w:szCs w:val="24"/>
        </w:rPr>
      </w:pPr>
      <w:r>
        <w:rPr>
          <w:bCs/>
          <w:sz w:val="24"/>
          <w:szCs w:val="24"/>
        </w:rPr>
        <w:t>з) условие о рассмотрении споров, возникающих в связи с исполнением обязательств по Независимой гарантии, в Арбитражном суде г. Москвы</w:t>
      </w:r>
      <w:r>
        <w:rPr>
          <w:bCs/>
          <w:sz w:val="24"/>
          <w:szCs w:val="24"/>
          <w:vertAlign w:val="superscript"/>
        </w:rPr>
        <w:t>34</w:t>
      </w:r>
      <w:r>
        <w:rPr>
          <w:bCs/>
          <w:sz w:val="24"/>
          <w:szCs w:val="24"/>
        </w:rPr>
        <w:t>;</w:t>
      </w:r>
    </w:p>
    <w:p>
      <w:pPr>
        <w:pStyle w:val="Normal"/>
        <w:ind w:firstLine="709"/>
        <w:jc w:val="both"/>
        <w:rPr>
          <w:bCs/>
          <w:sz w:val="24"/>
          <w:szCs w:val="24"/>
        </w:rPr>
      </w:pPr>
      <w:r>
        <w:rPr>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Normal"/>
        <w:ind w:firstLine="709"/>
        <w:jc w:val="both"/>
        <w:rPr>
          <w:bCs/>
          <w:sz w:val="24"/>
          <w:szCs w:val="24"/>
        </w:rPr>
      </w:pPr>
      <w:r>
        <w:rPr>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ind w:firstLine="709"/>
        <w:jc w:val="both"/>
        <w:rPr>
          <w:bCs/>
          <w:sz w:val="24"/>
          <w:szCs w:val="24"/>
        </w:rPr>
      </w:pPr>
      <w:r>
        <w:rPr>
          <w:bCs/>
          <w:sz w:val="24"/>
          <w:szCs w:val="24"/>
        </w:rPr>
      </w:r>
    </w:p>
    <w:p>
      <w:pPr>
        <w:pStyle w:val="Normal"/>
        <w:ind w:firstLine="709"/>
        <w:jc w:val="both"/>
        <w:rPr>
          <w:bCs/>
          <w:sz w:val="24"/>
          <w:szCs w:val="24"/>
        </w:rPr>
      </w:pPr>
      <w:r>
        <w:rPr>
          <w:bCs/>
          <w:sz w:val="24"/>
          <w:szCs w:val="24"/>
        </w:rPr>
        <w:t>Независимая гарантия не должна содержать условия:</w:t>
      </w:r>
    </w:p>
    <w:p>
      <w:pPr>
        <w:pStyle w:val="Normal"/>
        <w:ind w:firstLine="709"/>
        <w:jc w:val="both"/>
        <w:rPr>
          <w:bCs/>
          <w:sz w:val="24"/>
          <w:szCs w:val="24"/>
        </w:rPr>
      </w:pPr>
      <w:r>
        <w:rPr>
          <w:bCs/>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Normal"/>
        <w:ind w:firstLine="709"/>
        <w:jc w:val="both"/>
        <w:rPr>
          <w:bCs/>
          <w:sz w:val="24"/>
          <w:szCs w:val="24"/>
        </w:rPr>
      </w:pPr>
      <w:r>
        <w:rPr>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Принципалом условий договора или о расторжении договора;</w:t>
      </w:r>
    </w:p>
    <w:p>
      <w:pPr>
        <w:pStyle w:val="Normal"/>
        <w:ind w:firstLine="709"/>
        <w:jc w:val="both"/>
        <w:rPr>
          <w:bCs/>
          <w:sz w:val="24"/>
          <w:szCs w:val="24"/>
        </w:rPr>
      </w:pPr>
      <w:r>
        <w:rPr>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Normal"/>
        <w:ind w:firstLine="709"/>
        <w:jc w:val="both"/>
        <w:rPr>
          <w:bCs/>
          <w:sz w:val="24"/>
          <w:szCs w:val="24"/>
        </w:rPr>
      </w:pPr>
      <w:r>
        <w:rPr>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pPr>
        <w:pStyle w:val="Normal"/>
        <w:ind w:firstLine="709"/>
        <w:jc w:val="both"/>
        <w:rPr>
          <w:bCs/>
          <w:sz w:val="24"/>
          <w:szCs w:val="24"/>
        </w:rPr>
      </w:pPr>
      <w:r>
        <w:rPr>
          <w:bCs/>
          <w:sz w:val="24"/>
          <w:szCs w:val="24"/>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bCs/>
          <w:sz w:val="24"/>
          <w:szCs w:val="24"/>
        </w:rPr>
      </w:pPr>
      <w:r>
        <w:rPr>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Pr>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Pr>
          <w:bCs/>
          <w:sz w:val="24"/>
          <w:szCs w:val="24"/>
        </w:rPr>
        <w:t>уплатить Бенефициару неустойку (пени) в размере 0,1 процента денежной суммы, подлежащей уплате по Независимой гарантии.</w:t>
      </w:r>
    </w:p>
    <w:p>
      <w:pPr>
        <w:pStyle w:val="Normal"/>
        <w:ind w:firstLine="709"/>
        <w:jc w:val="both"/>
        <w:rPr>
          <w:bCs/>
          <w:sz w:val="24"/>
          <w:szCs w:val="24"/>
        </w:rPr>
      </w:pPr>
      <w:r>
        <w:rPr>
          <w:bCs/>
          <w:sz w:val="24"/>
          <w:szCs w:val="24"/>
        </w:rPr>
        <w:t>Условия Независимых гарантий не должны противоречить:</w:t>
      </w:r>
    </w:p>
    <w:p>
      <w:pPr>
        <w:pStyle w:val="Normal"/>
        <w:numPr>
          <w:ilvl w:val="0"/>
          <w:numId w:val="21"/>
        </w:numPr>
        <w:ind w:left="0" w:firstLine="709"/>
        <w:jc w:val="both"/>
        <w:rPr>
          <w:bCs/>
          <w:sz w:val="24"/>
          <w:szCs w:val="24"/>
        </w:rPr>
      </w:pPr>
      <w:r>
        <w:rPr>
          <w:bCs/>
          <w:sz w:val="24"/>
          <w:szCs w:val="24"/>
        </w:rPr>
        <w:t xml:space="preserve">положениям извещения об осуществлении конкурентной закупки, </w:t>
      </w:r>
    </w:p>
    <w:p>
      <w:pPr>
        <w:pStyle w:val="Normal"/>
        <w:numPr>
          <w:ilvl w:val="0"/>
          <w:numId w:val="21"/>
        </w:numPr>
        <w:ind w:left="0" w:firstLine="709"/>
        <w:jc w:val="both"/>
        <w:rPr>
          <w:bCs/>
          <w:sz w:val="24"/>
          <w:szCs w:val="24"/>
        </w:rPr>
      </w:pPr>
      <w:r>
        <w:rPr>
          <w:bCs/>
          <w:sz w:val="24"/>
          <w:szCs w:val="24"/>
        </w:rPr>
        <w:t xml:space="preserve">документации о конкурентной закупке </w:t>
      </w:r>
    </w:p>
    <w:p>
      <w:pPr>
        <w:pStyle w:val="Normal"/>
        <w:numPr>
          <w:ilvl w:val="0"/>
          <w:numId w:val="21"/>
        </w:numPr>
        <w:ind w:left="0" w:firstLine="709"/>
        <w:jc w:val="both"/>
        <w:rPr>
          <w:bCs/>
          <w:sz w:val="24"/>
          <w:szCs w:val="24"/>
        </w:rPr>
      </w:pPr>
      <w:r>
        <w:rPr>
          <w:bCs/>
          <w:sz w:val="24"/>
          <w:szCs w:val="24"/>
        </w:rPr>
        <w:t xml:space="preserve">Единому Положению о закупке продукции для нужд Группы РусГидро, </w:t>
      </w:r>
    </w:p>
    <w:p>
      <w:pPr>
        <w:pStyle w:val="Normal"/>
        <w:numPr>
          <w:ilvl w:val="0"/>
          <w:numId w:val="21"/>
        </w:numPr>
        <w:ind w:left="0" w:firstLine="709"/>
        <w:jc w:val="both"/>
        <w:rPr>
          <w:bCs/>
          <w:sz w:val="24"/>
          <w:szCs w:val="24"/>
        </w:rPr>
      </w:pPr>
      <w:r>
        <w:rPr>
          <w:bCs/>
          <w:sz w:val="24"/>
          <w:szCs w:val="24"/>
        </w:rPr>
        <w:t>требованиям к условиям Независимой гарантий, установленным Положением.</w:t>
      </w:r>
    </w:p>
    <w:p>
      <w:pPr>
        <w:pStyle w:val="Normal"/>
        <w:ind w:firstLine="709"/>
        <w:jc w:val="both"/>
        <w:rPr>
          <w:bCs/>
          <w:sz w:val="24"/>
          <w:szCs w:val="24"/>
        </w:rPr>
      </w:pPr>
      <w:r>
        <w:rPr>
          <w:bCs/>
          <w:sz w:val="24"/>
          <w:szCs w:val="24"/>
        </w:rPr>
        <w:t>Несоответствие Независимой гарантии, предоставленной Принципалом, вышеперечисленным требованиям, является основанием для отказа в принятии ее Бенефициаром.</w:t>
      </w:r>
    </w:p>
    <w:p>
      <w:pPr>
        <w:pStyle w:val="BodyText"/>
        <w:numPr>
          <w:ilvl w:val="0"/>
          <w:numId w:val="0"/>
        </w:numPr>
        <w:outlineLvl w:val="0"/>
        <w:rPr>
          <w:bCs/>
          <w:sz w:val="24"/>
          <w:szCs w:val="28"/>
        </w:rPr>
      </w:pPr>
      <w:r>
        <w:rPr>
          <w:bCs/>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widowControl/>
        <w:shd w:val="clear" w:color="auto" w:fill="FFFFFF"/>
        <w:tabs>
          <w:tab w:val="clear" w:pos="720"/>
          <w:tab w:val="left" w:pos="709" w:leader="none"/>
        </w:tabs>
        <w:spacing w:before="0" w:after="120"/>
        <w:ind w:left="360" w:hanging="0"/>
        <w:contextualSpacing/>
        <w:jc w:val="both"/>
        <w:rPr>
          <w:bCs/>
          <w:sz w:val="24"/>
          <w:szCs w:val="28"/>
        </w:rPr>
      </w:pPr>
      <w:r>
        <w:rPr>
          <w:bCs/>
          <w:sz w:val="24"/>
          <w:szCs w:val="28"/>
        </w:rPr>
      </w:r>
    </w:p>
    <w:p>
      <w:pPr>
        <w:pStyle w:val="Normal"/>
        <w:shd w:val="clear" w:color="auto" w:fill="FFFFFF"/>
        <w:tabs>
          <w:tab w:val="clear" w:pos="720"/>
          <w:tab w:val="left" w:pos="709" w:leader="none"/>
        </w:tabs>
        <w:spacing w:before="0" w:after="120"/>
        <w:jc w:val="both"/>
        <w:rPr>
          <w:bCs/>
          <w:sz w:val="24"/>
          <w:szCs w:val="28"/>
        </w:rPr>
      </w:pPr>
      <w:r>
        <w:rPr>
          <w:bCs/>
          <w:sz w:val="24"/>
          <w:szCs w:val="28"/>
        </w:rPr>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hd w:val="clear" w:color="auto" w:fill="FFFFFF"/>
              <w:tabs>
                <w:tab w:val="clear" w:pos="720"/>
                <w:tab w:val="left" w:pos="709" w:leader="none"/>
              </w:tabs>
              <w:spacing w:before="0" w:after="120"/>
              <w:jc w:val="both"/>
              <w:rPr>
                <w:b/>
                <w:bCs/>
                <w:sz w:val="24"/>
                <w:szCs w:val="28"/>
                <w:u w:val="single"/>
              </w:rPr>
            </w:pPr>
            <w:r>
              <w:rPr>
                <w:b/>
                <w:bCs/>
                <w:sz w:val="24"/>
                <w:szCs w:val="28"/>
                <w:u w:val="single"/>
              </w:rPr>
              <w:t>Покупатель</w:t>
            </w:r>
            <w:r>
              <w:rPr>
                <w:b/>
                <w:bCs/>
                <w:sz w:val="24"/>
                <w:szCs w:val="28"/>
                <w:u w:val="single"/>
                <w:lang w:val="en-US"/>
              </w:rPr>
              <w:t>:</w:t>
            </w:r>
          </w:p>
          <w:p>
            <w:pPr>
              <w:pStyle w:val="Normal"/>
              <w:widowControl w:val="false"/>
              <w:shd w:val="clear" w:color="auto" w:fill="FFFFFF"/>
              <w:tabs>
                <w:tab w:val="clear" w:pos="720"/>
                <w:tab w:val="left" w:pos="709" w:leader="none"/>
              </w:tabs>
              <w:spacing w:before="0" w:after="120"/>
              <w:jc w:val="both"/>
              <w:rPr>
                <w:b/>
                <w:bCs/>
                <w:sz w:val="24"/>
                <w:szCs w:val="28"/>
                <w:u w:val="single"/>
              </w:rPr>
            </w:pPr>
            <w:r>
              <w:rPr>
                <w:b/>
                <w:bCs/>
                <w:sz w:val="24"/>
                <w:szCs w:val="28"/>
                <w:u w:val="single"/>
              </w:rPr>
            </w:r>
          </w:p>
        </w:tc>
        <w:tc>
          <w:tcPr>
            <w:tcW w:w="4785" w:type="dxa"/>
            <w:tcBorders/>
            <w:shd w:color="auto" w:fill="FFFFFF" w:themeFill="background1" w:val="clear"/>
          </w:tcPr>
          <w:p>
            <w:pPr>
              <w:pStyle w:val="Normal"/>
              <w:widowControl w:val="false"/>
              <w:shd w:val="clear" w:color="auto" w:fill="FFFFFF"/>
              <w:tabs>
                <w:tab w:val="clear" w:pos="720"/>
                <w:tab w:val="left" w:pos="709" w:leader="none"/>
              </w:tabs>
              <w:spacing w:before="0" w:after="120"/>
              <w:jc w:val="both"/>
              <w:rPr>
                <w:b/>
                <w:bCs/>
                <w:sz w:val="24"/>
                <w:szCs w:val="28"/>
                <w:u w:val="single"/>
              </w:rPr>
            </w:pPr>
            <w:r>
              <w:rPr>
                <w:b/>
                <w:bCs/>
                <w:sz w:val="24"/>
                <w:szCs w:val="28"/>
                <w:u w:val="single"/>
              </w:rPr>
              <w:t>Поставщик</w:t>
            </w:r>
            <w:r>
              <w:rPr>
                <w:b/>
                <w:bCs/>
                <w:sz w:val="24"/>
                <w:szCs w:val="28"/>
                <w:u w:val="single"/>
                <w:lang w:val="en-US"/>
              </w:rPr>
              <w:t>:</w:t>
            </w:r>
          </w:p>
          <w:p>
            <w:pPr>
              <w:pStyle w:val="Normal"/>
              <w:widowControl w:val="false"/>
              <w:shd w:val="clear" w:color="auto" w:fill="FFFFFF"/>
              <w:tabs>
                <w:tab w:val="clear" w:pos="720"/>
                <w:tab w:val="left" w:pos="709" w:leader="none"/>
              </w:tabs>
              <w:spacing w:before="0" w:after="120"/>
              <w:jc w:val="both"/>
              <w:rPr>
                <w:bCs/>
                <w:sz w:val="24"/>
                <w:szCs w:val="28"/>
                <w:u w:val="single"/>
              </w:rPr>
            </w:pPr>
            <w:r>
              <w:rPr>
                <w:bCs/>
                <w:sz w:val="24"/>
                <w:szCs w:val="28"/>
                <w:u w:val="single"/>
              </w:rPr>
            </w:r>
          </w:p>
        </w:tc>
      </w:tr>
      <w:tr>
        <w:trPr/>
        <w:tc>
          <w:tcPr>
            <w:tcW w:w="4785" w:type="dxa"/>
            <w:tcBorders/>
            <w:shd w:color="auto" w:fill="FFFFFF" w:themeFill="background1" w:val="clear"/>
          </w:tcPr>
          <w:p>
            <w:pPr>
              <w:pStyle w:val="Normal"/>
              <w:widowControl w:val="false"/>
              <w:shd w:val="clear" w:color="auto" w:fill="FFFFFF"/>
              <w:tabs>
                <w:tab w:val="clear" w:pos="720"/>
                <w:tab w:val="left" w:pos="709" w:leader="none"/>
              </w:tabs>
              <w:spacing w:before="0" w:after="120"/>
              <w:jc w:val="both"/>
              <w:rPr>
                <w:bCs/>
                <w:sz w:val="24"/>
                <w:szCs w:val="28"/>
              </w:rPr>
            </w:pPr>
            <w:r>
              <w:rPr>
                <w:bCs/>
                <w:sz w:val="24"/>
                <w:szCs w:val="28"/>
              </w:rPr>
              <w:t>_______________ / /</w:t>
            </w:r>
          </w:p>
          <w:p>
            <w:pPr>
              <w:pStyle w:val="Normal"/>
              <w:widowControl w:val="false"/>
              <w:shd w:val="clear" w:color="auto" w:fill="FFFFFF"/>
              <w:tabs>
                <w:tab w:val="clear" w:pos="720"/>
                <w:tab w:val="left" w:pos="709" w:leader="none"/>
              </w:tabs>
              <w:spacing w:before="0" w:after="120"/>
              <w:jc w:val="both"/>
              <w:rPr>
                <w:bCs/>
                <w:sz w:val="24"/>
                <w:szCs w:val="28"/>
              </w:rPr>
            </w:pPr>
            <w:r>
              <w:rPr>
                <w:bCs/>
                <w:sz w:val="24"/>
                <w:szCs w:val="28"/>
              </w:rPr>
              <w:t>м.п.</w:t>
            </w:r>
          </w:p>
        </w:tc>
        <w:tc>
          <w:tcPr>
            <w:tcW w:w="4785" w:type="dxa"/>
            <w:tcBorders/>
            <w:shd w:color="auto" w:fill="FFFFFF" w:themeFill="background1" w:val="clear"/>
          </w:tcPr>
          <w:p>
            <w:pPr>
              <w:pStyle w:val="Normal"/>
              <w:widowControl w:val="false"/>
              <w:shd w:val="clear" w:color="auto" w:fill="FFFFFF"/>
              <w:tabs>
                <w:tab w:val="clear" w:pos="720"/>
                <w:tab w:val="left" w:pos="709" w:leader="none"/>
              </w:tabs>
              <w:spacing w:before="0" w:after="120"/>
              <w:jc w:val="both"/>
              <w:rPr>
                <w:bCs/>
                <w:sz w:val="24"/>
                <w:szCs w:val="28"/>
              </w:rPr>
            </w:pPr>
            <w:r>
              <w:rPr>
                <w:bCs/>
                <w:sz w:val="24"/>
                <w:szCs w:val="28"/>
              </w:rPr>
              <w:t>_____________ / /</w:t>
            </w:r>
          </w:p>
          <w:p>
            <w:pPr>
              <w:pStyle w:val="Normal"/>
              <w:widowControl w:val="false"/>
              <w:shd w:val="clear" w:color="auto" w:fill="FFFFFF"/>
              <w:tabs>
                <w:tab w:val="clear" w:pos="720"/>
                <w:tab w:val="left" w:pos="709" w:leader="none"/>
              </w:tabs>
              <w:spacing w:before="0" w:after="120"/>
              <w:jc w:val="both"/>
              <w:rPr>
                <w:bCs/>
                <w:sz w:val="24"/>
                <w:szCs w:val="28"/>
              </w:rPr>
            </w:pPr>
            <w:r>
              <w:rPr>
                <w:bCs/>
                <w:sz w:val="24"/>
                <w:szCs w:val="28"/>
              </w:rPr>
              <w:t>м.п.</w:t>
            </w:r>
          </w:p>
        </w:tc>
      </w:tr>
    </w:tbl>
    <w:p>
      <w:pPr>
        <w:pStyle w:val="Normal"/>
        <w:shd w:val="clear" w:color="auto" w:fill="FFFFFF"/>
        <w:tabs>
          <w:tab w:val="clear" w:pos="720"/>
          <w:tab w:val="left" w:pos="709" w:leader="none"/>
        </w:tabs>
        <w:spacing w:before="0" w:after="120"/>
        <w:jc w:val="both"/>
        <w:rPr>
          <w:bCs/>
          <w:sz w:val="24"/>
          <w:szCs w:val="28"/>
        </w:rPr>
      </w:pPr>
      <w:r>
        <w:rPr/>
      </w:r>
    </w:p>
    <w:sectPr>
      <w:headerReference w:type="default" r:id="rId10"/>
      <w:headerReference w:type="first" r:id="rId11"/>
      <w:footerReference w:type="even" r:id="rId12"/>
      <w:footerReference w:type="default" r:id="rId13"/>
      <w:footerReference w:type="first" r:id="rId14"/>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35">
              <wp:simplePos x="0" y="0"/>
              <wp:positionH relativeFrom="margin">
                <wp:align>right</wp:align>
              </wp:positionH>
              <wp:positionV relativeFrom="paragraph">
                <wp:posOffset>635</wp:posOffset>
              </wp:positionV>
              <wp:extent cx="127635" cy="146685"/>
              <wp:effectExtent l="0" t="0" r="0" b="0"/>
              <wp:wrapSquare wrapText="bothSides"/>
              <wp:docPr id="2" name="Врезка2"/>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57.75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35">
              <wp:simplePos x="0" y="0"/>
              <wp:positionH relativeFrom="margin">
                <wp:align>right</wp:align>
              </wp:positionH>
              <wp:positionV relativeFrom="paragraph">
                <wp:posOffset>635</wp:posOffset>
              </wp:positionV>
              <wp:extent cx="127635" cy="146685"/>
              <wp:effectExtent l="0" t="0" r="0" b="0"/>
              <wp:wrapSquare wrapText="bothSides"/>
              <wp:docPr id="3" name="Врезка2"/>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57.75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6"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34">
              <wp:simplePos x="0" y="0"/>
              <wp:positionH relativeFrom="margin">
                <wp:align>right</wp:align>
              </wp:positionH>
              <wp:positionV relativeFrom="paragraph">
                <wp:posOffset>635</wp:posOffset>
              </wp:positionV>
              <wp:extent cx="127635" cy="146685"/>
              <wp:effectExtent l="0" t="0" r="0" b="0"/>
              <wp:wrapSquare wrapText="bothSides"/>
              <wp:docPr id="7" name="Врезка4"/>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57.75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34">
              <wp:simplePos x="0" y="0"/>
              <wp:positionH relativeFrom="margin">
                <wp:align>right</wp:align>
              </wp:positionH>
              <wp:positionV relativeFrom="paragraph">
                <wp:posOffset>635</wp:posOffset>
              </wp:positionV>
              <wp:extent cx="127635" cy="146685"/>
              <wp:effectExtent l="0" t="0" r="0" b="0"/>
              <wp:wrapSquare wrapText="bothSides"/>
              <wp:docPr id="8" name="Врезка4"/>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57.75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txbxContent>
              </v:textbox>
              <w10:wrap type="squar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Здесь и далее подчеркиванием обозначен текст Типовой формы, доступный для удаления или редактирования в процессе подготовки договора, так же, как и поля, отмеченные пропусками.</w:t>
      </w:r>
    </w:p>
  </w:footnote>
  <w:footnote w:id="3">
    <w:p>
      <w:pPr>
        <w:pStyle w:val="FootnoteText"/>
        <w:tabs>
          <w:tab w:val="clear" w:pos="720"/>
          <w:tab w:val="left" w:pos="670" w:leader="none"/>
        </w:tabs>
        <w:rPr/>
      </w:pPr>
      <w:r>
        <w:rPr>
          <w:rStyle w:val="Style9"/>
        </w:rPr>
        <w:footnoteRef/>
      </w:r>
      <w:r>
        <w:rPr/>
        <w:t xml:space="preserve"> </w:t>
      </w:r>
      <w:r>
        <w:rPr/>
        <w:t xml:space="preserve">Указывается за минусом авансового. </w:t>
      </w:r>
    </w:p>
  </w:footnote>
  <w:footnote w:id="4">
    <w:p>
      <w:pPr>
        <w:pStyle w:val="FootnoteText"/>
        <w:rPr/>
      </w:pPr>
      <w:r>
        <w:rPr>
          <w:rStyle w:val="Style9"/>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rPr/>
      </w:pPr>
      <w:r>
        <w:rPr>
          <w:rStyle w:val="Style9"/>
        </w:rPr>
        <w:footnoteRef/>
      </w:r>
      <w:r>
        <w:rPr/>
        <w:t xml:space="preserve"> </w:t>
      </w:r>
      <w:r>
        <w:rPr/>
        <w:t>При отсутствии соглашения или официального письма Контрагента об отказе от авансовых платежей, требующих обеспечения банковской гарантией, и от предоставления указанной банковской гарантии.</w:t>
      </w:r>
    </w:p>
  </w:footnote>
  <w:footnote w:id="6">
    <w:p>
      <w:pPr>
        <w:pStyle w:val="FootnoteText"/>
        <w:rPr/>
      </w:pPr>
      <w:r>
        <w:rPr>
          <w:rStyle w:val="Style9"/>
        </w:rPr>
        <w:footnoteRef/>
      </w:r>
      <w:r>
        <w:rPr/>
        <w:t xml:space="preserve"> </w:t>
      </w:r>
      <w:r>
        <w:rPr/>
        <w:t>Данное условие может быть исключено для Договоров, не предусматривающих выплату предварительной оплаты (аванса).</w:t>
      </w:r>
    </w:p>
  </w:footnote>
  <w:footnote w:id="7">
    <w:p>
      <w:pPr>
        <w:pStyle w:val="FootnoteText"/>
        <w:rPr/>
      </w:pPr>
      <w:r>
        <w:rPr>
          <w:rStyle w:val="Style9"/>
        </w:rPr>
        <w:footnoteRef/>
      </w:r>
      <w:r>
        <w:rPr/>
        <w:t xml:space="preserve"> </w:t>
      </w:r>
      <w:r>
        <w:rPr/>
        <w:t>Для  договоров, стоимость которых превышает 5 000 000 руб. с НДС–в Арбитражном суде г. Москвы.</w:t>
      </w:r>
    </w:p>
  </w:footnote>
  <w:footnote w:id="8">
    <w:p>
      <w:pPr>
        <w:pStyle w:val="FootnoteText"/>
        <w:rPr/>
      </w:pPr>
      <w:r>
        <w:rPr>
          <w:rStyle w:val="Style9"/>
        </w:rPr>
        <w:footnoteRef/>
      </w:r>
      <w:r>
        <w:rPr/>
        <w:t xml:space="preserve"> </w:t>
      </w:r>
      <w:r>
        <w:rPr/>
        <w:t>Для договоров, заключенных на сумму свыше 500 000 тысяч рублей без НДС и связанных с реализацией Обществом Договоров с Заказчиком «Техническое перевооружение и реконструкция» и «Новое строительство»</w:t>
      </w:r>
    </w:p>
  </w:footnote>
  <w:footnote w:id="9">
    <w:p>
      <w:pPr>
        <w:pStyle w:val="FootnoteText"/>
        <w:rPr/>
      </w:pPr>
      <w:r>
        <w:rPr>
          <w:rStyle w:val="Style9"/>
        </w:rPr>
        <w:footnoteRef/>
      </w:r>
      <w:r>
        <w:rPr/>
        <w:t xml:space="preserve"> </w:t>
      </w:r>
      <w:r>
        <w:rPr/>
        <w:t xml:space="preserve">Для Договоров, заключенных с СМП по результатам закупочных процедур только среди СМП, 5 (пять) процентов. </w:t>
      </w:r>
    </w:p>
  </w:footnote>
  <w:footnote w:id="10">
    <w:p>
      <w:pPr>
        <w:pStyle w:val="FootnoteText"/>
        <w:rPr/>
      </w:pPr>
      <w:r>
        <w:rPr>
          <w:rStyle w:val="Style9"/>
        </w:rPr>
        <w:footnoteRef/>
      </w:r>
      <w:r>
        <w:rPr/>
        <w:t xml:space="preserve"> </w:t>
      </w:r>
      <w:r>
        <w:rPr/>
        <w:t xml:space="preserve">Для Договоров, заключенных с СМП по результатам закупочных процедур только среди СМП, 5 (пять) процентов. </w:t>
      </w:r>
    </w:p>
  </w:footnote>
  <w:footnote w:id="11">
    <w:p>
      <w:pPr>
        <w:pStyle w:val="FootnoteText"/>
        <w:rPr/>
      </w:pPr>
      <w:r>
        <w:rPr>
          <w:rStyle w:val="Style9"/>
        </w:rPr>
        <w:footnoteRef/>
      </w:r>
      <w:r>
        <w:rPr/>
        <w:t xml:space="preserve"> </w:t>
      </w:r>
      <w:r>
        <w:rPr/>
        <w:t xml:space="preserve">Перечень Банков-гарантов утверждается Руководителем Единого Казначейства в соответствии                        с Методикой расчета Лимитов риска на кредитно-финансовые организации для Группы РусГидро. </w:t>
      </w:r>
    </w:p>
  </w:footnote>
  <w:footnote w:id="12">
    <w:p>
      <w:pPr>
        <w:pStyle w:val="FootnoteText"/>
        <w:rPr/>
      </w:pPr>
      <w:r>
        <w:rPr>
          <w:rStyle w:val="Style9"/>
        </w:rPr>
        <w:footnoteRef/>
      </w:r>
      <w:r>
        <w:rPr/>
        <w:t xml:space="preserve"> </w:t>
      </w:r>
      <w:r>
        <w:rPr/>
        <w:t>В случае, если Поставщик - субъект МСП, ставший победителем закупок, гарантия предоставляется с учетом постановления Правительства РФ от 09.08.2022г. № 1397</w:t>
      </w:r>
    </w:p>
  </w:footnote>
  <w:footnote w:id="13">
    <w:p>
      <w:pPr>
        <w:pStyle w:val="FootnoteText"/>
        <w:jc w:val="both"/>
        <w:rPr/>
      </w:pPr>
      <w:r>
        <w:rPr>
          <w:rStyle w:val="Style9"/>
        </w:rPr>
        <w:footnoteRef/>
      </w:r>
      <w:r>
        <w:rPr/>
        <w:t xml:space="preserve"> </w:t>
      </w:r>
      <w:r>
        <w:rPr/>
        <w:t>Требования подлежат обязательному включению в состав документации о закупке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p>
  </w:footnote>
  <w:footnote w:id="14">
    <w:p>
      <w:pPr>
        <w:pStyle w:val="FootnoteText"/>
        <w:jc w:val="both"/>
        <w:rPr/>
      </w:pPr>
      <w:r>
        <w:rPr>
          <w:rStyle w:val="Style9"/>
        </w:rPr>
        <w:footnoteRef/>
      </w:r>
      <w:r>
        <w:rPr/>
        <w:t xml:space="preserve"> </w:t>
      </w:r>
      <w:r>
        <w:rPr/>
        <w:t>Актуальный Перечень Банков-Гарантов Группы РусГидро размещен на официальном сайте ПАО «РусГидро» http://zakupki.rushydro.ru/PublicContent/Section/6</w:t>
      </w:r>
    </w:p>
  </w:footnote>
  <w:footnote w:id="15">
    <w:p>
      <w:pPr>
        <w:pStyle w:val="FootnoteText"/>
        <w:jc w:val="both"/>
        <w:rPr/>
      </w:pPr>
      <w:r>
        <w:rPr>
          <w:rStyle w:val="Style9"/>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16">
    <w:p>
      <w:pPr>
        <w:pStyle w:val="FootnoteText"/>
        <w:jc w:val="both"/>
        <w:rPr/>
      </w:pPr>
      <w:r>
        <w:rPr>
          <w:rStyle w:val="Style9"/>
        </w:rPr>
        <w:footnoteRef/>
      </w:r>
      <w:r>
        <w:rPr/>
        <w:t xml:space="preserve"> </w:t>
      </w:r>
      <w:r>
        <w:rPr/>
        <w:t>Данное требование не применяется в отношении небанковских кредитных организаций.</w:t>
      </w:r>
    </w:p>
  </w:footnote>
  <w:footnote w:id="17">
    <w:p>
      <w:pPr>
        <w:pStyle w:val="FootnoteText"/>
        <w:jc w:val="both"/>
        <w:rPr/>
      </w:pPr>
      <w:r>
        <w:rPr>
          <w:rStyle w:val="Style9"/>
        </w:rPr>
        <w:footnoteRef/>
      </w:r>
      <w:r>
        <w:rPr/>
        <w:t xml:space="preserve"> </w:t>
      </w:r>
      <w:r>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18">
    <w:p>
      <w:pPr>
        <w:pStyle w:val="FootnoteText"/>
        <w:jc w:val="both"/>
        <w:rPr/>
      </w:pPr>
      <w:r>
        <w:rPr>
          <w:rStyle w:val="Style9"/>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19">
    <w:p>
      <w:pPr>
        <w:pStyle w:val="FootnoteText"/>
        <w:jc w:val="both"/>
        <w:rPr/>
      </w:pPr>
      <w:r>
        <w:rPr>
          <w:rStyle w:val="Style9"/>
        </w:rPr>
        <w:footnoteRef/>
      </w:r>
      <w:r>
        <w:rPr/>
        <w:t xml:space="preserve"> </w:t>
      </w:r>
      <w:r>
        <w:rPr/>
        <w:t>Условия подлежат обязательному включению в состав документации о закупке.</w:t>
      </w:r>
    </w:p>
  </w:footnote>
  <w:footnote w:id="20">
    <w:p>
      <w:pPr>
        <w:pStyle w:val="FootnoteText"/>
        <w:jc w:val="both"/>
        <w:rPr/>
      </w:pPr>
      <w:r>
        <w:rPr>
          <w:rStyle w:val="Style9"/>
        </w:rPr>
        <w:footnoteRef/>
      </w:r>
      <w:r>
        <w:rPr/>
        <w:t xml:space="preserve"> </w:t>
      </w:r>
      <w:r>
        <w:rPr/>
        <w:t>Если условиями Договора предусмотрена банковская гарантия надлежащего исполнения гарантийных обязательств.</w:t>
      </w:r>
    </w:p>
  </w:footnote>
  <w:footnote w:id="21">
    <w:p>
      <w:pPr>
        <w:pStyle w:val="FootnoteText"/>
        <w:rPr/>
      </w:pPr>
      <w:r>
        <w:rPr>
          <w:rStyle w:val="Style9"/>
        </w:rPr>
        <w:footnoteRef/>
      </w:r>
      <w:r>
        <w:rPr/>
        <w:t xml:space="preserve"> </w:t>
      </w:r>
      <w:r>
        <w:rPr/>
        <w:t>В соответствии со ст. 753 Гражданского кодекса Российской Федерации.</w:t>
      </w:r>
    </w:p>
  </w:footnote>
  <w:footnote w:id="22">
    <w:p>
      <w:pPr>
        <w:pStyle w:val="FootnoteText"/>
        <w:jc w:val="both"/>
        <w:rPr/>
      </w:pPr>
      <w:r>
        <w:rPr>
          <w:rStyle w:val="Style9"/>
        </w:rPr>
        <w:footnoteRef/>
      </w:r>
      <w:r>
        <w:rPr/>
        <w:t xml:space="preserve"> </w:t>
      </w:r>
      <w:r>
        <w:rPr/>
        <w:t>При издании ПО организационно-распорядительного документа о ТФУ указывается наименование и местонахождение соответствующего судебного органа.</w:t>
      </w:r>
    </w:p>
  </w:footnote>
  <w:footnote w:id="23">
    <w:p>
      <w:pPr>
        <w:pStyle w:val="FootnoteText"/>
        <w:jc w:val="both"/>
        <w:rPr/>
      </w:pPr>
      <w:r>
        <w:rPr>
          <w:rStyle w:val="Style9"/>
        </w:rPr>
        <w:footnoteRef/>
      </w:r>
      <w:r>
        <w:rPr/>
        <w:t xml:space="preserve"> </w:t>
      </w:r>
      <w:r>
        <w:rPr/>
        <w:t>Условия подлежат обязательному включению в состав документации о закупке.</w:t>
      </w:r>
    </w:p>
  </w:footnote>
  <w:footnote w:id="24">
    <w:p>
      <w:pPr>
        <w:pStyle w:val="FootnoteText"/>
        <w:jc w:val="both"/>
        <w:rPr/>
      </w:pPr>
      <w:r>
        <w:rPr>
          <w:rStyle w:val="Style9"/>
        </w:rPr>
        <w:footnoteRef/>
      </w:r>
      <w:r>
        <w:rPr/>
        <w:t xml:space="preserve"> </w:t>
      </w:r>
      <w:r>
        <w:rPr/>
        <w:t>Если условиями Договора предусмотрена банковская гарантия надлежащего исполнения гарантийных обязательств.</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9">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1">
    <w:lvl w:ilvl="0">
      <w:start w:val="1"/>
      <w:numFmt w:val="decimal"/>
      <w:lvlText w:val="%1."/>
      <w:lvlJc w:val="left"/>
      <w:pPr>
        <w:tabs>
          <w:tab w:val="num" w:pos="644"/>
        </w:tabs>
        <w:ind w:left="644"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0"/>
        </w:tabs>
        <w:ind w:left="144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18">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1">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8"/>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42745"/>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qFormat/>
    <w:locked/>
    <w:rsid w:val="00a560b3"/>
    <w:rPr/>
  </w:style>
  <w:style w:type="character" w:styleId="Style13" w:customStyle="1">
    <w:name w:val="Текст концевой сноски Знак"/>
    <w:basedOn w:val="DefaultParagraphFont"/>
    <w:semiHidden/>
    <w:qFormat/>
    <w:rsid w:val="0062597c"/>
    <w:rPr/>
  </w:style>
  <w:style w:type="character" w:styleId="Style14">
    <w:name w:val="Символ концевой сноски"/>
    <w:basedOn w:val="DefaultParagraphFont"/>
    <w:semiHidden/>
    <w:unhideWhenUsed/>
    <w:qFormat/>
    <w:rsid w:val="0062597c"/>
    <w:rPr>
      <w:vertAlign w:val="superscript"/>
    </w:rPr>
  </w:style>
  <w:style w:type="character" w:styleId="EndnoteReference">
    <w:name w:val="Endnote Reference"/>
    <w:rPr>
      <w:vertAlign w:val="superscript"/>
    </w:rPr>
  </w:style>
  <w:style w:type="paragraph" w:styleId="Style15">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7">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8"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99"/>
    <w:qFormat/>
    <w:rsid w:val="0066561f"/>
    <w:pPr>
      <w:widowControl w:val="false"/>
      <w:spacing w:before="0" w:after="0"/>
      <w:ind w:left="720" w:hanging="0"/>
      <w:contextualSpacing/>
    </w:pPr>
    <w:rPr/>
  </w:style>
  <w:style w:type="paragraph" w:styleId="Style19"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0"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1"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1" w:customStyle="1">
    <w:name w:val="Обычный1"/>
    <w:qFormat/>
    <w:rsid w:val="007f3448"/>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EndnoteText">
    <w:name w:val="Endnote Text"/>
    <w:basedOn w:val="Normal"/>
    <w:link w:val="Style13"/>
    <w:semiHidden/>
    <w:unhideWhenUsed/>
    <w:rsid w:val="0062597c"/>
    <w:pPr/>
    <w:rPr/>
  </w:style>
  <w:style w:type="paragraph" w:styleId="Style22">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yperlink" Target="http://www.cbr.ru/" TargetMode="Externa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2B320-BFE1-4850-9923-7EBC3024D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AlterOffice/2025.3.1.0$Linux_X86_64 LibreOffice_project/431cd1b79110582f53535c95ed0a2449aadc8bf9</Application>
  <AppVersion>15.0000</AppVersion>
  <Pages>32</Pages>
  <Words>10735</Words>
  <Characters>76507</Characters>
  <CharactersWithSpaces>86712</CharactersWithSpaces>
  <Paragraphs>551</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2023-05-31T15:37:00Z</dcterms:created>
  <dc:creator>Света &amp; Алла (Twix)</dc:creator>
  <dc:description/>
  <dc:language>ru-RU</dc:language>
  <cp:lastModifiedBy>Клюкина Ксения Борисовна</cp:lastModifiedBy>
  <cp:lastPrinted>2017-11-07T14:45:00Z</cp:lastPrinted>
  <dcterms:modified xsi:type="dcterms:W3CDTF">2024-12-06T09:55:00Z</dcterms:modified>
  <cp:revision>7</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