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footer2.xml" ContentType="application/vnd.openxmlformats-officedocument.wordprocessingml.footer+xml"/>
  <Override PartName="/word/header4.xml" ContentType="application/vnd.openxmlformats-officedocument.wordprocessingml.header+xml"/>
  <Override PartName="/word/styles.xml" ContentType="application/vnd.openxmlformats-officedocument.wordprocessingml.styles+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r>
        <w:rPr>
          <w:b w:val="false"/>
        </w:rPr>
        <w:t>Приложение</w:t>
      </w:r>
    </w:p>
    <w:p>
      <w:pPr>
        <w:pStyle w:val="Normal"/>
        <w:shd w:val="clear" w:color="auto" w:fill="FFFFFF"/>
        <w:tabs>
          <w:tab w:val="clear" w:pos="709"/>
          <w:tab w:val="left" w:pos="6926" w:leader="none"/>
        </w:tabs>
        <w:jc w:val="right"/>
        <w:rPr>
          <w:bCs/>
          <w:sz w:val="24"/>
          <w:szCs w:val="24"/>
        </w:rPr>
      </w:pPr>
      <w:r>
        <w:rPr>
          <w:bCs/>
          <w:sz w:val="24"/>
          <w:szCs w:val="24"/>
        </w:rPr>
        <w:t>к приказу ПАО «РусГидро»</w:t>
      </w:r>
    </w:p>
    <w:p>
      <w:pPr>
        <w:pStyle w:val="Normal"/>
        <w:shd w:val="clear" w:color="auto" w:fill="FFFFFF"/>
        <w:tabs>
          <w:tab w:val="clear" w:pos="709"/>
          <w:tab w:val="left" w:pos="6926" w:leader="none"/>
        </w:tabs>
        <w:jc w:val="right"/>
        <w:rPr>
          <w:b/>
          <w:sz w:val="24"/>
          <w:szCs w:val="24"/>
        </w:rPr>
      </w:pPr>
      <w:r>
        <w:rPr>
          <w:sz w:val="24"/>
          <w:szCs w:val="24"/>
        </w:rPr>
        <w:t>от 02.07.2024 № 415</w:t>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по результатам проведенной Покупателем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0"/>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rFonts w:eastAsia="Times New Roman" w:cs="Times New Roman"/>
          <w:bCs/>
          <w:color w:val="auto"/>
          <w:kern w:val="0"/>
          <w:sz w:val="24"/>
          <w:szCs w:val="24"/>
          <w:lang w:val="ru-RU" w:eastAsia="ru-RU" w:bidi="ar-SA"/>
        </w:rPr>
        <w:t>кондиционеры</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r>
        <w:rPr>
          <w:bCs/>
          <w:sz w:val="24"/>
          <w:szCs w:val="24"/>
          <w:highlight w:val="lightGray"/>
        </w:rPr>
        <w:t>«___» ___________ 20___</w:t>
      </w:r>
      <w:r>
        <w:rPr>
          <w:bCs/>
          <w:sz w:val="24"/>
          <w:szCs w:val="24"/>
        </w:rPr>
        <w:t xml:space="preserve">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твердой</w:t>
      </w:r>
      <w:r>
        <w:rPr>
          <w:rStyle w:val="FootnoteReference"/>
          <w:bCs/>
          <w:sz w:val="24"/>
          <w:szCs w:val="24"/>
          <w:highlight w:val="lightGray"/>
          <w:vertAlign w:val="superscript"/>
        </w:rPr>
        <w:footnoteReference w:id="2"/>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w:t>
      </w:r>
      <w:r>
        <w:rPr>
          <w:rStyle w:val="FootnoteReference"/>
          <w:sz w:val="24"/>
        </w:rPr>
        <w:footnoteReference w:id="3"/>
      </w:r>
      <w:r>
        <w:rPr>
          <w:sz w:val="24"/>
        </w:rPr>
        <w:t xml:space="preserve">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2.5.1, 2.5.4 Договора.</w:t>
      </w:r>
    </w:p>
    <w:p>
      <w:pPr>
        <w:pStyle w:val="ListParagraph"/>
        <w:numPr>
          <w:ilvl w:val="2"/>
          <w:numId w:val="2"/>
        </w:numPr>
        <w:tabs>
          <w:tab w:val="clear" w:pos="709"/>
        </w:tabs>
        <w:ind w:left="0" w:firstLine="709"/>
        <w:jc w:val="both"/>
        <w:rPr>
          <w:sz w:val="24"/>
        </w:rPr>
      </w:pPr>
      <w:r>
        <w:rPr>
          <w:sz w:val="24"/>
        </w:rPr>
        <w:t>Окончательный платеж в размере 70 (семидесяти) процентов от стоимости Товара</w:t>
      </w:r>
      <w:r>
        <w:rPr>
          <w:rStyle w:val="FootnoteReference"/>
          <w:sz w:val="24"/>
        </w:rPr>
        <w:footnoteReference w:id="4"/>
      </w:r>
      <w:r>
        <w:rPr>
          <w:sz w:val="24"/>
        </w:rPr>
        <w:t xml:space="preserve"> выплачивается Поставщику в течение </w:t>
      </w:r>
      <w:r>
        <w:rPr>
          <w:sz w:val="24"/>
          <w:highlight w:val="lightGray"/>
        </w:rPr>
        <w:t>20 (двадцати) календарных дней</w:t>
      </w:r>
      <w:r>
        <w:rPr>
          <w:rStyle w:val="FootnoteReference"/>
          <w:sz w:val="24"/>
          <w:highlight w:val="lightGray"/>
        </w:rPr>
        <w:footnoteReference w:id="5"/>
      </w:r>
      <w:r>
        <w:rPr>
          <w:sz w:val="24"/>
          <w:highlight w:val="lightGray"/>
        </w:rPr>
        <w:t xml:space="preserve"> / 7 (семи) рабочих дней</w:t>
      </w:r>
      <w:r>
        <w:rPr>
          <w:rStyle w:val="FootnoteReference"/>
          <w:sz w:val="24"/>
          <w:highlight w:val="lightGray"/>
        </w:rPr>
        <w:footnoteReference w:id="6"/>
      </w:r>
      <w:r>
        <w:rPr>
          <w:sz w:val="24"/>
        </w:rPr>
        <w:t xml:space="preserve"> с даты подписания Сторонами накладной ТОРГ-12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0"/>
          <w:numId w:val="0"/>
        </w:numPr>
        <w:tabs>
          <w:tab w:val="left" w:pos="709" w:leader="none"/>
          <w:tab w:val="left" w:pos="1134" w:leader="none"/>
        </w:tabs>
        <w:ind w:left="0" w:hanging="0"/>
        <w:jc w:val="both"/>
        <w:rPr>
          <w:sz w:val="24"/>
          <w:szCs w:val="24"/>
        </w:rPr>
      </w:pPr>
      <w:r>
        <w:rPr>
          <w:sz w:val="24"/>
          <w:szCs w:val="24"/>
        </w:rPr>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36 (тридцать шесть)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Normal"/>
        <w:numPr>
          <w:ilvl w:val="0"/>
          <w:numId w:val="0"/>
        </w:numPr>
        <w:shd w:val="clear" w:color="auto" w:fill="FFFFFF"/>
        <w:tabs>
          <w:tab w:val="clear" w:pos="709"/>
          <w:tab w:val="left" w:pos="1134" w:leader="none"/>
        </w:tabs>
        <w:ind w:left="0" w:hanging="0"/>
        <w:jc w:val="both"/>
        <w:rPr>
          <w:sz w:val="24"/>
          <w:szCs w:val="24"/>
        </w:rPr>
      </w:pPr>
      <w:r>
        <w:rPr>
          <w:sz w:val="24"/>
          <w:szCs w:val="24"/>
        </w:rPr>
        <w:t xml:space="preserve">     </w:t>
      </w: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7"/>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8"/>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9"/>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br/>
        <w:t xml:space="preserve">с 31 (тридцать первого) календарного дня просрочки (неустойка с 1 по 30 день просрочки </w:t>
        <w:br/>
        <w:t>не начисляется).</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5"/>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5"/>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5"/>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5"/>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5"/>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5"/>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5"/>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5"/>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5"/>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10"/>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0"/>
          <w:numId w:val="0"/>
        </w:numPr>
        <w:shd w:val="clear" w:color="auto" w:fill="FFFFFF"/>
        <w:tabs>
          <w:tab w:val="clear" w:pos="709"/>
          <w:tab w:val="left" w:pos="0" w:leader="none"/>
        </w:tabs>
        <w:bidi w:val="0"/>
        <w:spacing w:before="0" w:after="0"/>
        <w:ind w:left="0" w:right="0" w:hanging="0"/>
        <w:contextualSpacing/>
        <w:jc w:val="both"/>
        <w:rPr>
          <w:bCs/>
          <w:sz w:val="24"/>
          <w:szCs w:val="24"/>
        </w:rPr>
      </w:pPr>
      <w:r>
        <w:rPr>
          <w:bCs/>
          <w:sz w:val="24"/>
          <w:szCs w:val="24"/>
        </w:rPr>
        <w:t xml:space="preserve">      </w:t>
      </w:r>
      <w:r>
        <w:rPr>
          <w:bCs/>
          <w:sz w:val="24"/>
          <w:szCs w:val="24"/>
        </w:rPr>
        <w:t xml:space="preserve">8.2. Споры, указанные в пункте 8.1 Договора,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bCs/>
          <w:sz w:val="24"/>
          <w:szCs w:val="24"/>
        </w:rPr>
      </w:pPr>
      <w:r>
        <w:rPr>
          <w:bCs/>
          <w:sz w:val="24"/>
          <w:szCs w:val="24"/>
        </w:rPr>
        <w:t xml:space="preserve">       </w:t>
      </w:r>
      <w:r>
        <w:rPr>
          <w:bCs/>
          <w:sz w:val="24"/>
          <w:szCs w:val="24"/>
        </w:rPr>
        <w:t xml:space="preserve">8.3.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bCs/>
          <w:sz w:val="24"/>
          <w:szCs w:val="24"/>
        </w:rPr>
      </w:pPr>
      <w:r>
        <w:rPr>
          <w:bCs/>
          <w:sz w:val="24"/>
          <w:szCs w:val="24"/>
        </w:rPr>
        <w:t xml:space="preserve">      </w:t>
      </w:r>
      <w:r>
        <w:rPr>
          <w:bCs/>
          <w:sz w:val="24"/>
          <w:szCs w:val="24"/>
        </w:rPr>
        <w:t xml:space="preserve">8.4. 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0"/>
          <w:numId w:val="0"/>
        </w:numPr>
        <w:shd w:val="clear" w:color="auto" w:fill="FFFFFF"/>
        <w:tabs>
          <w:tab w:val="clear" w:pos="709"/>
          <w:tab w:val="left" w:pos="0" w:leader="none"/>
          <w:tab w:val="left" w:pos="1418" w:leader="none"/>
        </w:tabs>
        <w:ind w:left="0" w:hanging="0"/>
        <w:jc w:val="both"/>
        <w:rPr>
          <w:bCs/>
          <w:sz w:val="24"/>
          <w:szCs w:val="24"/>
        </w:rPr>
      </w:pPr>
      <w:r>
        <w:rPr>
          <w:bCs/>
          <w:sz w:val="24"/>
          <w:szCs w:val="24"/>
        </w:rPr>
        <w:t xml:space="preserve">           </w:t>
      </w:r>
      <w:r>
        <w:rPr>
          <w:bCs/>
          <w:sz w:val="24"/>
          <w:szCs w:val="24"/>
        </w:rPr>
        <w:t>8.5. 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tabs>
          <w:tab w:val="clear" w:pos="709"/>
          <w:tab w:val="left" w:pos="142" w:leader="none"/>
          <w:tab w:val="left" w:pos="1418"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1"/>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2"/>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3"/>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1"/>
        <w:gridCol w:w="147"/>
        <w:gridCol w:w="4639"/>
        <w:gridCol w:w="323"/>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 xml:space="preserve">Адрес: 660049, Красноярский край, </w:t>
            </w:r>
          </w:p>
          <w:p>
            <w:pPr>
              <w:pStyle w:val="Normal"/>
              <w:widowControl w:val="false"/>
              <w:rPr>
                <w:sz w:val="24"/>
                <w:szCs w:val="24"/>
              </w:rPr>
            </w:pPr>
            <w:r>
              <w:rPr>
                <w:sz w:val="24"/>
                <w:szCs w:val="24"/>
              </w:rPr>
              <w:t xml:space="preserve">г.о. г. Красноярск, г. Красноярск, </w:t>
            </w:r>
          </w:p>
          <w:p>
            <w:pPr>
              <w:pStyle w:val="Normal"/>
              <w:widowControl w:val="false"/>
              <w:rPr/>
            </w:pPr>
            <w:r>
              <w:rPr>
                <w:sz w:val="24"/>
                <w:szCs w:val="24"/>
              </w:rPr>
              <w:t>ул. Перенсона, зд. 2А , помещ. 1</w:t>
            </w:r>
          </w:p>
          <w:p>
            <w:pPr>
              <w:pStyle w:val="Normal"/>
              <w:widowControl w:val="false"/>
              <w:rPr>
                <w:sz w:val="24"/>
                <w:szCs w:val="24"/>
              </w:rPr>
            </w:pPr>
            <w:r>
              <w:rPr>
                <w:sz w:val="24"/>
                <w:szCs w:val="24"/>
              </w:rPr>
              <w:t xml:space="preserve">Почтовый адрес: </w:t>
            </w:r>
          </w:p>
          <w:p>
            <w:pPr>
              <w:pStyle w:val="Normal"/>
              <w:widowControl w:val="false"/>
              <w:rPr/>
            </w:pPr>
            <w:r>
              <w:rPr>
                <w:sz w:val="24"/>
                <w:szCs w:val="24"/>
              </w:rPr>
              <w:t>655619, РФ, Республика Хакасия, городской округ</w:t>
            </w:r>
          </w:p>
          <w:p>
            <w:pPr>
              <w:pStyle w:val="Normal"/>
              <w:widowControl w:val="false"/>
              <w:rPr/>
            </w:pPr>
            <w:r>
              <w:rPr>
                <w:sz w:val="24"/>
                <w:szCs w:val="24"/>
              </w:rPr>
              <w:t>г. Саяногорск, рп. Черемушки, а/я 39</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246601001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1"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3"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noVBand="1" w:val="04a0" w:noHBand="0" w:lastColumn="0" w:firstColumn="1" w:lastRow="0" w:firstRow="1"/>
      </w:tblPr>
      <w:tblGrid>
        <w:gridCol w:w="398"/>
        <w:gridCol w:w="632"/>
        <w:gridCol w:w="636"/>
        <w:gridCol w:w="638"/>
        <w:gridCol w:w="799"/>
        <w:gridCol w:w="766"/>
        <w:gridCol w:w="644"/>
        <w:gridCol w:w="762"/>
        <w:gridCol w:w="720"/>
        <w:gridCol w:w="381"/>
        <w:gridCol w:w="152"/>
        <w:gridCol w:w="670"/>
        <w:gridCol w:w="578"/>
        <w:gridCol w:w="533"/>
        <w:gridCol w:w="745"/>
        <w:gridCol w:w="583"/>
      </w:tblGrid>
      <w:tr>
        <w:trPr>
          <w:trHeight w:val="526"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4"/>
            </w:r>
          </w:p>
        </w:tc>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5"/>
            </w:r>
          </w:p>
          <w:p>
            <w:pPr>
              <w:pStyle w:val="Normal"/>
              <w:widowControl w:val="false"/>
              <w:jc w:val="center"/>
              <w:rPr>
                <w:bCs/>
              </w:rPr>
            </w:pPr>
            <w:r>
              <w:rPr>
                <w:bCs/>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6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6"/>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7"/>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 xml:space="preserve">«Об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w:t>
        <w:br/>
        <w:t>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Иметь собственные средства (капитал) в размере не менее 30 млрд. рублей </w:t>
        <w:br/>
        <w:t xml:space="preserve">на 1 января текущего календарного года, опубликованного на официальном сайте ЦБ РФ </w:t>
        <w:br/>
        <w:t>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xml:space="preserve">»)» (далее – Методика </w:t>
        <w:br/>
        <w:t>ЦБ РФ) или иным документом, его заменяющим (в случае изменения или отмены указанного Положения).</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8"/>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9"/>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20"/>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0"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21"/>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0"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 xml:space="preserve">-ой кредитной организации на 01 января текущего календарного года, опубликованный на официальном сайте ЦБ РФ </w:t>
              <w:br/>
              <w:t>в информационно-телекоммуникационной сети «Интернет» (</w:t>
            </w:r>
            <w:hyperlink r:id="rId8">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xml:space="preserve">) </w:t>
              <w:br/>
              <w:t>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0" w:type="dxa"/>
            <w:tcBorders/>
          </w:tcPr>
          <w:p>
            <w:pPr>
              <w:pStyle w:val="Normal"/>
              <w:widowControl w:val="false"/>
              <w:ind w:right="-108" w:hanging="0"/>
              <w:jc w:val="both"/>
              <w:rPr>
                <w:sz w:val="24"/>
                <w:szCs w:val="24"/>
                <w:lang w:val="en-GB"/>
              </w:rPr>
            </w:pPr>
            <w:r>
              <w:rPr>
                <w:sz w:val="24"/>
                <w:szCs w:val="24"/>
                <w:lang w:val="en-GB"/>
              </w:rPr>
              <w:t>-</w:t>
            </w:r>
          </w:p>
        </w:tc>
        <w:tc>
          <w:tcPr>
            <w:tcW w:w="8509"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22"/>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r>
    </w:p>
    <w:sectPr>
      <w:headerReference w:type="default" r:id="rId9"/>
      <w:headerReference w:type="first" r:id="rId10"/>
      <w:footerReference w:type="default" r:id="rId11"/>
      <w:footerReference w:type="first" r:id="rId12"/>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4">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5">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6">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8">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9">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10">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1">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2">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3">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4">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15">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6">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17">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18">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9">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0">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1">
    <w:p>
      <w:pPr>
        <w:pStyle w:val="FootnoteText"/>
        <w:jc w:val="both"/>
        <w:rPr/>
      </w:pPr>
      <w:r>
        <w:rPr>
          <w:rStyle w:val="Style14"/>
        </w:rPr>
        <w:footnoteRef/>
      </w:r>
      <w:r>
        <w:rPr>
          <w:lang w:eastAsia="x-none"/>
        </w:rPr>
        <w:t xml:space="preserve"> </w:t>
      </w:r>
      <w:r>
        <w:rPr>
          <w:lang w:eastAsia="x-none"/>
        </w:rPr>
        <w:t xml:space="preserve">Значение показателя округляется в большую или меньшую сторону до суммы, кратной 100 млн. руб. </w:t>
        <w:br/>
        <w:t>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22">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/или рейтинговых агентств и/или </w:t>
        <w:br/>
        <w:t xml:space="preserve">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r>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414</TotalTime>
  <Application>AlterOffice/3.4.0.9$Linux_X86_64 LibreOffice_project/b8daf9e823b1a5463a2f48435ddc2e8696e7d4fc</Application>
  <AppVersion>15.0000</AppVersion>
  <Pages>26</Pages>
  <Words>9442</Words>
  <Characters>67768</Characters>
  <CharactersWithSpaces>76961</CharactersWithSpaces>
  <Paragraphs>434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maksimovag@corp.gidroogk.com</cp:lastModifiedBy>
  <cp:lastPrinted>2018-05-22T09:46:00Z</cp:lastPrinted>
  <dcterms:modified xsi:type="dcterms:W3CDTF">2026-08-12T15:56:56Z</dcterms:modified>
  <cp:revision>55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