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er9.xml" ContentType="application/vnd.openxmlformats-officedocument.wordprocessingml.footer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footer4.xml" ContentType="application/vnd.openxmlformats-officedocument.wordprocessingml.footer+xml"/>
  <Override PartName="/word/footer10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_rels/footnotes.xml.rels" ContentType="application/vnd.openxmlformats-package.relationships+xml"/>
  <Override PartName="/word/footer6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media/image1.png" ContentType="image/png"/>
  <Override PartName="/word/media/image2.png" ContentType="image/png"/>
  <Override PartName="/word/footer12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left="4253" w:hanging="0"/>
        <w:jc w:val="right"/>
        <w:rPr/>
      </w:pPr>
      <w:r>
        <w:rPr/>
        <w:t xml:space="preserve">Приложение № </w:t>
      </w:r>
      <w:r>
        <w:rPr/>
        <w:t>1</w:t>
      </w:r>
      <w:r>
        <w:rPr/>
        <w:t xml:space="preserve"> к ТЗ на выполнение работ </w:t>
      </w:r>
    </w:p>
    <w:p>
      <w:pPr>
        <w:pStyle w:val="NoSpacing"/>
        <w:ind w:left="3828" w:hanging="0"/>
        <w:jc w:val="right"/>
        <w:rPr/>
      </w:pPr>
      <w:r>
        <w:rPr/>
        <w:t>по капитальному ремонту гидроагрегата ст. №1</w:t>
      </w:r>
    </w:p>
    <w:p>
      <w:pPr>
        <w:pStyle w:val="NoSpacing"/>
        <w:ind w:left="4253" w:hanging="0"/>
        <w:jc w:val="right"/>
        <w:rPr/>
      </w:pPr>
      <w:r>
        <w:rPr>
          <w:lang w:eastAsia="en-US"/>
        </w:rPr>
        <w:t>Филиала ПАО «РусГидро» - «Жигулевская ГЭС»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Calibri"/>
          <w:sz w:val="24"/>
          <w:szCs w:val="24"/>
        </w:rPr>
      </w:pPr>
      <w:r>
        <w:rPr>
          <w:rFonts w:eastAsia="Calibri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sectPr>
          <w:footerReference w:type="default" r:id="rId2"/>
          <w:type w:val="nextPage"/>
          <w:pgSz w:w="11906" w:h="16838"/>
          <w:pgMar w:left="1304" w:right="924" w:gutter="0" w:header="0" w:top="539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Требования к оформлению и составлению документации по ценообразованию </w:t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Требования к оформлению и составлению</w:t>
      </w:r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сметной документации на работы по программе ремонтов</w:t>
      </w:r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widowControl/>
        <w:numPr>
          <w:ilvl w:val="0"/>
          <w:numId w:val="8"/>
        </w:numPr>
        <w:tabs>
          <w:tab w:val="clear" w:pos="709"/>
          <w:tab w:val="left" w:pos="426" w:leader="none"/>
          <w:tab w:val="left" w:pos="993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>
      <w:pPr>
        <w:pStyle w:val="ConsPlusNormal1"/>
        <w:widowControl/>
        <w:numPr>
          <w:ilvl w:val="0"/>
          <w:numId w:val="8"/>
        </w:numPr>
        <w:tabs>
          <w:tab w:val="clear" w:pos="709"/>
          <w:tab w:val="left" w:pos="426" w:leader="none"/>
          <w:tab w:val="left" w:pos="993" w:leader="none"/>
        </w:tabs>
        <w:spacing w:before="40" w:after="40"/>
        <w:ind w:left="0"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z w:val="24"/>
          <w:szCs w:val="24"/>
        </w:rPr>
        <w:t xml:space="preserve"> нормативов ценообразования, не зарегистрированных и не вошедших в ФРСН, </w:t>
      </w:r>
      <w:r>
        <w:rPr>
          <w:rFonts w:ascii="Times New Roman" w:hAnsi="Times New Roman"/>
          <w:b/>
          <w:sz w:val="24"/>
          <w:szCs w:val="24"/>
          <w:u w:val="single"/>
        </w:rPr>
        <w:t>не допускается</w:t>
      </w:r>
      <w:r>
        <w:rPr>
          <w:rFonts w:ascii="Times New Roman" w:hAnsi="Times New Roman"/>
          <w:sz w:val="24"/>
          <w:szCs w:val="24"/>
        </w:rPr>
        <w:t>, кроме случаев, прямо указанных в настоящих требованиях.</w:t>
      </w:r>
    </w:p>
    <w:p>
      <w:pPr>
        <w:pStyle w:val="ConsPlusNormal1"/>
        <w:widowControl/>
        <w:numPr>
          <w:ilvl w:val="0"/>
          <w:numId w:val="8"/>
        </w:numPr>
        <w:tabs>
          <w:tab w:val="clear" w:pos="709"/>
          <w:tab w:val="left" w:pos="426" w:leader="none"/>
          <w:tab w:val="left" w:pos="993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 xml:space="preserve">Версия программного комплекса «Гранд-Смета» (далее–ПК «Гранд-смета») </w:t>
      </w:r>
      <w:r>
        <w:rPr>
          <w:rFonts w:cs="Times New Roman" w:ascii="Times New Roman" w:hAnsi="Times New Roman"/>
          <w:sz w:val="24"/>
          <w:szCs w:val="24"/>
          <w:u w:val="single"/>
        </w:rPr>
        <w:t>должна быть не ниже 2024.2.</w:t>
      </w:r>
    </w:p>
    <w:p>
      <w:pPr>
        <w:pStyle w:val="ConsPlusNormal1"/>
        <w:widowControl/>
        <w:numPr>
          <w:ilvl w:val="0"/>
          <w:numId w:val="8"/>
        </w:numPr>
        <w:tabs>
          <w:tab w:val="clear" w:pos="709"/>
          <w:tab w:val="left" w:pos="426" w:leader="none"/>
          <w:tab w:val="left" w:pos="993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дополнений, Методикой применения сметных норм, утвержденной приказом Министерства строительства и жилищно-коммунального хозяйства Российской Федерации от 14 июля 2022 г. N 571/пр, Приказом ПАО «РусГидро» от 22.11.2022 №891 «Об утверждении Единой методики установления требований и критериев (отбора, оценки) при подготовке в проведении закупок в Группе РусГидро», с учетом изменений и дополнений; Приказом ПАО «РусГидро» от 23.11.2022г. №893 «Об утверждении Единой методики формирования плановой цены на закупаемую продукцию для организаций группы РусГидро», с учетом изменений и дополнений (далее – Методика ПЦ).</w:t>
      </w:r>
    </w:p>
    <w:p>
      <w:pPr>
        <w:pStyle w:val="ConsPlusNormal1"/>
        <w:widowControl/>
        <w:numPr>
          <w:ilvl w:val="0"/>
          <w:numId w:val="8"/>
        </w:numPr>
        <w:tabs>
          <w:tab w:val="clear" w:pos="709"/>
          <w:tab w:val="left" w:pos="426" w:leader="none"/>
          <w:tab w:val="left" w:pos="1134" w:leader="none"/>
        </w:tabs>
        <w:ind w:left="0" w:firstLine="567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Сметная документация на ремонт энергетического оборудования составляется с применением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Энергоремонт», с учетом дополнений и изменений (БЦ с учетом Доп.1-12)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ConsPlusNormal1"/>
        <w:widowControl/>
        <w:numPr>
          <w:ilvl w:val="0"/>
          <w:numId w:val="8"/>
        </w:numPr>
        <w:tabs>
          <w:tab w:val="clear" w:pos="709"/>
          <w:tab w:val="left" w:pos="426" w:leader="none"/>
          <w:tab w:val="left" w:pos="1134" w:leader="none"/>
        </w:tabs>
        <w:ind w:left="0" w:firstLine="567"/>
        <w:jc w:val="both"/>
        <w:rPr>
          <w:rFonts w:ascii="Times New Roman" w:hAnsi="Times New Roman" w:eastAsia="Times New Roman" w:cs="Times New Roman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>Поправочный индекс к Базовым ценам учитывать в размере, не превышающем предельный индекс, установленный ПАО «РусГидро»: для работ, выполняемых в 2027 году, применять поправочные индексы к БЦ в размере, не превышающем 2,46 с начислением индекса-дефлятора на 2027 год в размере 7,64%</w:t>
      </w:r>
    </w:p>
    <w:p>
      <w:pPr>
        <w:pStyle w:val="ConsPlusNormal1"/>
        <w:widowControl/>
        <w:numPr>
          <w:ilvl w:val="0"/>
          <w:numId w:val="8"/>
        </w:numPr>
        <w:tabs>
          <w:tab w:val="clear" w:pos="709"/>
          <w:tab w:val="left" w:pos="426" w:leader="none"/>
          <w:tab w:val="left" w:pos="993" w:leader="none"/>
        </w:tabs>
        <w:spacing w:before="40" w:after="40"/>
        <w:ind w:left="0" w:firstLine="709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отсутствии расценок на ремонт энергетического оборудования в БЦ, а также при составлении локальных смет (далее – ЛС) на ремонт зданий и сооружений, применять сметно-нормативную базу «ФСНБ-2022» с изм. 1-15. 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851" w:leader="none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w:t xml:space="preserve">Определение сметной стоимости работ при ремонте, реконструкции и техническом перевооружении выполняется </w:t>
      </w:r>
      <w:bookmarkStart w:id="0" w:name="_Hlk80987880"/>
      <w:r>
        <w:rPr>
          <w:rFonts w:cs="Arial" w:ascii="Times New Roman" w:hAnsi="Times New Roman"/>
          <w:b/>
          <w:sz w:val="24"/>
          <w:szCs w:val="24"/>
        </w:rPr>
        <w:t>Ресурсно-индексным методом</w:t>
      </w:r>
      <w:r>
        <w:rPr>
          <w:rFonts w:cs="Arial" w:ascii="Times New Roman" w:hAnsi="Times New Roman"/>
          <w:sz w:val="24"/>
          <w:szCs w:val="24"/>
        </w:rPr>
        <w:t xml:space="preserve"> - с использованием сметных норм, сметных цен строительных ресурсов в базисном уровне цен и одновременным применением информации о сметных ценах, размещенной в ФГИС ЦС, а также индексов изменения сметной стоимости к составляющим единичных расценок в базисном уровне цен. Сметная стоимость, определенная с применением ресурсно-индексного метода, приводится в ЛСР (ЛС) в </w:t>
      </w:r>
      <w:bookmarkEnd w:id="0"/>
      <w:r>
        <w:rPr>
          <w:rFonts w:cs="Arial" w:ascii="Times New Roman" w:hAnsi="Times New Roman"/>
          <w:sz w:val="24"/>
          <w:szCs w:val="24"/>
        </w:rPr>
        <w:t xml:space="preserve">3 квартале 2025. </w:t>
      </w:r>
    </w:p>
    <w:p>
      <w:pPr>
        <w:pStyle w:val="ListParagraph"/>
        <w:numPr>
          <w:ilvl w:val="0"/>
          <w:numId w:val="15"/>
        </w:numPr>
        <w:tabs>
          <w:tab w:val="clear" w:pos="709"/>
          <w:tab w:val="left" w:pos="1134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определении сметной стоимости </w:t>
      </w:r>
      <w:r>
        <w:rPr>
          <w:rFonts w:ascii="Times New Roman" w:hAnsi="Times New Roman"/>
          <w:b/>
          <w:sz w:val="24"/>
          <w:szCs w:val="24"/>
        </w:rPr>
        <w:t>ресурсно-индексным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методом</w:t>
      </w:r>
      <w:r>
        <w:rPr>
          <w:rFonts w:ascii="Times New Roman" w:hAnsi="Times New Roman"/>
          <w:sz w:val="24"/>
          <w:szCs w:val="24"/>
        </w:rPr>
        <w:t xml:space="preserve"> применяются индексы изменения сметной стоимости на текущий период (при наличии) для соответствующих видов объектов капитального строительства и субъектов Российской Федерации (частей территорий субъектов Российской Федерации), либо индексы, сведения о которых последними включены в ФРСН: индексы к отдельным строительным ресурсам, индексы к группам строительных ресурсов</w:t>
      </w:r>
      <w:r>
        <w:rPr>
          <w:rFonts w:ascii="Times New Roman" w:hAnsi="Times New Roman"/>
          <w:b/>
          <w:sz w:val="24"/>
          <w:szCs w:val="24"/>
        </w:rPr>
        <w:t xml:space="preserve"> (индексы к сметной стоимости отдельных материалов, изделий, конструкций, оборудования, эксплуатации машин и механизмов или к стоимости однородных групп таких строительных ресурсов)</w:t>
      </w:r>
      <w:r>
        <w:rPr>
          <w:rFonts w:ascii="Times New Roman" w:hAnsi="Times New Roman"/>
          <w:sz w:val="24"/>
          <w:szCs w:val="24"/>
        </w:rPr>
        <w:t>;</w:t>
      </w:r>
    </w:p>
    <w:p>
      <w:pPr>
        <w:pStyle w:val="ListParagraph"/>
        <w:numPr>
          <w:ilvl w:val="0"/>
          <w:numId w:val="15"/>
        </w:numPr>
        <w:tabs>
          <w:tab w:val="clear" w:pos="709"/>
          <w:tab w:val="left" w:pos="1134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индексы изменения сметных цен </w:t>
      </w:r>
      <w:r>
        <w:rPr>
          <w:rFonts w:ascii="Times New Roman" w:hAnsi="Times New Roman"/>
          <w:b/>
          <w:sz w:val="24"/>
          <w:szCs w:val="24"/>
        </w:rPr>
        <w:t>на перевозку грузов</w:t>
      </w:r>
      <w:r>
        <w:rPr>
          <w:rFonts w:ascii="Times New Roman" w:hAnsi="Times New Roman"/>
          <w:sz w:val="24"/>
          <w:szCs w:val="24"/>
        </w:rPr>
        <w:t xml:space="preserve"> – применяются к сметной стоимости затрат на перевозку грузов для строительства автомобильным транспортом, в том числе на дополнительное расстояние, сверх учтенного сметными ценами на материальные ресурсы и оборудование, в соответствии с типом автотранспортных средств;</w:t>
      </w:r>
    </w:p>
    <w:p>
      <w:pPr>
        <w:pStyle w:val="ListParagraph"/>
        <w:numPr>
          <w:ilvl w:val="0"/>
          <w:numId w:val="15"/>
        </w:numPr>
        <w:tabs>
          <w:tab w:val="clear" w:pos="709"/>
          <w:tab w:val="left" w:pos="1134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индексы изменения сметной </w:t>
      </w:r>
      <w:r>
        <w:rPr>
          <w:rFonts w:ascii="Times New Roman" w:hAnsi="Times New Roman"/>
          <w:b/>
          <w:sz w:val="24"/>
          <w:szCs w:val="24"/>
        </w:rPr>
        <w:t>стоимости оборудования</w:t>
      </w:r>
      <w:r>
        <w:rPr>
          <w:rFonts w:ascii="Times New Roman" w:hAnsi="Times New Roman"/>
          <w:sz w:val="24"/>
          <w:szCs w:val="24"/>
        </w:rPr>
        <w:t xml:space="preserve"> – применяются к сметной стоимости оборудования;</w:t>
      </w:r>
    </w:p>
    <w:p>
      <w:pPr>
        <w:pStyle w:val="ListParagraph"/>
        <w:numPr>
          <w:ilvl w:val="0"/>
          <w:numId w:val="15"/>
        </w:numPr>
        <w:tabs>
          <w:tab w:val="clear" w:pos="709"/>
          <w:tab w:val="left" w:pos="1134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индексы изменения сметной стоимости, рассчитываемые для применения к сметной стоимости отдельных видов </w:t>
      </w:r>
      <w:r>
        <w:rPr>
          <w:rFonts w:ascii="Times New Roman" w:hAnsi="Times New Roman"/>
          <w:b/>
          <w:sz w:val="24"/>
          <w:szCs w:val="24"/>
        </w:rPr>
        <w:t>прочих работ и затрат.</w:t>
      </w:r>
    </w:p>
    <w:p>
      <w:pPr>
        <w:pStyle w:val="ConsPlusNormal1"/>
        <w:numPr>
          <w:ilvl w:val="0"/>
          <w:numId w:val="8"/>
        </w:numPr>
        <w:tabs>
          <w:tab w:val="clear" w:pos="709"/>
          <w:tab w:val="left" w:pos="426" w:leader="none"/>
          <w:tab w:val="left" w:pos="993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Для пересчета сметной стоимости в прогнозный уровень цен применяются текущие индексы – дефляторы в соответствии с прогнозом Министерства экономического развития РФ (ИПЦ базовый, по строке – Показатель инфляции / в среднем за год), определенные в установленном порядке для Заказчика в соответствии с планируемым периодом выполнения работ в размере на 2027г. - 1,0764 . </w:t>
      </w:r>
    </w:p>
    <w:p>
      <w:pPr>
        <w:pStyle w:val="ConsPlusNormal1"/>
        <w:tabs>
          <w:tab w:val="clear" w:pos="709"/>
          <w:tab w:val="left" w:pos="426" w:leader="none"/>
          <w:tab w:val="left" w:pos="993" w:leader="none"/>
        </w:tabs>
        <w:spacing w:before="40" w:after="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случае, если планируемый период выполнения работ составляет до одного календарного года и сметная документация составлена в уровне цен того же года, индекс прогнозной инфляции на один месяц осуществляется извлечением квадратного корня двенадцатой степени из индекса прогнозной инфляции Минэкономразвития России (ИПЦ базовый, по строке - Показатели инфляции / в среднем за год ) установленного в целом за год:</w:t>
      </w:r>
    </w:p>
    <w:p>
      <w:pPr>
        <w:pStyle w:val="ConsPlusNormal1"/>
        <w:tabs>
          <w:tab w:val="clear" w:pos="709"/>
          <w:tab w:val="left" w:pos="426" w:leader="none"/>
          <w:tab w:val="left" w:pos="993" w:leader="none"/>
        </w:tabs>
        <w:spacing w:before="40" w:after="4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/>
      </w:r>
      <m:oMathPara xmlns:m="http://schemas.openxmlformats.org/officeDocument/2006/math">
        <m:oMathParaPr>
          <m:jc m:val="center"/>
        </m:oMathParaPr>
        <m:oMath>
          <m:sSub>
            <m:e>
              <m:r>
                <w:rPr>
                  <w:rFonts w:ascii="Cambria Math" w:hAnsi="Cambria Math"/>
                </w:rPr>
                <m:t xml:space="preserve">И</m:t>
              </m:r>
            </m:e>
            <m:sub>
              <m:r>
                <w:rPr>
                  <w:rFonts w:ascii="Cambria Math" w:hAnsi="Cambria Math"/>
                </w:rPr>
                <m:t xml:space="preserve">инфл</m:t>
              </m:r>
              <m:r>
                <w:rPr>
                  <w:rFonts w:ascii="Cambria Math" w:hAnsi="Cambria Math"/>
                </w:rPr>
                <m:t xml:space="preserve">.</m:t>
              </m:r>
              <m:r>
                <w:rPr>
                  <w:rFonts w:ascii="Cambria Math" w:hAnsi="Cambria Math"/>
                </w:rPr>
                <m:t xml:space="preserve">мес</m:t>
              </m:r>
            </m:sub>
          </m:sSub>
          <m:r>
            <w:rPr>
              <w:rFonts w:ascii="Cambria Math" w:hAnsi="Cambria Math"/>
            </w:rPr>
            <m:t xml:space="preserve">=</m:t>
          </m:r>
          <m:rad>
            <m:deg>
              <m:r>
                <w:rPr>
                  <w:rFonts w:ascii="Cambria Math" w:hAnsi="Cambria Math"/>
                </w:rPr>
                <m:t xml:space="preserve">12</m:t>
              </m:r>
            </m:deg>
            <m:e>
              <m:sSub>
                <m:e>
                  <m:r>
                    <w:rPr>
                      <w:rFonts w:ascii="Cambria Math" w:hAnsi="Cambria Math"/>
                    </w:rPr>
                    <m:t xml:space="preserve">И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инфлгод</m:t>
                  </m:r>
                </m:sub>
              </m:sSub>
            </m:e>
          </m:rad>
        </m:oMath>
      </m:oMathPara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инфл мес – индекс прогнозной инфляции на один месяц, полученное значение округляется до 4 знаков после запятой;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инфл год – индекс-дефлятор Министерства экономического развития Российской Федерации (ИПЦ базовый, по строке - Показатели инфляции / в среднем за год).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определения размера индекса прогнозной инфляции периодом в несколько месяцев, величина индекса прогнозной инфляции на один месяц возводится в степень размер которой соответствует количеству месяцев от даты определения стоимости работ до даты окончания работ, принимается среднее значение индекса-дефлятора, между индексом прогнозной инфляции на месяц начала производства работ и индексом на месяц окончания производства работ:</w:t>
      </w:r>
    </w:p>
    <w:p>
      <w:pPr>
        <w:pStyle w:val="Style36"/>
        <w:numPr>
          <w:ilvl w:val="0"/>
          <w:numId w:val="0"/>
        </w:numPr>
        <w:tabs>
          <w:tab w:val="clear" w:pos="709"/>
          <w:tab w:val="left" w:pos="708" w:leader="none"/>
        </w:tabs>
        <w:ind w:left="0" w:hanging="0"/>
        <w:jc w:val="center"/>
        <w:rPr>
          <w:rFonts w:ascii="Times New Roman" w:hAnsi="Times New Roman" w:eastAsia="Times New Roman" w:cs="Times New Roman"/>
          <w:szCs w:val="24"/>
          <w:lang w:eastAsia="ru-RU"/>
        </w:rPr>
      </w:pP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И</m:t>
            </m:r>
          </m:e>
          <m:sub>
            <m:r>
              <w:rPr>
                <w:rFonts w:ascii="Cambria Math" w:hAnsi="Cambria Math"/>
              </w:rPr>
              <m:t xml:space="preserve">инфл</m:t>
            </m:r>
            <m:r>
              <w:rPr>
                <w:rFonts w:ascii="Cambria Math" w:hAnsi="Cambria Math"/>
              </w:rPr>
              <m:t xml:space="preserve">.</m:t>
            </m:r>
            <m:r>
              <w:rPr>
                <w:rFonts w:ascii="Cambria Math" w:hAnsi="Cambria Math"/>
              </w:rPr>
              <m:t xml:space="preserve">пер</m:t>
            </m:r>
            <m:r>
              <w:rPr>
                <w:rFonts w:ascii="Cambria Math" w:hAnsi="Cambria Math"/>
              </w:rPr>
              <m:t xml:space="preserve">.</m:t>
            </m:r>
          </m:sub>
        </m:sSub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f>
              <m:num>
                <m:sSub>
                  <m:e>
                    <m:r>
                      <w:rPr>
                        <w:rFonts w:ascii="Cambria Math" w:hAnsi="Cambria Math"/>
                      </w:rPr>
                      <m:t xml:space="preserve">И</m:t>
                    </m:r>
                  </m:e>
                  <m:sub>
                    <m:sSup>
                      <m:e>
                        <m:r>
                          <w:rPr>
                            <w:rFonts w:ascii="Cambria Math" w:hAnsi="Cambria Math"/>
                          </w:rPr>
                          <m:t xml:space="preserve">инфл</m:t>
                        </m:r>
                        <m:r>
                          <w:rPr>
                            <w:rFonts w:ascii="Cambria Math" w:hAnsi="Cambria Math"/>
                          </w:rPr>
                          <m:t xml:space="preserve">.</m:t>
                        </m:r>
                        <m:r>
                          <w:rPr>
                            <w:rFonts w:ascii="Cambria Math" w:hAnsi="Cambria Math"/>
                          </w:rPr>
                          <m:t xml:space="preserve">мес</m:t>
                        </m:r>
                        <m:r>
                          <w:rPr>
                            <w:rFonts w:ascii="Cambria Math" w:hAnsi="Cambria Math"/>
                          </w:rPr>
                          <m:t xml:space="preserve">.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 xml:space="preserve">n</m:t>
                        </m:r>
                      </m:sup>
                    </m:sSup>
                  </m:sub>
                </m:sSub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num>
              <m:den>
                <m:r>
                  <w:rPr>
                    <w:rFonts w:ascii="Cambria Math" w:hAnsi="Cambria Math"/>
                  </w:rPr>
                  <m:t xml:space="preserve">2</m:t>
                </m:r>
              </m:den>
            </m:f>
          </m:e>
        </m:d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1</m:t>
        </m:r>
      </m:oMath>
      <w:r>
        <w:rPr>
          <w:rFonts w:eastAsia="Times New Roman" w:cs="Times New Roman" w:ascii="Times New Roman" w:hAnsi="Times New Roman"/>
          <w:szCs w:val="24"/>
          <w:lang w:eastAsia="ru-RU"/>
        </w:rPr>
        <w:t xml:space="preserve">       </w:t>
      </w:r>
      <w:r>
        <w:rPr>
          <w:rFonts w:eastAsia="Times New Roman" w:cs="Times New Roman" w:ascii="Times New Roman" w:hAnsi="Times New Roman"/>
          <w:szCs w:val="24"/>
          <w:lang w:eastAsia="ru-RU"/>
        </w:rPr>
        <w:t>(1)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инф пер – индекс прогнозной инфляции для периода выполнения работ, полученное значение округляется до 4 знаков после запятой.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срок выполнения работ превышает календарный год, то индекс прогнозной инфляции для второго и последующих годов, определяется с учетом установленных договором сроков строительства по формуле: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Цд=С * Иинфл     (2)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Цд – стоимость договора (этапа);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- сметная стоимость подрядных работ, подлежащих выполнению подрядчиком;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Иинф – индекс инфляции, рассчитываемый по формуле: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 инф = Д1*К1+Д2*К2+...+Дi*Кi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где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Д1, Д2, Дi - доля сметной стоимости работ соответственно в 1-й, 2-й, 3-й, i-ый годы строительства;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- год завершения строительства объекта;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К1 - индекс прогнозной инфляции за первый год строительства объекта,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К2 -индекс прогнозной инфляции, учитывающий инфляцию за первый и второй годы строительства объекта.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объекта;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Кi - индекс прогнозной инфляции, учитывающий инфляцию за весь период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 (пример расчета индекса-дефлятора приведен в Приложении 3 к настоящим Требованиям).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этом: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если срок выполнения работ указан в целом по договору (дата начала работ – дата окончание работ), применяется единый дефлятор, в соответствии с формулой (2);</w:t>
      </w:r>
    </w:p>
    <w:p>
      <w:pPr>
        <w:pStyle w:val="ConsPlusNormal1"/>
        <w:tabs>
          <w:tab w:val="clear" w:pos="709"/>
          <w:tab w:val="left" w:pos="426" w:leader="none"/>
          <w:tab w:val="left" w:pos="993" w:leader="none"/>
        </w:tabs>
        <w:spacing w:before="40" w:after="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если договором предусмотрен график выполнения работ с разбивкой на этапы (дата начала работ по этапу – дата окончания работ по этапу), дефлятор применяется в соответствии с таким графиком, и рассчитывается на каждый этап, в соответствии с формулой (2).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284" w:leader="none"/>
          <w:tab w:val="left" w:pos="1134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 </w:t>
      </w:r>
      <w:r>
        <w:rPr>
          <w:rFonts w:ascii="Times New Roman" w:hAnsi="Times New Roman"/>
          <w:i/>
          <w:sz w:val="24"/>
          <w:szCs w:val="24"/>
        </w:rPr>
        <w:t>отсутствия</w:t>
      </w:r>
      <w:r>
        <w:rPr>
          <w:rFonts w:ascii="Times New Roman" w:hAnsi="Times New Roman"/>
          <w:sz w:val="24"/>
          <w:szCs w:val="24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 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1134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отсутствии информации о сметных ценах в ФГИС ЦС и ФССЦ по материальным ресурсам и оборудованию, их сметная цена определяется по наиболее экономичному варианту, определенному на основании сбора информации о текущих ценах (конъюнктурный анализ) в соответствии с Методикой определения сметной стоимости (Приказ Минстроя России от 04.08.2020г. №421/пр, п.13). Результаты конъюнктурного анализа оформляются в соответствии с формой, приведенной в Приложении №1 к Методике.</w:t>
      </w:r>
    </w:p>
    <w:p>
      <w:pPr>
        <w:pStyle w:val="ConsPlusNormal1"/>
        <w:numPr>
          <w:ilvl w:val="0"/>
          <w:numId w:val="8"/>
        </w:numPr>
        <w:tabs>
          <w:tab w:val="clear" w:pos="709"/>
          <w:tab w:val="left" w:pos="284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>
      <w:pPr>
        <w:pStyle w:val="ConsPlusNormal1"/>
        <w:numPr>
          <w:ilvl w:val="0"/>
          <w:numId w:val="8"/>
        </w:numPr>
        <w:tabs>
          <w:tab w:val="clear" w:pos="709"/>
          <w:tab w:val="left" w:pos="284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284" w:leader="none"/>
          <w:tab w:val="left" w:pos="1134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Транспортные затраты определяются следующими методами: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284" w:leader="none"/>
          <w:tab w:val="left" w:pos="1134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доставке материальных ресурсов: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ConsPlusNormal1"/>
        <w:numPr>
          <w:ilvl w:val="0"/>
          <w:numId w:val="11"/>
        </w:numPr>
        <w:tabs>
          <w:tab w:val="clear" w:pos="709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>
      <w:pPr>
        <w:pStyle w:val="ConsPlusNormal1"/>
        <w:widowControl/>
        <w:numPr>
          <w:ilvl w:val="0"/>
          <w:numId w:val="11"/>
        </w:numPr>
        <w:tabs>
          <w:tab w:val="clear" w:pos="709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отсутствии информации во ФГИС ЦС транспортные затраты могут определяться по результатам конъюнктурного анализа в соответствии с пп. 13-21 Методики определения сметной стоимости (Приказ Минстроя России от 04.08.2020г. №421/пр). Результаты конъюнктурного анализа оформляются в соответствии с формой, приведенной в Приложении №1 к Методике.</w:t>
      </w:r>
    </w:p>
    <w:p>
      <w:pPr>
        <w:pStyle w:val="ConsPlusNormal1"/>
        <w:widowControl/>
        <w:numPr>
          <w:ilvl w:val="0"/>
          <w:numId w:val="11"/>
        </w:numPr>
        <w:tabs>
          <w:tab w:val="clear" w:pos="709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размере до 3-х процентов от отпускной цены материальных ресурсов (при невозможности определить затраты указанными выше способами), по решению заказчика.</w:t>
      </w:r>
    </w:p>
    <w:p>
      <w:pPr>
        <w:pStyle w:val="ListParagraph"/>
        <w:numPr>
          <w:ilvl w:val="1"/>
          <w:numId w:val="8"/>
        </w:numPr>
        <w:tabs>
          <w:tab w:val="clear" w:pos="709"/>
          <w:tab w:val="left" w:pos="284" w:leader="none"/>
          <w:tab w:val="left" w:pos="1134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доставке оборудования</w:t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ConsPlusNormal1"/>
        <w:widowControl/>
        <w:numPr>
          <w:ilvl w:val="0"/>
          <w:numId w:val="11"/>
        </w:numPr>
        <w:tabs>
          <w:tab w:val="clear" w:pos="709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>
      <w:pPr>
        <w:pStyle w:val="ConsPlusNormal1"/>
        <w:widowControl/>
        <w:numPr>
          <w:ilvl w:val="0"/>
          <w:numId w:val="11"/>
        </w:numPr>
        <w:tabs>
          <w:tab w:val="clear" w:pos="709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отсутствии информации во ФГИС ЦС транспортные затраты могут определяться по результатам конъюнктурного анализа в соответствии с пп. 13-21 Методики определения сметной стоимости (Приказ Минстроя России от 04.08.2020г. №421/пр). Результаты конъюнктурного анализа оформляются в соответствии с формой, приведенной в Приложении №1 к Методике.</w:t>
      </w:r>
    </w:p>
    <w:p>
      <w:pPr>
        <w:pStyle w:val="ConsPlusNormal1"/>
        <w:numPr>
          <w:ilvl w:val="0"/>
          <w:numId w:val="11"/>
        </w:numPr>
        <w:tabs>
          <w:tab w:val="clear" w:pos="709"/>
          <w:tab w:val="left" w:pos="284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размере до 3-х процентов от отпускной цены оборудования (при невозможности определить затраты</w:t>
      </w:r>
      <w:bookmarkStart w:id="1" w:name="_Hlk86255346"/>
      <w:r>
        <w:rPr>
          <w:rFonts w:cs="Times New Roman" w:ascii="Times New Roman" w:hAnsi="Times New Roman"/>
          <w:sz w:val="24"/>
          <w:szCs w:val="24"/>
        </w:rPr>
        <w:t xml:space="preserve"> </w:t>
      </w:r>
      <w:bookmarkEnd w:id="1"/>
      <w:r>
        <w:rPr>
          <w:rFonts w:cs="Times New Roman" w:ascii="Times New Roman" w:hAnsi="Times New Roman"/>
          <w:sz w:val="24"/>
          <w:szCs w:val="24"/>
        </w:rPr>
        <w:t>указанными выше способами), по решению заказчика.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284" w:leader="none"/>
          <w:tab w:val="left" w:pos="1134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транспортировка осуществляется заказчиком самостоятельно (самовывоз), данный показатель не учитывается.</w:t>
      </w:r>
    </w:p>
    <w:p>
      <w:pPr>
        <w:pStyle w:val="ListParagraph"/>
        <w:numPr>
          <w:ilvl w:val="0"/>
          <w:numId w:val="8"/>
        </w:numPr>
        <w:tabs>
          <w:tab w:val="clear" w:pos="709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Заготовительно-складские расходы определяются в % от суммы отпускной цены материалов, изделий, конструкций, оборудования и транспортных затрат:</w:t>
      </w:r>
    </w:p>
    <w:p>
      <w:pPr>
        <w:pStyle w:val="ConsPlusNormal1"/>
        <w:numPr>
          <w:ilvl w:val="0"/>
          <w:numId w:val="10"/>
        </w:numPr>
        <w:tabs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2% -для материальных ресурсов (кроме металлоконструкций);</w:t>
      </w:r>
    </w:p>
    <w:p>
      <w:pPr>
        <w:pStyle w:val="ConsPlusNormal1"/>
        <w:numPr>
          <w:ilvl w:val="0"/>
          <w:numId w:val="10"/>
        </w:numPr>
        <w:tabs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0,75%- для металлоконструкций;</w:t>
      </w:r>
    </w:p>
    <w:p>
      <w:pPr>
        <w:pStyle w:val="ConsPlusNormal1"/>
        <w:numPr>
          <w:ilvl w:val="0"/>
          <w:numId w:val="10"/>
        </w:numPr>
        <w:tabs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1,2% - для оборудования.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Затраты на эксплуатацию строительной техники, не учтенной нормами и расценками, включенными в ФРСН, определяются по наиболее экономичному варианту, определенному на основании сбора информации о текущих ценах (конъюнктурный анализ) в соответствии с Методикой определения сметной стоимости (Приказ Минстроя России от 04.08.2020г. №421/пр, п.13), и включаются в Главу 9 ССРСС. Результаты конъюнктурного анализа оформляются в соответствии с формой, приведенной в Приложении №1 к Методике.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>
      <w:pPr>
        <w:pStyle w:val="ListParagraph"/>
        <w:numPr>
          <w:ilvl w:val="0"/>
          <w:numId w:val="8"/>
        </w:numPr>
        <w:tabs>
          <w:tab w:val="left" w:pos="284" w:leader="none"/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Затраты</w:t>
      </w:r>
      <w:r>
        <w:rPr>
          <w:rFonts w:ascii="Times New Roman" w:hAnsi="Times New Roman"/>
          <w:sz w:val="24"/>
          <w:szCs w:val="24"/>
        </w:rPr>
        <w:t xml:space="preserve"> на возведение временных зданий и сооружений учитывать в том случае, если они указаны в ПОС, Технических требованиях. Размер средств на устройство и ликвидацию временных зданий и сооружений определяются одним из способов: нормативным методом с применением нормативов затрат на строительство титульных временных зданий и сооружений, сведения о которых включены в ФРСН, расчетным методом на основании ЛСР (ЛС) или калькуляций, в соответствии с данными ПОС. Порядок расчета за возведенные временные здания и сооружения оговаривать в договоре подряда.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Резерв</w:t>
      </w:r>
      <w:r>
        <w:rPr>
          <w:rFonts w:ascii="Times New Roman" w:hAnsi="Times New Roman"/>
          <w:sz w:val="24"/>
          <w:szCs w:val="24"/>
        </w:rPr>
        <w:t xml:space="preserve"> средств на непредвиденные работы и затраты определять в Технических требованиях и начислять в смете в процентах в размере, указанном в утвержденных Технических требованиях. Порядок расчета за непредвиденные работы и затраты оговаривать в договоре подряда.</w:t>
      </w:r>
    </w:p>
    <w:p>
      <w:pPr>
        <w:pStyle w:val="ListParagraph"/>
        <w:numPr>
          <w:ilvl w:val="0"/>
          <w:numId w:val="8"/>
        </w:numPr>
        <w:tabs>
          <w:tab w:val="left" w:pos="284" w:leader="none"/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ЛСР</w:t>
      </w:r>
      <w:r>
        <w:rPr>
          <w:rFonts w:ascii="Times New Roman" w:hAnsi="Times New Roman"/>
          <w:sz w:val="24"/>
          <w:szCs w:val="24"/>
        </w:rPr>
        <w:t xml:space="preserve">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>
      <w:pPr>
        <w:pStyle w:val="ListParagraph"/>
        <w:numPr>
          <w:ilvl w:val="0"/>
          <w:numId w:val="8"/>
        </w:numPr>
        <w:tabs>
          <w:tab w:val="left" w:pos="284" w:leader="none"/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ЛСР</w:t>
      </w:r>
      <w:r>
        <w:rPr>
          <w:rFonts w:ascii="Times New Roman" w:hAnsi="Times New Roman"/>
          <w:sz w:val="24"/>
          <w:szCs w:val="24"/>
        </w:rPr>
        <w:t xml:space="preserve">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>
      <w:pPr>
        <w:pStyle w:val="ListParagraph"/>
        <w:numPr>
          <w:ilvl w:val="0"/>
          <w:numId w:val="8"/>
        </w:numPr>
        <w:tabs>
          <w:tab w:val="left" w:pos="284" w:leader="none"/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Сметная</w:t>
      </w:r>
      <w:r>
        <w:rPr>
          <w:rFonts w:ascii="Times New Roman" w:hAnsi="Times New Roman"/>
          <w:sz w:val="24"/>
          <w:szCs w:val="24"/>
        </w:rPr>
        <w:t xml:space="preserve"> стоимость пусконаладочных работ определяется на основании утвержденных 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. Методики определения сметной стоимости строительства: 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993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993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>
      <w:pPr>
        <w:pStyle w:val="ConsPlusNormal1"/>
        <w:tabs>
          <w:tab w:val="left" w:pos="709" w:leader="none"/>
          <w:tab w:val="left" w:pos="851" w:leader="none"/>
        </w:tabs>
        <w:spacing w:before="40" w:after="4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Данные работы оформляются отдельными локальными сметами в соответствии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Стоимость</w:t>
      </w:r>
      <w:r>
        <w:rPr>
          <w:rFonts w:ascii="Times New Roman" w:hAnsi="Times New Roman"/>
          <w:sz w:val="24"/>
          <w:szCs w:val="24"/>
        </w:rPr>
        <w:t xml:space="preserve">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удельному весу накладных расходов в себестоимости, уровню рентабельности </w:t>
      </w:r>
      <w:r>
        <w:rPr>
          <w:rFonts w:ascii="Times New Roman" w:hAnsi="Times New Roman"/>
          <w:color w:val="000000"/>
          <w:sz w:val="24"/>
          <w:szCs w:val="24"/>
        </w:rPr>
        <w:t>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перевооружению).</w:t>
      </w:r>
      <w:r>
        <w:rPr>
          <w:rFonts w:ascii="Times New Roman" w:hAnsi="Times New Roman"/>
          <w:sz w:val="24"/>
          <w:szCs w:val="24"/>
        </w:rPr>
        <w:t xml:space="preserve"> Участник (подрядчик, контрагент) представляет смету на шеф-монтажные работы в соответствии с графиком выполнения работ.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определять в соответствии с Федеральным законодательством и с учетом норм, определяемых внутренним документом организации.</w:t>
      </w:r>
    </w:p>
    <w:p>
      <w:pPr>
        <w:pStyle w:val="ConsPlusNormal1"/>
        <w:widowControl/>
        <w:tabs>
          <w:tab w:val="left" w:pos="284" w:leader="none"/>
          <w:tab w:val="left" w:pos="709" w:leader="none"/>
          <w:tab w:val="left" w:pos="851" w:leader="none"/>
        </w:tabs>
        <w:spacing w:before="40" w:after="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Лимиты командировочных расходов при производстве СМР и ПНР по статьям затрат следующие:</w:t>
      </w:r>
    </w:p>
    <w:p>
      <w:pPr>
        <w:pStyle w:val="ConsPlusNormal1"/>
        <w:numPr>
          <w:ilvl w:val="0"/>
          <w:numId w:val="6"/>
        </w:numPr>
        <w:tabs>
          <w:tab w:val="left" w:pos="284" w:leader="none"/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суточные - 700 руб./сутки;</w:t>
      </w:r>
    </w:p>
    <w:p>
      <w:pPr>
        <w:pStyle w:val="ConsPlusNormal1"/>
        <w:numPr>
          <w:ilvl w:val="0"/>
          <w:numId w:val="6"/>
        </w:numPr>
        <w:tabs>
          <w:tab w:val="left" w:pos="284" w:leader="none"/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проживание </w:t>
      </w:r>
      <w:r>
        <w:rPr>
          <w:rFonts w:cs="Times New Roman" w:ascii="Times New Roman" w:hAnsi="Times New Roman"/>
          <w:color w:val="FF0000"/>
          <w:sz w:val="24"/>
          <w:szCs w:val="24"/>
        </w:rPr>
        <w:t xml:space="preserve">– 500 </w:t>
      </w:r>
      <w:r>
        <w:rPr>
          <w:rFonts w:cs="Times New Roman" w:ascii="Times New Roman" w:hAnsi="Times New Roman"/>
          <w:sz w:val="24"/>
          <w:szCs w:val="24"/>
        </w:rPr>
        <w:t>руб./сутки;</w:t>
      </w:r>
    </w:p>
    <w:p>
      <w:pPr>
        <w:pStyle w:val="ConsPlusNormal1"/>
        <w:numPr>
          <w:ilvl w:val="0"/>
          <w:numId w:val="6"/>
        </w:numPr>
        <w:tabs>
          <w:tab w:val="left" w:pos="284" w:leader="none"/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проезд: поезд (купе) или самолет (класс–эконом с багажом до 20 (двадцати) кг, ручная кладь до 10 (десяти) кг).</w:t>
      </w:r>
    </w:p>
    <w:p>
      <w:pPr>
        <w:pStyle w:val="ConsPlusNormal1"/>
        <w:tabs>
          <w:tab w:val="left" w:pos="284" w:leader="none"/>
          <w:tab w:val="left" w:pos="709" w:leader="none"/>
          <w:tab w:val="left" w:pos="851" w:leader="none"/>
        </w:tabs>
        <w:spacing w:before="40" w:after="40"/>
        <w:ind w:firstLine="709"/>
        <w:jc w:val="both"/>
        <w:rPr>
          <w:rFonts w:ascii="Times New Roman" w:hAnsi="Times New Roman" w:cs="Times New Roman"/>
          <w:b/>
          <w:i/>
          <w:i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b/>
          <w:i/>
          <w:color w:val="000000" w:themeColor="text1"/>
          <w:sz w:val="24"/>
          <w:szCs w:val="24"/>
        </w:rPr>
        <w:t>Данные лимиты могут быть пересмотрены на этапе согласования технических требований.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b/>
          <w:sz w:val="24"/>
          <w:szCs w:val="24"/>
          <w:highlight w:val="lightGray"/>
          <w:u w:val="single"/>
        </w:rPr>
      </w:pPr>
      <w:r>
        <w:rPr>
          <w:rFonts w:ascii="Times New Roman" w:hAnsi="Times New Roman"/>
          <w:sz w:val="24"/>
          <w:szCs w:val="24"/>
          <w:highlight w:val="lightGray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  <w:highlight w:val="lightGray"/>
        </w:rPr>
        <w:t>локальных</w:t>
      </w:r>
      <w:r>
        <w:rPr>
          <w:rFonts w:ascii="Times New Roman" w:hAnsi="Times New Roman"/>
          <w:sz w:val="24"/>
          <w:szCs w:val="24"/>
          <w:highlight w:val="lightGray"/>
        </w:rPr>
        <w:t xml:space="preserve"> сметных расчетах построчные и итоговые суммы </w:t>
      </w:r>
      <w:r>
        <w:rPr>
          <w:rFonts w:ascii="Times New Roman" w:hAnsi="Times New Roman"/>
          <w:b/>
          <w:sz w:val="24"/>
          <w:szCs w:val="24"/>
          <w:highlight w:val="lightGray"/>
          <w:u w:val="single"/>
        </w:rPr>
        <w:t>округлять: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>
        <w:rPr>
          <w:rFonts w:cs="Times New Roman" w:ascii="Times New Roman" w:hAnsi="Times New Roman"/>
          <w:sz w:val="24"/>
          <w:szCs w:val="24"/>
          <w:highlight w:val="lightGray"/>
        </w:rPr>
        <w:t>при ресурсно-индексном и ресурсном методах, а также в сметных расчетах на отдельные виды затрат - до двух знаков после запятой (до копеек);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>
        <w:rPr>
          <w:rFonts w:cs="Times New Roman" w:ascii="Times New Roman" w:hAnsi="Times New Roman"/>
          <w:sz w:val="24"/>
          <w:szCs w:val="24"/>
          <w:highlight w:val="lightGray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Выходные</w:t>
      </w:r>
      <w:r>
        <w:rPr>
          <w:rFonts w:ascii="Times New Roman" w:hAnsi="Times New Roman"/>
          <w:sz w:val="24"/>
          <w:szCs w:val="24"/>
        </w:rPr>
        <w:t xml:space="preserve"> формы сметных расчетов должны соответствовать Образцу согласно Приложению 1.5.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>:</w:t>
      </w:r>
    </w:p>
    <w:p>
      <w:pPr>
        <w:pStyle w:val="ConsPlusNormal1"/>
        <w:widowControl/>
        <w:numPr>
          <w:ilvl w:val="1"/>
          <w:numId w:val="8"/>
        </w:numPr>
        <w:tabs>
          <w:tab w:val="left" w:pos="709" w:leader="none"/>
          <w:tab w:val="left" w:pos="851" w:leader="none"/>
          <w:tab w:val="left" w:pos="1560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В </w:t>
      </w:r>
      <w:r>
        <w:rPr>
          <w:rFonts w:cs="Times New Roman" w:ascii="Times New Roman" w:hAnsi="Times New Roman"/>
          <w:color w:val="000000"/>
          <w:sz w:val="24"/>
          <w:szCs w:val="24"/>
        </w:rPr>
        <w:t>сметной</w:t>
      </w:r>
      <w:r>
        <w:rPr>
          <w:rFonts w:cs="Times New Roman" w:ascii="Times New Roman" w:hAnsi="Times New Roman"/>
          <w:sz w:val="24"/>
          <w:szCs w:val="24"/>
        </w:rPr>
        <w:t xml:space="preserve">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>
      <w:pPr>
        <w:pStyle w:val="ConsPlusNormal1"/>
        <w:widowControl/>
        <w:numPr>
          <w:ilvl w:val="1"/>
          <w:numId w:val="8"/>
        </w:numPr>
        <w:tabs>
          <w:tab w:val="left" w:pos="709" w:leader="none"/>
          <w:tab w:val="left" w:pos="851" w:leader="none"/>
          <w:tab w:val="left" w:pos="1560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Из норм и расценок, внесенных в ФРСН, при составлении сметной документации исключать затраты:</w:t>
      </w:r>
    </w:p>
    <w:p>
      <w:pPr>
        <w:pStyle w:val="ConsPlusNormal1"/>
        <w:widowControl/>
        <w:numPr>
          <w:ilvl w:val="2"/>
          <w:numId w:val="8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предоставляемым грузоподъемным механизмам, учтенным в составе сметных норм и расценок:</w:t>
      </w:r>
    </w:p>
    <w:p>
      <w:pPr>
        <w:pStyle w:val="ConsPlusNormal1"/>
        <w:numPr>
          <w:ilvl w:val="0"/>
          <w:numId w:val="9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Исключать из норм и расценок предоставляемые грузоподъемные механизмы. </w:t>
      </w:r>
    </w:p>
    <w:p>
      <w:pPr>
        <w:pStyle w:val="ConsPlusNormal1"/>
        <w:widowControl/>
        <w:tabs>
          <w:tab w:val="left" w:pos="709" w:leader="none"/>
          <w:tab w:val="left" w:pos="851" w:leader="none"/>
          <w:tab w:val="left" w:pos="1418" w:leader="none"/>
        </w:tabs>
        <w:spacing w:before="40" w:after="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>
      <w:pPr>
        <w:pStyle w:val="ConsPlusNormal1"/>
        <w:widowControl/>
        <w:numPr>
          <w:ilvl w:val="2"/>
          <w:numId w:val="8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предоставляемой электроэнергии (в том числе, в составе стоимости машино-часа):</w:t>
      </w:r>
    </w:p>
    <w:p>
      <w:pPr>
        <w:pStyle w:val="ConsPlusNormal1"/>
        <w:numPr>
          <w:ilvl w:val="0"/>
          <w:numId w:val="9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Рассчитанная</w:t>
      </w:r>
      <w:r>
        <w:rPr>
          <w:rFonts w:ascii="Times New Roman" w:hAnsi="Times New Roman"/>
          <w:sz w:val="24"/>
          <w:szCs w:val="24"/>
        </w:rPr>
        <w:t xml:space="preserve">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3"/>
      </w:r>
      <w:r>
        <w:rPr>
          <w:rFonts w:ascii="Times New Roman" w:hAnsi="Times New Roman"/>
          <w:sz w:val="24"/>
          <w:szCs w:val="24"/>
        </w:rPr>
        <w:t xml:space="preserve">. Рекомендации по расчету суммы возврата стоимости электрической энергии указаны в приложении 4 к настоящим требованиям. </w:t>
      </w:r>
    </w:p>
    <w:p>
      <w:pPr>
        <w:pStyle w:val="ConsPlusNormal1"/>
        <w:numPr>
          <w:ilvl w:val="0"/>
          <w:numId w:val="9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Индекс пересчета в текущие цены применять аналогичный примененному в сметной документации.</w:t>
      </w:r>
    </w:p>
    <w:p>
      <w:pPr>
        <w:pStyle w:val="ConsPlusNormal1"/>
        <w:numPr>
          <w:ilvl w:val="0"/>
          <w:numId w:val="9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>
      <w:pPr>
        <w:pStyle w:val="ConsPlusNormal1"/>
        <w:widowControl/>
        <w:numPr>
          <w:ilvl w:val="2"/>
          <w:numId w:val="8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предоставляемому сжатому воздуху:</w:t>
      </w:r>
    </w:p>
    <w:p>
      <w:pPr>
        <w:pStyle w:val="ConsPlusNormal1"/>
        <w:numPr>
          <w:ilvl w:val="0"/>
          <w:numId w:val="9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 норм и расценок исключать стоимость компрессоров. </w:t>
      </w:r>
    </w:p>
    <w:p>
      <w:pPr>
        <w:pStyle w:val="ConsPlusNormal1"/>
        <w:widowControl/>
        <w:numPr>
          <w:ilvl w:val="2"/>
          <w:numId w:val="8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предоставляемой воде:</w:t>
      </w:r>
    </w:p>
    <w:p>
      <w:pPr>
        <w:pStyle w:val="ConsPlusNormal1"/>
        <w:numPr>
          <w:ilvl w:val="0"/>
          <w:numId w:val="9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норм и расценок исключать стоимость воды.</w:t>
      </w:r>
    </w:p>
    <w:p>
      <w:pPr>
        <w:pStyle w:val="ConsPlusNormal1"/>
        <w:widowControl/>
        <w:numPr>
          <w:ilvl w:val="2"/>
          <w:numId w:val="8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Учтенные в составе накладных расходов:</w:t>
      </w:r>
    </w:p>
    <w:p>
      <w:pPr>
        <w:pStyle w:val="ConsPlusNormal1"/>
        <w:numPr>
          <w:ilvl w:val="0"/>
          <w:numId w:val="9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>
      <w:pPr>
        <w:pStyle w:val="ConsPlusNormal1"/>
        <w:numPr>
          <w:ilvl w:val="0"/>
          <w:numId w:val="9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пожарной и сторожевой охраны (удельный вес статьи затрат в накладных расходах - 2,01%);</w:t>
      </w:r>
    </w:p>
    <w:p>
      <w:pPr>
        <w:pStyle w:val="ConsPlusNormal1"/>
        <w:numPr>
          <w:ilvl w:val="0"/>
          <w:numId w:val="9"/>
        </w:numPr>
        <w:tabs>
          <w:tab w:val="left" w:pos="709" w:leader="none"/>
          <w:tab w:val="left" w:pos="851" w:leader="none"/>
          <w:tab w:val="left" w:pos="170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расходы</w:t>
      </w:r>
      <w:r>
        <w:rPr>
          <w:rFonts w:cs="Times New Roman" w:ascii="Times New Roman" w:hAnsi="Times New Roman"/>
          <w:sz w:val="24"/>
          <w:szCs w:val="24"/>
        </w:rPr>
        <w:t xml:space="preserve"> по благоустройству и содержанию строительных площадок (удельный вес статьи затрат в накладных расходах – 1,61%)</w:t>
      </w:r>
    </w:p>
    <w:p>
      <w:pPr>
        <w:pStyle w:val="Normal"/>
        <w:tabs>
          <w:tab w:val="left" w:pos="709" w:leader="none"/>
          <w:tab w:val="left" w:pos="851" w:leader="none"/>
          <w:tab w:val="left" w:pos="1418" w:leader="none"/>
        </w:tabs>
        <w:spacing w:lineRule="auto" w:line="240" w:before="40" w:after="4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>
        <w:rPr>
          <w:rStyle w:val="FootnoteReference"/>
          <w:rFonts w:ascii="Times New Roman" w:hAnsi="Times New Roman"/>
          <w:sz w:val="24"/>
          <w:szCs w:val="24"/>
        </w:rPr>
        <w:footnoteReference w:id="4"/>
      </w:r>
      <w:r>
        <w:rPr>
          <w:rFonts w:ascii="Times New Roman" w:hAnsi="Times New Roman"/>
          <w:sz w:val="24"/>
          <w:szCs w:val="24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</w:t>
      </w:r>
      <w:r>
        <w:rPr>
          <w:rFonts w:ascii="Times New Roman" w:hAnsi="Times New Roman"/>
          <w:color w:val="000000"/>
          <w:sz w:val="24"/>
          <w:szCs w:val="24"/>
        </w:rPr>
        <w:t>Формат ССРСС выполнять по Образцу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>
      <w:pPr>
        <w:pStyle w:val="ListParagraph"/>
        <w:numPr>
          <w:ilvl w:val="0"/>
          <w:numId w:val="8"/>
        </w:numPr>
        <w:tabs>
          <w:tab w:val="left" w:pos="709" w:leader="none"/>
          <w:tab w:val="left" w:pos="851" w:leader="none"/>
          <w:tab w:val="left" w:pos="1276" w:leader="none"/>
        </w:tabs>
        <w:spacing w:lineRule="auto" w:line="240" w:before="40" w:after="40"/>
        <w:ind w:left="0" w:firstLine="70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Сметная документация должна быть представлена в двух вариантах: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>
      <w:pPr>
        <w:pStyle w:val="ConsPlusNormal1"/>
        <w:numPr>
          <w:ilvl w:val="0"/>
          <w:numId w:val="6"/>
        </w:numPr>
        <w:tabs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формате ПК «Гранд-смета» выходная форма для печати указана ниже:</w:t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737" w:hanging="0"/>
        <w:rPr>
          <w:rFonts w:ascii="Times New Roman" w:hAnsi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4"/>
          <w:szCs w:val="24"/>
          <w:highlight w:val="yellow"/>
        </w:rPr>
      </w:pPr>
      <w:r>
        <w:rPr/>
        <w:drawing>
          <wp:inline distT="0" distB="0" distL="0" distR="0">
            <wp:extent cx="5748020" cy="3461385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0" t="13558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020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color w:val="000000"/>
          <w:sz w:val="24"/>
          <w:szCs w:val="24"/>
          <w:highlight w:val="yellow"/>
        </w:rPr>
      </w:pPr>
      <w:r>
        <w:rPr>
          <w:rFonts w:ascii="Times New Roman" w:hAnsi="Times New Roman"/>
          <w:color w:val="000000"/>
          <w:sz w:val="24"/>
          <w:szCs w:val="24"/>
          <w:highlight w:val="yellow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Требования к оформлению и составлению сводного сметного расчета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к договорам на ремонт 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1"/>
        <w:widowControl/>
        <w:numPr>
          <w:ilvl w:val="0"/>
          <w:numId w:val="7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 наличии двух и более сметных расчетов составлять ССРСС в текущем уровне цен по форме Приложения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№ 1.1 к </w:t>
      </w:r>
      <w:r>
        <w:rPr>
          <w:rFonts w:ascii="Times New Roman" w:hAnsi="Times New Roman"/>
          <w:color w:val="000000"/>
          <w:sz w:val="24"/>
          <w:szCs w:val="24"/>
        </w:rPr>
        <w:t xml:space="preserve">Требованиям к оформлению и составлению </w:t>
      </w:r>
      <w:r>
        <w:rPr>
          <w:rFonts w:cs="Times New Roman" w:ascii="Times New Roman" w:hAnsi="Times New Roman"/>
          <w:color w:val="000000"/>
          <w:sz w:val="24"/>
          <w:szCs w:val="24"/>
        </w:rPr>
        <w:t>сметной документации на выполнение строительно-монтажных работ по программе ремонтов, реконструкции и техническому перевооружению по образцу.</w:t>
      </w:r>
    </w:p>
    <w:p>
      <w:pPr>
        <w:pStyle w:val="ConsPlusNormal1"/>
        <w:widowControl/>
        <w:numPr>
          <w:ilvl w:val="0"/>
          <w:numId w:val="7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заключений дополнительных соглашений к договору (далее - д/с), ССРСС необходимо выполнять в накопительной форме с учетом </w:t>
      </w:r>
      <w:r>
        <w:rPr>
          <w:rFonts w:cs="Times New Roman" w:ascii="Times New Roman" w:hAnsi="Times New Roman"/>
          <w:color w:val="000000"/>
          <w:sz w:val="24"/>
          <w:szCs w:val="24"/>
        </w:rPr>
        <w:t>ЛСР (</w:t>
      </w:r>
      <w:r>
        <w:rPr>
          <w:rFonts w:ascii="Times New Roman" w:hAnsi="Times New Roman"/>
          <w:color w:val="000000"/>
          <w:sz w:val="24"/>
          <w:szCs w:val="24"/>
        </w:rPr>
        <w:t xml:space="preserve">ЛС) к основному договору и ко всем заключенным д/с к нему. В итогах ССРСС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ССРСС очередного д/с и стоимостью основного договора. Форма ССРСС с учетом заключения д/с к договору приведена в Приложении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№ 1.2 к </w:t>
      </w:r>
      <w:r>
        <w:rPr>
          <w:rFonts w:ascii="Times New Roman" w:hAnsi="Times New Roman"/>
          <w:color w:val="000000"/>
          <w:sz w:val="24"/>
          <w:szCs w:val="24"/>
        </w:rPr>
        <w:t xml:space="preserve">Требованиям к оформлению и составлению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>
      <w:pPr>
        <w:pStyle w:val="ConsPlusNormal1"/>
        <w:widowControl/>
        <w:numPr>
          <w:ilvl w:val="0"/>
          <w:numId w:val="7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к Требованиям </w:t>
      </w:r>
      <w:r>
        <w:rPr>
          <w:rFonts w:ascii="Times New Roman" w:hAnsi="Times New Roman"/>
          <w:color w:val="000000"/>
          <w:sz w:val="24"/>
          <w:szCs w:val="24"/>
        </w:rPr>
        <w:t xml:space="preserve">к оформлению и составлению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>
      <w:pPr>
        <w:pStyle w:val="ConsPlusNormal1"/>
        <w:widowControl/>
        <w:numPr>
          <w:ilvl w:val="0"/>
          <w:numId w:val="7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ЛС являются приложениями к ССРСС. Нумерация приложений указывается по мере включения ЛС в ССР в накопительной форме - по порядку.</w:t>
      </w:r>
    </w:p>
    <w:p>
      <w:pPr>
        <w:pStyle w:val="ConsPlusNormal1"/>
        <w:widowControl/>
        <w:numPr>
          <w:ilvl w:val="0"/>
          <w:numId w:val="7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Разнесение затрат (сумм ЛС) по графам и главам ССРСС осуществлять в соответствии с указаниями Методики определения сметной стоимости строительства.</w:t>
      </w:r>
    </w:p>
    <w:p>
      <w:pPr>
        <w:pStyle w:val="ConsPlusNormal1"/>
        <w:widowControl/>
        <w:numPr>
          <w:ilvl w:val="0"/>
          <w:numId w:val="7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ССРСС, построчные и итоговые суммы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указывать </w:t>
      </w:r>
      <w:r>
        <w:rPr>
          <w:rFonts w:ascii="Times New Roman" w:hAnsi="Times New Roman"/>
          <w:color w:val="000000"/>
          <w:sz w:val="24"/>
          <w:szCs w:val="24"/>
        </w:rPr>
        <w:t>в рублях с округлением до двух знаков после запятой. Величину НДС не указывать.</w:t>
      </w:r>
    </w:p>
    <w:p>
      <w:pPr>
        <w:sectPr>
          <w:footerReference w:type="default" r:id="rId4"/>
          <w:footerReference w:type="first" r:id="rId5"/>
          <w:footnotePr>
            <w:numFmt w:val="decimal"/>
            <w:numRestart w:val="eachPage"/>
          </w:footnotePr>
          <w:type w:val="nextPage"/>
          <w:pgSz w:w="11906" w:h="16838"/>
          <w:pgMar w:left="1276" w:right="707" w:gutter="0" w:header="0" w:top="851" w:footer="709" w:bottom="766"/>
          <w:pgNumType w:fmt="decimal"/>
          <w:formProt w:val="false"/>
          <w:textDirection w:val="lrTb"/>
          <w:docGrid w:type="default" w:linePitch="360" w:charSpace="0"/>
        </w:sectPr>
        <w:pStyle w:val="ConsPlusNormal1"/>
        <w:widowControl/>
        <w:numPr>
          <w:ilvl w:val="0"/>
          <w:numId w:val="7"/>
        </w:numPr>
        <w:tabs>
          <w:tab w:val="clear" w:pos="709"/>
          <w:tab w:val="left" w:pos="993" w:leader="none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ССРСС.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>
      <w:pPr>
        <w:pStyle w:val="ConsPlusNormal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</w:t>
      </w:r>
    </w:p>
    <w:p>
      <w:pPr>
        <w:pStyle w:val="ConsPlusNormal1"/>
        <w:ind w:left="57" w:firstLine="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Cs w:val="24"/>
        </w:rPr>
        <w:t>Приложение № 1.1</w:t>
      </w:r>
    </w:p>
    <w:p>
      <w:pPr>
        <w:pStyle w:val="ConsPlusNormal1"/>
        <w:ind w:left="57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ОБРАЗЕЦ 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       </w:t>
      </w:r>
    </w:p>
    <w:p>
      <w:pPr>
        <w:pStyle w:val="ConsPlusNormal1"/>
        <w:ind w:left="5811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Требованиям к оформлению и составлению документации по ценообразованию</w:t>
      </w:r>
    </w:p>
    <w:p>
      <w:pPr>
        <w:pStyle w:val="ConsPlusNormal1"/>
        <w:ind w:left="5811" w:firstLine="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Приложение №___                                                                                    к договору от_______№_____ </w:t>
      </w:r>
      <w:r>
        <w:rPr>
          <w:rFonts w:ascii="Times New Roman" w:hAnsi="Times New Roman"/>
          <w:szCs w:val="24"/>
          <w:lang w:val="en-US"/>
        </w:rPr>
        <w:t xml:space="preserve"> </w:t>
      </w:r>
    </w:p>
    <w:p>
      <w:pPr>
        <w:pStyle w:val="ConsPlusNormal1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>
      <w:pPr>
        <w:pStyle w:val="ConsPlusNormal1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  <w:bookmarkStart w:id="2" w:name="P2945"/>
      <w:bookmarkStart w:id="3" w:name="P2746"/>
      <w:bookmarkStart w:id="4" w:name="P2736"/>
      <w:bookmarkStart w:id="5" w:name="P2616"/>
      <w:bookmarkStart w:id="6" w:name="P2566"/>
      <w:bookmarkStart w:id="7" w:name="P2546"/>
      <w:bookmarkStart w:id="8" w:name="P2531"/>
      <w:bookmarkStart w:id="9" w:name="P2530"/>
      <w:bookmarkStart w:id="10" w:name="P2529"/>
      <w:bookmarkStart w:id="11" w:name="P2528"/>
      <w:bookmarkStart w:id="12" w:name="P2527"/>
      <w:bookmarkStart w:id="13" w:name="P2526"/>
      <w:bookmarkStart w:id="14" w:name="P2525"/>
      <w:bookmarkStart w:id="15" w:name="P2524"/>
      <w:bookmarkStart w:id="16" w:name="P2523"/>
      <w:bookmarkStart w:id="17" w:name="P2522"/>
      <w:bookmarkStart w:id="18" w:name="P2506"/>
      <w:bookmarkStart w:id="19" w:name="P3258"/>
      <w:bookmarkStart w:id="20" w:name="P2945"/>
      <w:bookmarkStart w:id="21" w:name="P2746"/>
      <w:bookmarkStart w:id="22" w:name="P2736"/>
      <w:bookmarkStart w:id="23" w:name="P2616"/>
      <w:bookmarkStart w:id="24" w:name="P2566"/>
      <w:bookmarkStart w:id="25" w:name="P2546"/>
      <w:bookmarkStart w:id="26" w:name="P2531"/>
      <w:bookmarkStart w:id="27" w:name="P2530"/>
      <w:bookmarkStart w:id="28" w:name="P2529"/>
      <w:bookmarkStart w:id="29" w:name="P2528"/>
      <w:bookmarkStart w:id="30" w:name="P2527"/>
      <w:bookmarkStart w:id="31" w:name="P2526"/>
      <w:bookmarkStart w:id="32" w:name="P2525"/>
      <w:bookmarkStart w:id="33" w:name="P2524"/>
      <w:bookmarkStart w:id="34" w:name="P2523"/>
      <w:bookmarkStart w:id="35" w:name="P2522"/>
      <w:bookmarkStart w:id="36" w:name="P2506"/>
      <w:bookmarkStart w:id="37" w:name="P3258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</w:p>
    <w:tbl>
      <w:tblPr>
        <w:tblW w:w="1091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3464"/>
        <w:gridCol w:w="7450"/>
      </w:tblGrid>
      <w:tr>
        <w:trPr>
          <w:trHeight w:val="1158" w:hRule="atLeast"/>
        </w:trPr>
        <w:tc>
          <w:tcPr>
            <w:tcW w:w="3464" w:type="dxa"/>
            <w:tcBorders/>
            <w:shd w:color="auto" w:fill="auto" w:val="clear"/>
          </w:tcPr>
          <w:p>
            <w:pPr>
              <w:pStyle w:val="ConsPlusNormal1"/>
              <w:widowControl w:val="false"/>
              <w:ind w:left="283" w:hanging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СОГЛАСОВАНО</w:t>
            </w:r>
            <w:r>
              <w:rPr>
                <w:rFonts w:cs="Times New Roman" w:ascii="Times New Roman" w:hAnsi="Times New Roman"/>
                <w:szCs w:val="24"/>
              </w:rPr>
              <w:t xml:space="preserve">:                                           </w:t>
            </w:r>
          </w:p>
          <w:p>
            <w:pPr>
              <w:pStyle w:val="ConsPlusNormal1"/>
              <w:widowControl w:val="false"/>
              <w:ind w:right="-909" w:hanging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______________(Подрядчик )       </w:t>
            </w:r>
          </w:p>
          <w:p>
            <w:pPr>
              <w:pStyle w:val="ConsPlusNormal1"/>
              <w:widowControl w:val="false"/>
              <w:tabs>
                <w:tab w:val="clear" w:pos="709"/>
                <w:tab w:val="left" w:pos="0" w:leader="none"/>
              </w:tabs>
              <w:ind w:hanging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_______________(ФИО)</w:t>
            </w:r>
          </w:p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sPlusNormal1"/>
              <w:widowControl w:val="false"/>
              <w:ind w:left="142" w:hanging="142"/>
              <w:rPr>
                <w:rFonts w:ascii="Times New Roman" w:hAnsi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Заказчик:______________________</w:t>
            </w:r>
          </w:p>
        </w:tc>
        <w:tc>
          <w:tcPr>
            <w:tcW w:w="7450" w:type="dxa"/>
            <w:tcBorders/>
            <w:shd w:color="auto" w:fill="auto" w:val="clear"/>
          </w:tcPr>
          <w:p>
            <w:pPr>
              <w:pStyle w:val="ConsPlusNormal1"/>
              <w:widowControl w:val="false"/>
              <w:ind w:right="-3855" w:firstLine="72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>УТВЕРЖДАЮ:</w:t>
            </w:r>
          </w:p>
          <w:p>
            <w:pPr>
              <w:pStyle w:val="ConsPlusNormal1"/>
              <w:widowControl w:val="false"/>
              <w:ind w:right="-909" w:hanging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b/>
                <w:szCs w:val="24"/>
              </w:rPr>
              <w:t xml:space="preserve">                                                                                           </w:t>
            </w:r>
            <w:r>
              <w:rPr>
                <w:rFonts w:cs="Times New Roman" w:ascii="Times New Roman" w:hAnsi="Times New Roman"/>
                <w:szCs w:val="24"/>
              </w:rPr>
              <w:t xml:space="preserve">_____________(Заказчик )       </w:t>
            </w:r>
          </w:p>
          <w:p>
            <w:pPr>
              <w:pStyle w:val="ConsPlusNormal1"/>
              <w:widowControl w:val="false"/>
              <w:ind w:left="2551" w:firstLine="72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                  </w:t>
            </w:r>
            <w:r>
              <w:rPr>
                <w:rFonts w:cs="Times New Roman" w:ascii="Times New Roman" w:hAnsi="Times New Roman"/>
                <w:szCs w:val="24"/>
              </w:rPr>
              <w:t>______________(ФИО)</w:t>
            </w:r>
          </w:p>
        </w:tc>
      </w:tr>
      <w:tr>
        <w:trPr/>
        <w:tc>
          <w:tcPr>
            <w:tcW w:w="3464" w:type="dxa"/>
            <w:tcBorders/>
            <w:shd w:color="auto" w:fill="auto" w:val="clear"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(наименование организации)</w:t>
            </w:r>
          </w:p>
        </w:tc>
        <w:tc>
          <w:tcPr>
            <w:tcW w:w="7450" w:type="dxa"/>
            <w:tcBorders/>
            <w:shd w:color="auto" w:fill="auto" w:val="clear"/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10914" w:type="dxa"/>
            <w:gridSpan w:val="2"/>
            <w:tcBorders/>
            <w:shd w:color="auto" w:fill="auto" w:val="clear"/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Утвержден: __ ______________202__ г.</w:t>
            </w:r>
          </w:p>
        </w:tc>
      </w:tr>
    </w:tbl>
    <w:p>
      <w:pPr>
        <w:pStyle w:val="ConsPlusNormal1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W w:w="10977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5215"/>
        <w:gridCol w:w="2664"/>
        <w:gridCol w:w="3098"/>
      </w:tblGrid>
      <w:tr>
        <w:trPr/>
        <w:tc>
          <w:tcPr>
            <w:tcW w:w="5215" w:type="dxa"/>
            <w:tcBorders/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3098" w:type="dxa"/>
            <w:tcBorders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руб.</w:t>
            </w:r>
          </w:p>
        </w:tc>
      </w:tr>
      <w:tr>
        <w:trPr/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(ссылка на документ об утверждении)</w:t>
            </w:r>
          </w:p>
        </w:tc>
      </w:tr>
      <w:tr>
        <w:trPr/>
        <w:tc>
          <w:tcPr>
            <w:tcW w:w="10977" w:type="dxa"/>
            <w:gridSpan w:val="3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СВОДНЫЙ СМЕТНЫЙ РАСЧЕТ </w:t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 ССРСС-________</w:t>
            </w:r>
          </w:p>
        </w:tc>
      </w:tr>
      <w:tr>
        <w:trPr>
          <w:trHeight w:val="22" w:hRule="atLeast"/>
        </w:trPr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(наименование стройки)</w:t>
            </w:r>
          </w:p>
        </w:tc>
      </w:tr>
      <w:tr>
        <w:trPr/>
        <w:tc>
          <w:tcPr>
            <w:tcW w:w="10977" w:type="dxa"/>
            <w:gridSpan w:val="3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>
      <w:pPr>
        <w:pStyle w:val="ConsPlusNormal1"/>
        <w:jc w:val="center"/>
        <w:rPr>
          <w:szCs w:val="24"/>
        </w:rPr>
      </w:pPr>
      <w:r>
        <w:rPr>
          <w:szCs w:val="24"/>
        </w:rPr>
      </w:r>
    </w:p>
    <w:tbl>
      <w:tblPr>
        <w:tblW w:w="10982" w:type="dxa"/>
        <w:jc w:val="left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633"/>
        <w:gridCol w:w="996"/>
        <w:gridCol w:w="281"/>
        <w:gridCol w:w="1272"/>
        <w:gridCol w:w="365"/>
        <w:gridCol w:w="1345"/>
        <w:gridCol w:w="425"/>
        <w:gridCol w:w="1132"/>
        <w:gridCol w:w="1561"/>
        <w:gridCol w:w="1420"/>
        <w:gridCol w:w="1550"/>
      </w:tblGrid>
      <w:tr>
        <w:trPr>
          <w:trHeight w:val="212" w:hRule="atLeast"/>
        </w:trPr>
        <w:tc>
          <w:tcPr>
            <w:tcW w:w="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Nп/п</w:t>
            </w:r>
          </w:p>
        </w:tc>
        <w:tc>
          <w:tcPr>
            <w:tcW w:w="9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Обоснование</w:t>
            </w:r>
          </w:p>
        </w:tc>
        <w:tc>
          <w:tcPr>
            <w:tcW w:w="15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79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Сметная стоимость, руб.</w:t>
            </w:r>
          </w:p>
        </w:tc>
      </w:tr>
      <w:tr>
        <w:trPr>
          <w:trHeight w:val="1019" w:hRule="atLeast"/>
        </w:trPr>
        <w:tc>
          <w:tcPr>
            <w:tcW w:w="6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9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55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191" w:hanging="64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монтажных работ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86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оборудования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113"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прочих затрат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всего</w:t>
            </w:r>
          </w:p>
        </w:tc>
      </w:tr>
      <w:tr>
        <w:trPr>
          <w:trHeight w:val="273" w:hRule="atLeast"/>
        </w:trPr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11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2</w:t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3</w:t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4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5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7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8</w:t>
            </w:r>
          </w:p>
        </w:tc>
      </w:tr>
      <w:tr>
        <w:trPr/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5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>
          <w:trHeight w:val="327" w:hRule="atLeast"/>
        </w:trPr>
        <w:tc>
          <w:tcPr>
            <w:tcW w:w="3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tabs>
                <w:tab w:val="clear" w:pos="709"/>
                <w:tab w:val="left" w:pos="567" w:leader="none"/>
                <w:tab w:val="left" w:pos="2091" w:leader="none"/>
              </w:tabs>
              <w:ind w:left="170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szCs w:val="24"/>
              </w:rPr>
              <w:t>Руководитель</w:t>
            </w:r>
          </w:p>
          <w:p>
            <w:pPr>
              <w:pStyle w:val="ConsPlusNormal1"/>
              <w:widowControl w:val="false"/>
              <w:tabs>
                <w:tab w:val="clear" w:pos="709"/>
                <w:tab w:val="left" w:pos="851" w:leader="none"/>
              </w:tabs>
              <w:ind w:left="170" w:hanging="141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проектной организации</w:t>
            </w:r>
          </w:p>
        </w:tc>
        <w:tc>
          <w:tcPr>
            <w:tcW w:w="74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3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74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[подпись (инициалы, фамилия)]</w:t>
            </w:r>
          </w:p>
        </w:tc>
      </w:tr>
      <w:tr>
        <w:trPr/>
        <w:tc>
          <w:tcPr>
            <w:tcW w:w="35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Главный инженер проекта</w:t>
            </w:r>
          </w:p>
        </w:tc>
        <w:tc>
          <w:tcPr>
            <w:tcW w:w="74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907" w:firstLine="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Начальник</w:t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отдела</w:t>
            </w:r>
          </w:p>
        </w:tc>
        <w:tc>
          <w:tcPr>
            <w:tcW w:w="5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19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(наименование)</w:t>
            </w:r>
          </w:p>
        </w:tc>
        <w:tc>
          <w:tcPr>
            <w:tcW w:w="1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5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[подпись (инициалы, фамилия)]</w:t>
            </w:r>
          </w:p>
        </w:tc>
      </w:tr>
      <w:tr>
        <w:trPr/>
        <w:tc>
          <w:tcPr>
            <w:tcW w:w="1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284" w:firstLine="283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Заказчик</w:t>
            </w:r>
          </w:p>
        </w:tc>
        <w:tc>
          <w:tcPr>
            <w:tcW w:w="90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[подпись (инициалы, фамилия)]</w:t>
            </w:r>
          </w:p>
        </w:tc>
      </w:tr>
    </w:tbl>
    <w:p>
      <w:pPr>
        <w:pStyle w:val="Normal"/>
        <w:spacing w:lineRule="auto" w:line="240" w:before="0" w:after="0"/>
        <w:ind w:left="357" w:firstLine="720"/>
        <w:rPr>
          <w:rFonts w:ascii="Times New Roman" w:hAnsi="Times New Roman"/>
          <w:b/>
          <w:sz w:val="20"/>
          <w:szCs w:val="24"/>
        </w:rPr>
      </w:pPr>
      <w:r>
        <w:rPr>
          <w:rFonts w:ascii="Times New Roman" w:hAnsi="Times New Roman"/>
          <w:b/>
          <w:sz w:val="20"/>
          <w:szCs w:val="24"/>
        </w:rPr>
      </w:r>
    </w:p>
    <w:p>
      <w:pPr>
        <w:pStyle w:val="Normal"/>
        <w:spacing w:lineRule="auto" w:line="240" w:before="0" w:after="0"/>
        <w:ind w:left="357" w:firstLine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397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ОБРАЗЕЦ</w:t>
      </w:r>
      <w:r>
        <w:rPr>
          <w:rFonts w:ascii="Times New Roman" w:hAnsi="Times New Roman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Normal"/>
        <w:spacing w:lineRule="auto" w:line="240" w:before="0" w:after="0"/>
        <w:ind w:left="8646" w:firstLine="72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 xml:space="preserve">Приложение №1.2 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Требованиям к оформлению и составлению документации по ценообразованию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ConsPlusNormal1"/>
        <w:tabs>
          <w:tab w:val="clear" w:pos="709"/>
          <w:tab w:val="left" w:pos="6804" w:leader="none"/>
        </w:tabs>
        <w:ind w:left="5811" w:firstLine="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</w:t>
      </w:r>
      <w:r>
        <w:rPr>
          <w:rFonts w:ascii="Times New Roman" w:hAnsi="Times New Roman"/>
          <w:szCs w:val="24"/>
        </w:rPr>
        <w:t>Приложение №___</w:t>
      </w:r>
    </w:p>
    <w:p>
      <w:pPr>
        <w:pStyle w:val="ConsPlusNormal1"/>
        <w:tabs>
          <w:tab w:val="clear" w:pos="709"/>
          <w:tab w:val="left" w:pos="6946" w:leader="none"/>
        </w:tabs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</w:t>
      </w:r>
      <w:r>
        <w:rPr>
          <w:rFonts w:ascii="Times New Roman" w:hAnsi="Times New Roman"/>
          <w:szCs w:val="24"/>
        </w:rPr>
        <w:t xml:space="preserve">к дополнительному соглашению от ___ № ___                                                                                                                             к договору от________№_____ </w:t>
      </w:r>
    </w:p>
    <w:tbl>
      <w:tblPr>
        <w:tblW w:w="1091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1222"/>
        <w:gridCol w:w="9692"/>
      </w:tblGrid>
      <w:tr>
        <w:trPr/>
        <w:tc>
          <w:tcPr>
            <w:tcW w:w="1222" w:type="dxa"/>
            <w:tcBorders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 xml:space="preserve">                                 </w:t>
            </w:r>
            <w:r>
              <w:rPr>
                <w:rFonts w:cs="Times New Roman" w:ascii="Times New Roman" w:hAnsi="Times New Roman"/>
                <w:sz w:val="22"/>
                <w:szCs w:val="24"/>
              </w:rPr>
              <w:t>Заказчик</w:t>
            </w:r>
          </w:p>
        </w:tc>
        <w:tc>
          <w:tcPr>
            <w:tcW w:w="9692" w:type="dxa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/>
        <w:tc>
          <w:tcPr>
            <w:tcW w:w="1222" w:type="dxa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9692" w:type="dxa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(наименование организации)</w:t>
            </w:r>
          </w:p>
        </w:tc>
      </w:tr>
      <w:tr>
        <w:trPr/>
        <w:tc>
          <w:tcPr>
            <w:tcW w:w="10914" w:type="dxa"/>
            <w:gridSpan w:val="2"/>
            <w:tcBorders/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Утвержден __ ______________ 20__ г.</w:t>
            </w:r>
          </w:p>
        </w:tc>
      </w:tr>
    </w:tbl>
    <w:p>
      <w:pPr>
        <w:pStyle w:val="ConsPlusNormal1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</w:r>
    </w:p>
    <w:tbl>
      <w:tblPr>
        <w:tblW w:w="10977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5215"/>
        <w:gridCol w:w="2664"/>
        <w:gridCol w:w="3098"/>
      </w:tblGrid>
      <w:tr>
        <w:trPr/>
        <w:tc>
          <w:tcPr>
            <w:tcW w:w="5215" w:type="dxa"/>
            <w:tcBorders/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Сводный сметный расчет сметной стоимостью</w:t>
            </w:r>
          </w:p>
        </w:tc>
        <w:tc>
          <w:tcPr>
            <w:tcW w:w="2664" w:type="dxa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3098" w:type="dxa"/>
            <w:tcBorders/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руб.</w:t>
            </w:r>
          </w:p>
        </w:tc>
      </w:tr>
      <w:tr>
        <w:trPr/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15" w:hRule="atLeast"/>
        </w:trPr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(ссылка на документ об утверждении)</w:t>
            </w:r>
          </w:p>
        </w:tc>
      </w:tr>
      <w:tr>
        <w:trPr/>
        <w:tc>
          <w:tcPr>
            <w:tcW w:w="10977" w:type="dxa"/>
            <w:gridSpan w:val="3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 xml:space="preserve">СВОДНЫЙ СМЕТНЫЙ РАСЧЕТ </w:t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N ССРСС-________</w:t>
            </w:r>
          </w:p>
        </w:tc>
      </w:tr>
      <w:tr>
        <w:trPr/>
        <w:tc>
          <w:tcPr>
            <w:tcW w:w="10977" w:type="dxa"/>
            <w:gridSpan w:val="3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/>
        <w:tc>
          <w:tcPr>
            <w:tcW w:w="10977" w:type="dxa"/>
            <w:gridSpan w:val="3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(наименование стройки)</w:t>
            </w:r>
          </w:p>
        </w:tc>
      </w:tr>
      <w:tr>
        <w:trPr/>
        <w:tc>
          <w:tcPr>
            <w:tcW w:w="10977" w:type="dxa"/>
            <w:gridSpan w:val="3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Составлен в текущих ценах, соответствующих периоду выполнения работ по Договору_________________ 20__ г.</w:t>
            </w:r>
          </w:p>
        </w:tc>
      </w:tr>
    </w:tbl>
    <w:p>
      <w:pPr>
        <w:pStyle w:val="ConsPlusNormal1"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</w:r>
    </w:p>
    <w:tbl>
      <w:tblPr>
        <w:tblW w:w="10706" w:type="dxa"/>
        <w:jc w:val="left"/>
        <w:tblInd w:w="3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9"/>
        <w:gridCol w:w="990"/>
        <w:gridCol w:w="297"/>
        <w:gridCol w:w="1632"/>
        <w:gridCol w:w="57"/>
        <w:gridCol w:w="1699"/>
        <w:gridCol w:w="14"/>
        <w:gridCol w:w="1264"/>
        <w:gridCol w:w="1423"/>
        <w:gridCol w:w="1135"/>
        <w:gridCol w:w="1764"/>
      </w:tblGrid>
      <w:tr>
        <w:trPr>
          <w:trHeight w:val="311" w:hRule="atLeast"/>
        </w:trPr>
        <w:tc>
          <w:tcPr>
            <w:tcW w:w="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Nп/п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Обоснование</w:t>
            </w:r>
          </w:p>
        </w:tc>
        <w:tc>
          <w:tcPr>
            <w:tcW w:w="198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Наименование глав, объектов капитального строительства, работ и затрат</w:t>
            </w:r>
          </w:p>
        </w:tc>
        <w:tc>
          <w:tcPr>
            <w:tcW w:w="72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Сметная стоимость, руб.</w:t>
            </w:r>
          </w:p>
        </w:tc>
      </w:tr>
      <w:tr>
        <w:trPr>
          <w:trHeight w:val="1294" w:hRule="atLeast"/>
        </w:trPr>
        <w:tc>
          <w:tcPr>
            <w:tcW w:w="4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9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986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6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строительных (ремонтно-строительных, ремонтно-реставрационных) работ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191" w:hanging="64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монтажных работ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86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оборудования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113" w:hanging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прочих затрат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всего</w:t>
            </w:r>
          </w:p>
        </w:tc>
      </w:tr>
      <w:tr>
        <w:trPr>
          <w:trHeight w:val="144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2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4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5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7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8</w:t>
            </w:r>
          </w:p>
        </w:tc>
      </w:tr>
      <w:tr>
        <w:trPr/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 xml:space="preserve">Сметы основного договора </w:t>
            </w:r>
          </w:p>
        </w:tc>
      </w:tr>
      <w:tr>
        <w:trPr>
          <w:trHeight w:val="287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11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39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12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33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 xml:space="preserve">Итого по сметам основного договора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1070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Включить дополнительным соглашением № 1</w:t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34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Итого включено дополнительным соглашением № 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02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Исключить дополнительным соглашением № 2</w:t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Итого исключено дополнительным соглашением № 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Итого по главе №: __________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 xml:space="preserve">Итого по главам №№: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  <w:t>Всего по ССР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i/>
                <w:i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4"/>
                <w:u w:val="single"/>
              </w:rPr>
              <w:t>Справочно</w:t>
            </w:r>
            <w:r>
              <w:rPr>
                <w:rFonts w:cs="Times New Roman" w:ascii="Times New Roman" w:hAnsi="Times New Roman"/>
                <w:i/>
                <w:sz w:val="22"/>
                <w:szCs w:val="24"/>
              </w:rPr>
              <w:t>.</w:t>
            </w:r>
          </w:p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i/>
                <w:i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4"/>
              </w:rPr>
              <w:t>Сумма основного договора, без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i/>
                <w:i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4"/>
              </w:rPr>
              <w:t>Сумма изменения</w:t>
              <w:br/>
              <w:t xml:space="preserve">(увеличения/уменьшения) стоимости основного договора на основании ДС № 1, без НДС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>
          <w:trHeight w:val="321" w:hRule="atLeast"/>
        </w:trPr>
        <w:tc>
          <w:tcPr>
            <w:tcW w:w="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i/>
                <w:sz w:val="22"/>
                <w:szCs w:val="24"/>
              </w:rPr>
              <w:t>Сумма изменения</w:t>
              <w:br/>
              <w:t>(увеличения/уменьшения) стоимости основного договора на основании ДС № 2, без НДС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4"/>
              </w:rPr>
            </w:r>
          </w:p>
        </w:tc>
      </w:tr>
      <w:tr>
        <w:trPr/>
        <w:tc>
          <w:tcPr>
            <w:tcW w:w="3348" w:type="dxa"/>
            <w:gridSpan w:val="4"/>
            <w:tcBorders/>
          </w:tcPr>
          <w:p>
            <w:pPr>
              <w:pStyle w:val="ConsPlusNormal1"/>
              <w:widowControl w:val="false"/>
              <w:tabs>
                <w:tab w:val="clear" w:pos="709"/>
                <w:tab w:val="left" w:pos="2091" w:leader="none"/>
              </w:tabs>
              <w:ind w:left="425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szCs w:val="24"/>
              </w:rPr>
              <w:t>Руководитель</w:t>
            </w:r>
          </w:p>
          <w:p>
            <w:pPr>
              <w:pStyle w:val="ConsPlusNormal1"/>
              <w:widowControl w:val="false"/>
              <w:ind w:left="425" w:hanging="425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szCs w:val="24"/>
              </w:rPr>
              <w:t>проектной организации</w:t>
            </w:r>
          </w:p>
        </w:tc>
        <w:tc>
          <w:tcPr>
            <w:tcW w:w="7356" w:type="dxa"/>
            <w:gridSpan w:val="7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3348" w:type="dxa"/>
            <w:gridSpan w:val="4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7356" w:type="dxa"/>
            <w:gridSpan w:val="7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[подпись (инициалы, фамилия)]</w:t>
            </w:r>
          </w:p>
        </w:tc>
      </w:tr>
      <w:tr>
        <w:trPr/>
        <w:tc>
          <w:tcPr>
            <w:tcW w:w="3348" w:type="dxa"/>
            <w:gridSpan w:val="4"/>
            <w:tcBorders/>
          </w:tcPr>
          <w:p>
            <w:pPr>
              <w:pStyle w:val="ConsPlusNormal1"/>
              <w:widowControl w:val="false"/>
              <w:ind w:left="141" w:hanging="14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Главный инженер проекта</w:t>
            </w:r>
          </w:p>
        </w:tc>
        <w:tc>
          <w:tcPr>
            <w:tcW w:w="7356" w:type="dxa"/>
            <w:gridSpan w:val="7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3348" w:type="dxa"/>
            <w:gridSpan w:val="4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7356" w:type="dxa"/>
            <w:gridSpan w:val="7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[подпись (инициалы, фамилия)]</w:t>
            </w:r>
          </w:p>
        </w:tc>
      </w:tr>
      <w:tr>
        <w:trPr/>
        <w:tc>
          <w:tcPr>
            <w:tcW w:w="1716" w:type="dxa"/>
            <w:gridSpan w:val="3"/>
            <w:tcBorders/>
          </w:tcPr>
          <w:p>
            <w:pPr>
              <w:pStyle w:val="ConsPlusNormal1"/>
              <w:widowControl w:val="false"/>
              <w:ind w:firstLine="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Начальник</w:t>
            </w:r>
          </w:p>
        </w:tc>
        <w:tc>
          <w:tcPr>
            <w:tcW w:w="1689" w:type="dxa"/>
            <w:gridSpan w:val="2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713" w:type="dxa"/>
            <w:gridSpan w:val="2"/>
            <w:tcBorders/>
          </w:tcPr>
          <w:p>
            <w:pPr>
              <w:pStyle w:val="ConsPlusNormal1"/>
              <w:widowControl w:val="false"/>
              <w:ind w:hanging="67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отдела</w:t>
            </w:r>
          </w:p>
        </w:tc>
        <w:tc>
          <w:tcPr>
            <w:tcW w:w="5586" w:type="dxa"/>
            <w:gridSpan w:val="4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1716" w:type="dxa"/>
            <w:gridSpan w:val="3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689" w:type="dxa"/>
            <w:gridSpan w:val="2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ind w:hanging="198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(наименование)</w:t>
            </w:r>
          </w:p>
        </w:tc>
        <w:tc>
          <w:tcPr>
            <w:tcW w:w="1713" w:type="dxa"/>
            <w:gridSpan w:val="2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5586" w:type="dxa"/>
            <w:gridSpan w:val="4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[подпись (инициалы, фамилия)]</w:t>
            </w:r>
          </w:p>
        </w:tc>
      </w:tr>
      <w:tr>
        <w:trPr/>
        <w:tc>
          <w:tcPr>
            <w:tcW w:w="1716" w:type="dxa"/>
            <w:gridSpan w:val="3"/>
            <w:tcBorders/>
          </w:tcPr>
          <w:p>
            <w:pPr>
              <w:pStyle w:val="ConsPlusNormal1"/>
              <w:widowControl w:val="false"/>
              <w:ind w:left="141" w:hanging="141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Cs w:val="24"/>
              </w:rPr>
              <w:t>Заказчик</w:t>
            </w:r>
          </w:p>
        </w:tc>
        <w:tc>
          <w:tcPr>
            <w:tcW w:w="8988" w:type="dxa"/>
            <w:gridSpan w:val="8"/>
            <w:tcBorders>
              <w:bottom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  <w:tr>
        <w:trPr/>
        <w:tc>
          <w:tcPr>
            <w:tcW w:w="1716" w:type="dxa"/>
            <w:gridSpan w:val="3"/>
            <w:tcBorders/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8988" w:type="dxa"/>
            <w:gridSpan w:val="8"/>
            <w:tcBorders>
              <w:top w:val="single" w:sz="4" w:space="0" w:color="000000"/>
            </w:tcBorders>
          </w:tcPr>
          <w:p>
            <w:pPr>
              <w:pStyle w:val="ConsPlusNormal1"/>
              <w:widowControl w:val="false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[должность, подпись (инициалы, фамилия)]</w:t>
            </w:r>
          </w:p>
        </w:tc>
      </w:tr>
    </w:tbl>
    <w:p>
      <w:pPr>
        <w:sectPr>
          <w:footerReference w:type="default" r:id="rId6"/>
          <w:footerReference w:type="first" r:id="rId7"/>
          <w:footnotePr>
            <w:numFmt w:val="decimal"/>
            <w:numRestart w:val="eachPage"/>
          </w:footnotePr>
          <w:type w:val="nextPage"/>
          <w:pgSz w:w="11906" w:h="16838"/>
          <w:pgMar w:left="426" w:right="567" w:gutter="0" w:header="0" w:top="0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right"/>
        <w:rPr>
          <w:rFonts w:ascii="Times New Roman" w:hAnsi="Times New Roman"/>
          <w:color w:val="000000"/>
          <w:sz w:val="20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ОБРАЗЕЦ</w:t>
      </w:r>
    </w:p>
    <w:p>
      <w:pPr>
        <w:pStyle w:val="Normal"/>
        <w:spacing w:lineRule="auto" w:line="240" w:before="0" w:after="0"/>
        <w:ind w:left="5811" w:firstLine="72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 xml:space="preserve">Приложение №1.3 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к Требованиям к оформлению и составлению документации по ценообразованию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№___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дополнительному соглашению от ___ № ___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                                  </w:t>
      </w:r>
      <w:r>
        <w:rPr>
          <w:rFonts w:ascii="Times New Roman" w:hAnsi="Times New Roman"/>
          <w:szCs w:val="24"/>
        </w:rPr>
        <w:t xml:space="preserve">к договору от_______№_____ </w:t>
      </w:r>
    </w:p>
    <w:p>
      <w:pPr>
        <w:pStyle w:val="ConsPlusNormal1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Сопоставительная ведомость изменения сметной стоимости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tbl>
      <w:tblPr>
        <w:tblW w:w="10206" w:type="dxa"/>
        <w:jc w:val="left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4"/>
        <w:gridCol w:w="851"/>
        <w:gridCol w:w="850"/>
        <w:gridCol w:w="1278"/>
        <w:gridCol w:w="1278"/>
        <w:gridCol w:w="1698"/>
        <w:gridCol w:w="1708"/>
        <w:gridCol w:w="2117"/>
      </w:tblGrid>
      <w:tr>
        <w:trPr>
          <w:trHeight w:val="433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№ </w:t>
            </w:r>
            <w:r>
              <w:rPr>
                <w:rFonts w:ascii="Times New Roman" w:hAnsi="Times New Roman"/>
                <w:szCs w:val="24"/>
              </w:rPr>
              <w:t>п/п</w:t>
            </w:r>
          </w:p>
        </w:tc>
        <w:tc>
          <w:tcPr>
            <w:tcW w:w="29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Данные сметного расчета (сметы)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Сметная стоимость, тыс. руб.</w:t>
            </w:r>
          </w:p>
        </w:tc>
        <w:tc>
          <w:tcPr>
            <w:tcW w:w="1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Разница в сметной стоимости, руб.</w:t>
            </w:r>
          </w:p>
        </w:tc>
        <w:tc>
          <w:tcPr>
            <w:tcW w:w="2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Обоснование изменений сметной стоимости</w:t>
            </w:r>
          </w:p>
        </w:tc>
      </w:tr>
      <w:tr>
        <w:trPr/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Cs w:val="24"/>
                <w:lang w:eastAsia="en-US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шифр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№ </w:t>
            </w:r>
            <w:r>
              <w:rPr>
                <w:rFonts w:ascii="Times New Roman" w:hAnsi="Times New Roman"/>
                <w:szCs w:val="24"/>
              </w:rPr>
              <w:t>позиции сметного расчета (сметы) в ССР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подлежащая включению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подлежащая исключению</w:t>
            </w:r>
          </w:p>
        </w:tc>
        <w:tc>
          <w:tcPr>
            <w:tcW w:w="1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Cs w:val="24"/>
                <w:lang w:eastAsia="en-US"/>
              </w:rPr>
            </w:r>
          </w:p>
        </w:tc>
        <w:tc>
          <w:tcPr>
            <w:tcW w:w="21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szCs w:val="24"/>
                <w:lang w:eastAsia="en-US"/>
              </w:rPr>
            </w:pPr>
            <w:r>
              <w:rPr>
                <w:rFonts w:eastAsia="Calibri" w:ascii="Times New Roman" w:hAnsi="Times New Roman"/>
                <w:szCs w:val="24"/>
                <w:lang w:eastAsia="en-US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357"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357" w:firstLine="72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Приложение №1.4 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Требованиям к оформлению и составлению документации по ценообразованию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№___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дополнительному соглашению от ___ № ___</w:t>
      </w:r>
    </w:p>
    <w:p>
      <w:pPr>
        <w:pStyle w:val="ConsPlusNormal1"/>
        <w:ind w:left="5811" w:firstLine="72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 договору от_______№_____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ConsPlusNormal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Сопоставительная ведомость объемов работ</w:t>
      </w:r>
    </w:p>
    <w:p>
      <w:pPr>
        <w:pStyle w:val="ConsPlusNormal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773" w:type="dxa"/>
        <w:jc w:val="lef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25"/>
        <w:gridCol w:w="710"/>
        <w:gridCol w:w="850"/>
        <w:gridCol w:w="1210"/>
        <w:gridCol w:w="914"/>
        <w:gridCol w:w="851"/>
        <w:gridCol w:w="854"/>
        <w:gridCol w:w="850"/>
        <w:gridCol w:w="851"/>
        <w:gridCol w:w="706"/>
        <w:gridCol w:w="567"/>
        <w:gridCol w:w="850"/>
        <w:gridCol w:w="1134"/>
      </w:tblGrid>
      <w:tr>
        <w:trPr>
          <w:trHeight w:val="880" w:hRule="atLeas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62"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№№ </w:t>
            </w:r>
            <w:r>
              <w:rPr>
                <w:rFonts w:cs="Times New Roman" w:ascii="Times New Roman" w:hAnsi="Times New Roman"/>
                <w:szCs w:val="24"/>
              </w:rPr>
              <w:t>пп</w:t>
            </w:r>
          </w:p>
        </w:tc>
        <w:tc>
          <w:tcPr>
            <w:tcW w:w="3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Данные сметного расчета (сметы)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Наименование работ и затрат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3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Ед. изм.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Объем работ в сметной документации</w:t>
            </w:r>
          </w:p>
        </w:tc>
        <w:tc>
          <w:tcPr>
            <w:tcW w:w="12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1360" w:hanging="1416"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szCs w:val="24"/>
              </w:rPr>
              <w:t>Примечание</w:t>
            </w:r>
          </w:p>
        </w:tc>
      </w:tr>
      <w:tr>
        <w:trPr>
          <w:trHeight w:val="62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797" w:firstLine="7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шифр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64"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Наименование</w:t>
            </w:r>
          </w:p>
        </w:tc>
        <w:tc>
          <w:tcPr>
            <w:tcW w:w="21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Cs w:val="24"/>
              </w:rPr>
              <w:t>позиции в сметном расчете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8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7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27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1308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7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до изменений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с учетом изменений</w:t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85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firstLine="79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с учетом изменений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800" w:firstLine="7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увели</w:t>
            </w:r>
          </w:p>
          <w:p>
            <w:pPr>
              <w:pStyle w:val="ConsPlusNormal1"/>
              <w:widowControl w:val="false"/>
              <w:ind w:left="-800" w:firstLine="72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  <w:t>снижение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2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Times New Roman" w:ascii="Times New Roman" w:hAnsi="Times New Roman"/>
                <w:szCs w:val="24"/>
              </w:rPr>
            </w:r>
          </w:p>
        </w:tc>
      </w:tr>
    </w:tbl>
    <w:p>
      <w:pPr>
        <w:sectPr>
          <w:footerReference w:type="default" r:id="rId8"/>
          <w:footerReference w:type="first" r:id="rId9"/>
          <w:footnotePr>
            <w:numFmt w:val="decimal"/>
            <w:numRestart w:val="eachPage"/>
          </w:footnotePr>
          <w:type w:val="nextPage"/>
          <w:pgSz w:w="11906" w:h="16838"/>
          <w:pgMar w:left="426" w:right="924" w:gutter="0" w:header="0" w:top="284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Normal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5811" w:firstLine="720"/>
        <w:jc w:val="right"/>
        <w:rPr>
          <w:rFonts w:ascii="Times New Roman" w:hAnsi="Times New Roman"/>
          <w:color w:val="000000"/>
          <w:sz w:val="20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 xml:space="preserve">Приложение№1.5 </w:t>
      </w:r>
    </w:p>
    <w:p>
      <w:pPr>
        <w:pStyle w:val="Normal"/>
        <w:spacing w:lineRule="auto" w:line="240" w:before="0" w:after="0"/>
        <w:ind w:left="5811" w:firstLine="720"/>
        <w:jc w:val="right"/>
        <w:rPr>
          <w:rFonts w:ascii="Times New Roman" w:hAnsi="Times New Roman"/>
          <w:color w:val="000000"/>
          <w:sz w:val="20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>
      <w:pPr>
        <w:pStyle w:val="ConsPlusNormal1"/>
        <w:ind w:left="5811" w:firstLine="72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к Требованиям к оформлению и составлению документации по ценообразованию 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color w:val="000000"/>
          <w:sz w:val="18"/>
          <w:szCs w:val="24"/>
        </w:rPr>
      </w:pPr>
      <w:r>
        <w:rPr>
          <w:rFonts w:ascii="Times New Roman" w:hAnsi="Times New Roman"/>
          <w:b/>
          <w:color w:val="000000"/>
          <w:sz w:val="18"/>
          <w:szCs w:val="24"/>
        </w:rPr>
        <w:t>ОБРАЗЕЦ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18"/>
          <w:szCs w:val="24"/>
        </w:rPr>
      </w:pPr>
      <w:r>
        <w:rPr>
          <w:rFonts w:ascii="Times New Roman" w:hAnsi="Times New Roman"/>
          <w:color w:val="000000"/>
          <w:sz w:val="18"/>
          <w:szCs w:val="24"/>
        </w:rPr>
      </w:r>
    </w:p>
    <w:tbl>
      <w:tblPr>
        <w:tblW w:w="495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1407"/>
        <w:gridCol w:w="685"/>
        <w:gridCol w:w="2511"/>
        <w:gridCol w:w="985"/>
        <w:gridCol w:w="1091"/>
        <w:gridCol w:w="661"/>
        <w:gridCol w:w="1033"/>
        <w:gridCol w:w="1075"/>
        <w:gridCol w:w="660"/>
        <w:gridCol w:w="1035"/>
        <w:gridCol w:w="506"/>
        <w:gridCol w:w="682"/>
        <w:gridCol w:w="2213"/>
      </w:tblGrid>
      <w:tr>
        <w:trPr>
          <w:trHeight w:val="285" w:hRule="atLeast"/>
        </w:trPr>
        <w:tc>
          <w:tcPr>
            <w:tcW w:w="322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СОГЛАСОВАНО:</w:t>
            </w:r>
          </w:p>
        </w:tc>
        <w:tc>
          <w:tcPr>
            <w:tcW w:w="251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4436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Cs w:val="24"/>
              </w:rPr>
              <w:t>УТВЕРЖДАЮ:</w:t>
            </w:r>
          </w:p>
        </w:tc>
      </w:tr>
      <w:tr>
        <w:trPr>
          <w:trHeight w:val="225" w:hRule="exact"/>
        </w:trPr>
        <w:tc>
          <w:tcPr>
            <w:tcW w:w="5733" w:type="dxa"/>
            <w:gridSpan w:val="4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5096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  <w:tr>
        <w:trPr>
          <w:trHeight w:val="345" w:hRule="atLeast"/>
        </w:trPr>
        <w:tc>
          <w:tcPr>
            <w:tcW w:w="113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6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</w:r>
          </w:p>
        </w:tc>
        <w:tc>
          <w:tcPr>
            <w:tcW w:w="251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68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  <w:tc>
          <w:tcPr>
            <w:tcW w:w="221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53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"_____" _____________2021 г</w:t>
            </w:r>
          </w:p>
        </w:tc>
        <w:tc>
          <w:tcPr>
            <w:tcW w:w="68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</w:r>
          </w:p>
        </w:tc>
        <w:tc>
          <w:tcPr>
            <w:tcW w:w="251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50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68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"_____" ________2021 г</w:t>
            </w:r>
          </w:p>
        </w:tc>
      </w:tr>
      <w:tr>
        <w:trPr>
          <w:trHeight w:val="225" w:hRule="atLeast"/>
        </w:trPr>
        <w:tc>
          <w:tcPr>
            <w:tcW w:w="3222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Наименование редакции сметных нормативов  </w:t>
            </w:r>
          </w:p>
        </w:tc>
        <w:tc>
          <w:tcPr>
            <w:tcW w:w="12452" w:type="dxa"/>
            <w:gridSpan w:val="11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</w:tr>
      <w:tr>
        <w:trPr>
          <w:trHeight w:val="300" w:hRule="atLeast"/>
        </w:trPr>
        <w:tc>
          <w:tcPr>
            <w:tcW w:w="322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Наименование программного продукта</w:t>
            </w:r>
          </w:p>
        </w:tc>
        <w:tc>
          <w:tcPr>
            <w:tcW w:w="3496" w:type="dxa"/>
            <w:gridSpan w:val="2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ПК "ГРАНД-Смета 2021"</w:t>
            </w:r>
          </w:p>
        </w:tc>
        <w:tc>
          <w:tcPr>
            <w:tcW w:w="109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661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103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107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660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1035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682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2213" w:type="dxa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</w:tr>
      <w:tr>
        <w:trPr>
          <w:trHeight w:val="165" w:hRule="exact"/>
        </w:trPr>
        <w:tc>
          <w:tcPr>
            <w:tcW w:w="11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14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51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9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506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15674" w:type="dxa"/>
            <w:gridSpan w:val="1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4"/>
              </w:rPr>
              <w:t>(наименование стройки)</w:t>
            </w:r>
          </w:p>
        </w:tc>
      </w:tr>
      <w:tr>
        <w:trPr>
          <w:trHeight w:val="225" w:hRule="exact"/>
        </w:trPr>
        <w:tc>
          <w:tcPr>
            <w:tcW w:w="15674" w:type="dxa"/>
            <w:gridSpan w:val="1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15674" w:type="dxa"/>
            <w:gridSpan w:val="1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4"/>
              </w:rPr>
              <w:t>(наименование объекта капитального строительства)</w:t>
            </w:r>
          </w:p>
        </w:tc>
      </w:tr>
      <w:tr>
        <w:trPr>
          <w:trHeight w:val="480" w:hRule="atLeast"/>
        </w:trPr>
        <w:tc>
          <w:tcPr>
            <w:tcW w:w="15674" w:type="dxa"/>
            <w:gridSpan w:val="1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ЛОКАЛЬНЫЙ СМЕТНЫЙ РАСЧЕТ (СМЕТА) № </w:t>
            </w:r>
          </w:p>
        </w:tc>
      </w:tr>
      <w:tr>
        <w:trPr>
          <w:trHeight w:val="165" w:hRule="exact"/>
        </w:trPr>
        <w:tc>
          <w:tcPr>
            <w:tcW w:w="11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r>
          </w:p>
        </w:tc>
        <w:tc>
          <w:tcPr>
            <w:tcW w:w="14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51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15674" w:type="dxa"/>
            <w:gridSpan w:val="14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5674" w:type="dxa"/>
            <w:gridSpan w:val="14"/>
            <w:tcBorders>
              <w:top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4"/>
              </w:rPr>
              <w:t>(наименование конструктивного решения)</w:t>
            </w:r>
          </w:p>
        </w:tc>
      </w:tr>
      <w:tr>
        <w:trPr>
          <w:trHeight w:val="300" w:hRule="atLeast"/>
        </w:trPr>
        <w:tc>
          <w:tcPr>
            <w:tcW w:w="11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Составлен 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Ресурсно-индексным</w:t>
            </w:r>
          </w:p>
        </w:tc>
        <w:tc>
          <w:tcPr>
            <w:tcW w:w="6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методом</w:t>
            </w:r>
          </w:p>
        </w:tc>
        <w:tc>
          <w:tcPr>
            <w:tcW w:w="251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360" w:hRule="atLeast"/>
        </w:trPr>
        <w:tc>
          <w:tcPr>
            <w:tcW w:w="11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Основание</w:t>
            </w:r>
          </w:p>
        </w:tc>
        <w:tc>
          <w:tcPr>
            <w:tcW w:w="6679" w:type="dxa"/>
            <w:gridSpan w:val="5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11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79" w:type="dxa"/>
            <w:gridSpan w:val="5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4"/>
              </w:rPr>
              <w:t>(проектная и (или) иная техническая документация)</w:t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000000"/>
                <w:sz w:val="20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2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3222" w:type="dxa"/>
            <w:gridSpan w:val="3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Составлен(а) в текущем (базисном) уровне цен </w:t>
            </w:r>
          </w:p>
        </w:tc>
        <w:tc>
          <w:tcPr>
            <w:tcW w:w="25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соответствующих периоду выполнения работ по договору</w:t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255" w:hRule="atLeast"/>
        </w:trPr>
        <w:tc>
          <w:tcPr>
            <w:tcW w:w="2537" w:type="dxa"/>
            <w:gridSpan w:val="2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4"/>
              </w:rPr>
              <w:t xml:space="preserve">Сметная стоимость </w:t>
            </w:r>
          </w:p>
        </w:tc>
        <w:tc>
          <w:tcPr>
            <w:tcW w:w="68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5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тыс.руб.</w:t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50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255" w:hRule="atLeast"/>
        </w:trPr>
        <w:tc>
          <w:tcPr>
            <w:tcW w:w="11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4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в том числе:</w:t>
            </w:r>
          </w:p>
        </w:tc>
        <w:tc>
          <w:tcPr>
            <w:tcW w:w="6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51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255" w:hRule="atLeast"/>
        </w:trPr>
        <w:tc>
          <w:tcPr>
            <w:tcW w:w="11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4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строительных работ</w:t>
            </w:r>
          </w:p>
        </w:tc>
        <w:tc>
          <w:tcPr>
            <w:tcW w:w="68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5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тыс.руб.</w:t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3429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Средства на оплату труда рабочих</w:t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68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тыс.руб.</w:t>
            </w:r>
          </w:p>
        </w:tc>
      </w:tr>
      <w:tr>
        <w:trPr>
          <w:trHeight w:val="255" w:hRule="atLeast"/>
        </w:trPr>
        <w:tc>
          <w:tcPr>
            <w:tcW w:w="11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14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монтажных работ</w:t>
            </w:r>
          </w:p>
        </w:tc>
        <w:tc>
          <w:tcPr>
            <w:tcW w:w="68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5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тыс.руб.</w:t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3429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Нормативные затраты труда рабочих</w:t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68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чел.час.</w:t>
            </w:r>
          </w:p>
        </w:tc>
      </w:tr>
      <w:tr>
        <w:trPr>
          <w:trHeight w:val="255" w:hRule="atLeast"/>
        </w:trPr>
        <w:tc>
          <w:tcPr>
            <w:tcW w:w="11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14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оборудования</w:t>
            </w:r>
          </w:p>
        </w:tc>
        <w:tc>
          <w:tcPr>
            <w:tcW w:w="68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5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тыс.руб.</w:t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3429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Нормативные затраты труда машинистов</w:t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506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68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чел.час.</w:t>
            </w:r>
          </w:p>
        </w:tc>
      </w:tr>
      <w:tr>
        <w:trPr>
          <w:trHeight w:val="255" w:hRule="atLeast"/>
        </w:trPr>
        <w:tc>
          <w:tcPr>
            <w:tcW w:w="113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14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прочих затрат</w:t>
            </w:r>
          </w:p>
        </w:tc>
        <w:tc>
          <w:tcPr>
            <w:tcW w:w="68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511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тыс.руб.</w:t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4464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Расчетный измеритель конструктивного решения  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 </w:t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</w:tr>
      <w:tr>
        <w:trPr>
          <w:trHeight w:val="195" w:hRule="exact"/>
        </w:trPr>
        <w:tc>
          <w:tcPr>
            <w:tcW w:w="11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407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51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98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9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7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1035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50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68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  <w:tc>
          <w:tcPr>
            <w:tcW w:w="221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</w:r>
          </w:p>
        </w:tc>
      </w:tr>
      <w:tr>
        <w:trPr>
          <w:trHeight w:val="720" w:hRule="atLeast"/>
        </w:trPr>
        <w:tc>
          <w:tcPr>
            <w:tcW w:w="1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п/п</w:t>
            </w:r>
          </w:p>
        </w:tc>
        <w:tc>
          <w:tcPr>
            <w:tcW w:w="14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Обоснование</w:t>
            </w:r>
          </w:p>
        </w:tc>
        <w:tc>
          <w:tcPr>
            <w:tcW w:w="41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Наименование работ и затрат</w:t>
            </w:r>
          </w:p>
        </w:tc>
        <w:tc>
          <w:tcPr>
            <w:tcW w:w="10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Единица измерения</w:t>
            </w:r>
          </w:p>
        </w:tc>
        <w:tc>
          <w:tcPr>
            <w:tcW w:w="27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Количество</w:t>
            </w:r>
          </w:p>
        </w:tc>
        <w:tc>
          <w:tcPr>
            <w:tcW w:w="22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Сметная стоимость в базисном уровне цен (в текущем уровне цен (гр. 8) для ресурсов, отсутствующих в СНБ), руб.</w:t>
            </w:r>
          </w:p>
        </w:tc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Индексы</w:t>
            </w:r>
          </w:p>
        </w:tc>
        <w:tc>
          <w:tcPr>
            <w:tcW w:w="2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Сметная стоимость в текущем уровне цен, руб.</w:t>
            </w:r>
          </w:p>
        </w:tc>
      </w:tr>
      <w:tr>
        <w:trPr>
          <w:trHeight w:val="735" w:hRule="atLeast"/>
        </w:trPr>
        <w:tc>
          <w:tcPr>
            <w:tcW w:w="1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14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418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1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769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20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2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</w:tr>
      <w:tr>
        <w:trPr>
          <w:trHeight w:val="900" w:hRule="atLeast"/>
        </w:trPr>
        <w:tc>
          <w:tcPr>
            <w:tcW w:w="1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140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418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10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на единицу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коэффициенты</w:t>
            </w:r>
          </w:p>
        </w:tc>
        <w:tc>
          <w:tcPr>
            <w:tcW w:w="10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всего с учетом коэффициентов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на единицу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коэффициенты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всего</w:t>
            </w:r>
          </w:p>
        </w:tc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  <w:tc>
          <w:tcPr>
            <w:tcW w:w="221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</w:r>
          </w:p>
        </w:tc>
      </w:tr>
      <w:tr>
        <w:trPr>
          <w:trHeight w:val="225" w:hRule="atLeast"/>
        </w:trPr>
        <w:tc>
          <w:tcPr>
            <w:tcW w:w="1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418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3</w:t>
            </w:r>
          </w:p>
        </w:tc>
        <w:tc>
          <w:tcPr>
            <w:tcW w:w="109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4</w:t>
            </w:r>
          </w:p>
        </w:tc>
        <w:tc>
          <w:tcPr>
            <w:tcW w:w="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5</w:t>
            </w:r>
          </w:p>
        </w:tc>
        <w:tc>
          <w:tcPr>
            <w:tcW w:w="103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6</w:t>
            </w:r>
          </w:p>
        </w:tc>
        <w:tc>
          <w:tcPr>
            <w:tcW w:w="107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7</w:t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8</w:t>
            </w:r>
          </w:p>
        </w:tc>
        <w:tc>
          <w:tcPr>
            <w:tcW w:w="10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9</w:t>
            </w:r>
          </w:p>
        </w:tc>
        <w:tc>
          <w:tcPr>
            <w:tcW w:w="50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10</w:t>
            </w:r>
          </w:p>
        </w:tc>
        <w:tc>
          <w:tcPr>
            <w:tcW w:w="68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11</w:t>
            </w:r>
          </w:p>
        </w:tc>
        <w:tc>
          <w:tcPr>
            <w:tcW w:w="221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0"/>
                <w:szCs w:val="24"/>
              </w:rPr>
            </w:pPr>
            <w:r>
              <w:rPr>
                <w:rFonts w:ascii="Times New Roman" w:hAnsi="Times New Roman"/>
                <w:color w:val="000000"/>
                <w:sz w:val="20"/>
                <w:szCs w:val="24"/>
              </w:rPr>
              <w:t>12</w:t>
            </w:r>
          </w:p>
        </w:tc>
      </w:tr>
    </w:tbl>
    <w:p>
      <w:pPr>
        <w:sectPr>
          <w:footerReference w:type="default" r:id="rId10"/>
          <w:footerReference w:type="first" r:id="rId11"/>
          <w:footnotePr>
            <w:numFmt w:val="decimal"/>
            <w:numRestart w:val="eachPage"/>
          </w:footnotePr>
          <w:type w:val="nextPage"/>
          <w:pgSz w:orient="landscape" w:w="16838" w:h="11906"/>
          <w:pgMar w:left="720" w:right="284" w:gutter="0" w:header="0" w:top="426" w:footer="709" w:bottom="924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spacing w:lineRule="auto" w:line="240" w:before="0" w:after="0"/>
        <w:ind w:left="5811" w:firstLine="720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color w:val="000000"/>
          <w:sz w:val="20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 xml:space="preserve">Приложение № 2 </w:t>
      </w:r>
    </w:p>
    <w:p>
      <w:pPr>
        <w:pStyle w:val="Normal"/>
        <w:spacing w:lineRule="auto" w:line="240" w:before="0" w:after="0"/>
        <w:ind w:left="5811" w:firstLine="142"/>
        <w:jc w:val="right"/>
        <w:rPr>
          <w:rFonts w:ascii="Times New Roman" w:hAnsi="Times New Roman"/>
          <w:b/>
          <w:color w:val="000000"/>
          <w:sz w:val="20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>к Требованиям к оформлению и составлению документации по ценообразованию</w:t>
      </w:r>
    </w:p>
    <w:p>
      <w:pPr>
        <w:pStyle w:val="Normal"/>
        <w:shd w:val="clear" w:color="auto" w:fill="FFFFFF"/>
        <w:spacing w:lineRule="auto" w:line="240" w:before="0" w:after="0"/>
        <w:ind w:left="142" w:hanging="14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Образец № 3п</w:t>
      </w:r>
    </w:p>
    <w:tbl>
      <w:tblPr>
        <w:tblW w:w="998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9989"/>
      </w:tblGrid>
      <w:tr>
        <w:trPr/>
        <w:tc>
          <w:tcPr>
            <w:tcW w:w="9989" w:type="dxa"/>
            <w:tcBorders/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left="6523" w:hanging="28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Приложение №_____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left="6239" w:right="-284"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 xml:space="preserve">к договору от ______№_______ 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left="6239" w:right="-284" w:hanging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(дополнительному соглашению)</w:t>
            </w:r>
          </w:p>
          <w:tbl>
            <w:tblPr>
              <w:tblW w:w="9564" w:type="dxa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4a0" w:noHBand="0" w:noVBand="1" w:firstColumn="1" w:lastRow="0" w:lastColumn="0" w:firstRow="1"/>
            </w:tblPr>
            <w:tblGrid>
              <w:gridCol w:w="4430"/>
              <w:gridCol w:w="5133"/>
            </w:tblGrid>
            <w:tr>
              <w:trPr>
                <w:trHeight w:val="446" w:hRule="atLeast"/>
              </w:trPr>
              <w:tc>
                <w:tcPr>
                  <w:tcW w:w="4430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4"/>
                    </w:rPr>
                    <w:t>СОГЛАСОВАНО: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________________(Подрядчик)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________________ Ф.И.О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</w:r>
                </w:p>
              </w:tc>
              <w:tc>
                <w:tcPr>
                  <w:tcW w:w="5133" w:type="dxa"/>
                  <w:tcBorders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4"/>
                    </w:rPr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ind w:left="1886" w:hanging="0"/>
                    <w:rPr>
                      <w:rFonts w:ascii="Times New Roman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4"/>
                    </w:rPr>
                    <w:t>УТВЕРЖДАЮ: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ind w:left="1886" w:hanging="0"/>
                    <w:rPr>
                      <w:rFonts w:ascii="Times New Roman" w:hAnsi="Times New Roman"/>
                      <w:bCs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Cs w:val="24"/>
                    </w:rPr>
                    <w:t>_________________(Заказчик)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ind w:left="1886" w:hanging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_________________Ф.И.О.</w:t>
                  </w:r>
                </w:p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szCs w:val="24"/>
                    </w:rPr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Смета № </w:t>
              <w:br/>
              <w:t>на шеф - монтажные работы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предприятия, здания, сооружения, вида шеф-монтажных работ_____________________________________________________________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монтажной организации 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Наименование организации заказчика 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Составлена в текущих ценах, соответствующих периоду выполнения работ по договору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1. Расчет заработной платы</w:t>
            </w:r>
            <w:r>
              <w:rPr>
                <w:rFonts w:ascii="Times New Roman" w:hAnsi="Times New Roman"/>
                <w:szCs w:val="24"/>
              </w:rPr>
              <w:tab/>
              <w:tab/>
              <w:tab/>
              <w:tab/>
              <w:tab/>
              <w:tab/>
              <w:tab/>
              <w:tab/>
              <w:t>руб.</w:t>
            </w:r>
          </w:p>
          <w:tbl>
            <w:tblPr>
              <w:tblW w:w="9649" w:type="dxa"/>
              <w:jc w:val="center"/>
              <w:tblInd w:w="0" w:type="dxa"/>
              <w:tblLayout w:type="fixed"/>
              <w:tblCellMar>
                <w:top w:w="0" w:type="dxa"/>
                <w:left w:w="28" w:type="dxa"/>
                <w:bottom w:w="0" w:type="dxa"/>
                <w:right w:w="28" w:type="dxa"/>
              </w:tblCellMar>
              <w:tblLook w:val="04a0" w:noHBand="0" w:noVBand="1" w:firstColumn="1" w:lastRow="0" w:lastColumn="0" w:firstRow="1"/>
            </w:tblPr>
            <w:tblGrid>
              <w:gridCol w:w="575"/>
              <w:gridCol w:w="2201"/>
              <w:gridCol w:w="1124"/>
              <w:gridCol w:w="1183"/>
              <w:gridCol w:w="1413"/>
              <w:gridCol w:w="1421"/>
              <w:gridCol w:w="1731"/>
            </w:tblGrid>
            <w:tr>
              <w:trPr>
                <w:tblHeader w:val="true"/>
              </w:trPr>
              <w:tc>
                <w:tcPr>
                  <w:tcW w:w="575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 xml:space="preserve">№ </w:t>
                  </w:r>
                  <w:r>
                    <w:rPr>
                      <w:rFonts w:ascii="Times New Roman" w:hAnsi="Times New Roman"/>
                      <w:szCs w:val="24"/>
                    </w:rPr>
                    <w:t>п</w:t>
                  </w:r>
                  <w:r>
                    <w:rPr>
                      <w:rFonts w:ascii="Times New Roman" w:hAnsi="Times New Roman"/>
                      <w:szCs w:val="24"/>
                      <w:lang w:val="en-US"/>
                    </w:rPr>
                    <w:t>/</w:t>
                  </w:r>
                  <w:r>
                    <w:rPr>
                      <w:rFonts w:ascii="Times New Roman" w:hAnsi="Times New Roman"/>
                      <w:szCs w:val="24"/>
                    </w:rPr>
                    <w:t>п.</w:t>
                  </w:r>
                </w:p>
              </w:tc>
              <w:tc>
                <w:tcPr>
                  <w:tcW w:w="2201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Перечень выполняемых работ</w:t>
                  </w:r>
                </w:p>
              </w:tc>
              <w:tc>
                <w:tcPr>
                  <w:tcW w:w="2307" w:type="dxa"/>
                  <w:gridSpan w:val="2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Исполнители</w:t>
                  </w:r>
                </w:p>
              </w:tc>
              <w:tc>
                <w:tcPr>
                  <w:tcW w:w="1413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Количество человеко-дней</w:t>
                  </w:r>
                </w:p>
              </w:tc>
              <w:tc>
                <w:tcPr>
                  <w:tcW w:w="1421" w:type="dxa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Средняя оплата труда</w:t>
                  </w:r>
                </w:p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Cs w:val="24"/>
                    </w:rPr>
                    <w:t>за 1 день</w:t>
                  </w:r>
                </w:p>
              </w:tc>
              <w:tc>
                <w:tcPr>
                  <w:tcW w:w="1731" w:type="dxa"/>
                  <w:vMerge w:val="restart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Оплата труда (всего)</w:t>
                  </w:r>
                </w:p>
              </w:tc>
            </w:tr>
            <w:tr>
              <w:trPr>
                <w:tblHeader w:val="true"/>
              </w:trPr>
              <w:tc>
                <w:tcPr>
                  <w:tcW w:w="575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</w:r>
                </w:p>
              </w:tc>
              <w:tc>
                <w:tcPr>
                  <w:tcW w:w="2201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</w:r>
                </w:p>
              </w:tc>
              <w:tc>
                <w:tcPr>
                  <w:tcW w:w="112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количество</w:t>
                  </w:r>
                </w:p>
              </w:tc>
              <w:tc>
                <w:tcPr>
                  <w:tcW w:w="118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должность</w:t>
                  </w:r>
                </w:p>
              </w:tc>
              <w:tc>
                <w:tcPr>
                  <w:tcW w:w="1413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</w:r>
                </w:p>
              </w:tc>
              <w:tc>
                <w:tcPr>
                  <w:tcW w:w="1421" w:type="dxa"/>
                  <w:vMerge w:val="continue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</w:r>
                </w:p>
              </w:tc>
              <w:tc>
                <w:tcPr>
                  <w:tcW w:w="1731" w:type="dxa"/>
                  <w:vMerge w:val="continue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tcMar>
                    <w:left w:w="7" w:type="dxa"/>
                    <w:right w:w="2" w:type="dxa"/>
                  </w:tcMar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</w:r>
                </w:p>
              </w:tc>
            </w:tr>
            <w:tr>
              <w:trPr>
                <w:tblHeader w:val="true"/>
              </w:trPr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2201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1124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118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1413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5</w:t>
                  </w:r>
                </w:p>
              </w:tc>
              <w:tc>
                <w:tcPr>
                  <w:tcW w:w="14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6</w:t>
                  </w:r>
                </w:p>
              </w:tc>
              <w:tc>
                <w:tcPr>
                  <w:tcW w:w="1731" w:type="dxa"/>
                  <w:tcBorders>
                    <w:top w:val="single" w:sz="6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jc w:val="center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7</w:t>
                  </w:r>
                </w:p>
              </w:tc>
            </w:tr>
            <w:tr>
              <w:trPr/>
              <w:tc>
                <w:tcPr>
                  <w:tcW w:w="575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2201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1124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118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1413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1421" w:type="dxa"/>
                  <w:tcBorders>
                    <w:top w:val="single" w:sz="6" w:space="0" w:color="000000"/>
                    <w:left w:val="single" w:sz="6" w:space="0" w:color="000000"/>
                    <w:bottom w:val="single" w:sz="2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1731" w:type="dxa"/>
                  <w:tcBorders>
                    <w:top w:val="single" w:sz="6" w:space="0" w:color="000000"/>
                    <w:left w:val="single" w:sz="2" w:space="0" w:color="000000"/>
                    <w:bottom w:val="single" w:sz="2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</w:tr>
            <w:tr>
              <w:trPr/>
              <w:tc>
                <w:tcPr>
                  <w:tcW w:w="575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220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1124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118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1413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1421" w:type="dxa"/>
                  <w:tcBorders>
                    <w:top w:val="single" w:sz="2" w:space="0" w:color="000000"/>
                    <w:left w:val="single" w:sz="6" w:space="0" w:color="000000"/>
                    <w:bottom w:val="single" w:sz="6" w:space="0" w:color="000000"/>
                    <w:right w:val="single" w:sz="2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  <w:tc>
                <w:tcPr>
                  <w:tcW w:w="1731" w:type="dxa"/>
                  <w:tcBorders>
                    <w:top w:val="single" w:sz="2" w:space="0" w:color="000000"/>
                    <w:left w:val="single" w:sz="2" w:space="0" w:color="000000"/>
                    <w:bottom w:val="single" w:sz="6" w:space="0" w:color="000000"/>
                    <w:right w:val="single" w:sz="6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widowControl w:val="false"/>
                    <w:shd w:val="clear" w:color="auto" w:fill="FFFFFF"/>
                    <w:spacing w:lineRule="auto" w:line="240" w:before="0" w:after="0"/>
                    <w:rPr>
                      <w:rFonts w:ascii="Times New Roman" w:hAnsi="Times New Roman"/>
                      <w:szCs w:val="24"/>
                    </w:rPr>
                  </w:pPr>
                  <w:r>
                    <w:rPr>
                      <w:rFonts w:ascii="Times New Roman" w:hAnsi="Times New Roman"/>
                      <w:szCs w:val="24"/>
                    </w:rPr>
                    <w:t> </w:t>
                  </w:r>
                </w:p>
              </w:tc>
            </w:tr>
          </w:tbl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Итого заработной платы, в руб. 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 Расчет стоимости выполнения работ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2.1 Накладные расходы, %_______________________________________________________________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2.2 Себестоимость работ 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2.3 Уровень рентабельности, % 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Итого </w:t>
            </w:r>
            <w:r>
              <w:rPr>
                <w:rFonts w:ascii="Times New Roman" w:hAnsi="Times New Roman"/>
                <w:szCs w:val="24"/>
              </w:rPr>
              <w:t>________________________________________________________________________________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3. Командировочные расходы (по расчету)______________________________________________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Всего (руб.)</w:t>
            </w:r>
            <w:r>
              <w:rPr>
                <w:rFonts w:ascii="Times New Roman" w:hAnsi="Times New Roman"/>
                <w:szCs w:val="24"/>
              </w:rPr>
              <w:t xml:space="preserve"> __________________________________________________________________________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_____________________________________________________________________________________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ind w:firstLine="207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(сумма прописью)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Составил:________/должность,организация/_______/подпись/___________/расшифровка подписи/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Проверил:_________/должность, организация/_________/подпись/_________/расшифровка подписи/</w:t>
            </w:r>
          </w:p>
        </w:tc>
      </w:tr>
    </w:tbl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Приложение № 2.1</w:t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color w:val="000000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к Требованиям к оформлению и составлению документации по ценообразованию</w:t>
      </w:r>
      <w:r>
        <w:rPr>
          <w:rFonts w:ascii="Times New Roman" w:hAnsi="Times New Roman"/>
          <w:color w:val="000000"/>
          <w:sz w:val="20"/>
          <w:szCs w:val="24"/>
        </w:rPr>
        <w:t xml:space="preserve">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ПОЯСНИТЕЛЬНАЯ ЗАПИСКА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заполнению формы №3п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при составлении смет на шеф-монтажные, шеф-наладочные работы </w:t>
      </w:r>
    </w:p>
    <w:p>
      <w:pPr>
        <w:pStyle w:val="Normal"/>
        <w:tabs>
          <w:tab w:val="clear" w:pos="709"/>
          <w:tab w:val="left" w:pos="1080" w:leader="none"/>
        </w:tabs>
        <w:spacing w:lineRule="auto" w:line="240" w:before="0" w:after="0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993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При составлении сметного расчета по трудозатратам (форма №3п), обоснование расчета трудозатрат представляется заказчику по его просьбе. Сметные расчеты составляются в ценах текущего периода.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Расчетом по трудозатратам (форма №3п) рекомендуется определять стоимость работ, цены на которые отсутствуют в СБЦ и СЦ, внесенных в ФРСН.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Форма сметы для определения затрат по себестоимости и уровню рентабельности (форма №3п) приведена в образце 3П Приложения 2.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Результаты вычислений и итоговые данные по разделам расчета </w:t>
      </w:r>
      <w:r>
        <w:rPr>
          <w:rFonts w:ascii="Times New Roman" w:hAnsi="Times New Roman"/>
          <w:sz w:val="24"/>
          <w:szCs w:val="24"/>
          <w:u w:val="single"/>
        </w:rPr>
        <w:t>округлять до целых рублей.</w:t>
      </w:r>
    </w:p>
    <w:p>
      <w:pPr>
        <w:pStyle w:val="Normal"/>
        <w:numPr>
          <w:ilvl w:val="0"/>
          <w:numId w:val="4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Особенности заполнения формы 3п.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Раздел 1. Расчет заработной платы: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1 приводится нумерация выполняемых работ;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2 приводится наименование выполняемых работ;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3 указывается количество привлекаемых работников;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4 указывается наименование должности (при необходимости с указанием конкретных фамилий) работников, участвующих в выполнении каждой из приведенных работ в графе 2 работ;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5 для каждой должностной группы (при необходимости с указанием конкретных фамилий) работников, участвующих в выполнении данной работы, указывается общее количество рабочих дней, необходимых данной квалификационной группе для её выполнения; рабочее время не должно превышать значений, определенных по нормативным временным нормам;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6 приводятся данные по стоимости 1 человеко-дня в рублях по категориям работников. Стоимость 1 человеко-дня непосредственных исполнителей приводится по штатному расписанию основного производственного персонала исходя из установленных в нем окладов, а также выплат стимулирующего и компенсирующего характера, установленных Положением о премировании работников предприятия.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графе 7 указывается заработная плата в рублях (</w:t>
      </w:r>
      <w:r>
        <w:rPr>
          <w:rFonts w:eastAsia="Calibri" w:ascii="Times New Roman" w:hAnsi="Times New Roman"/>
          <w:b/>
          <w:sz w:val="24"/>
          <w:szCs w:val="24"/>
          <w:u w:val="single"/>
          <w:lang w:eastAsia="en-US"/>
        </w:rPr>
        <w:t>результат перемножения граф 5 и 6</w:t>
      </w:r>
      <w:r>
        <w:rPr>
          <w:rFonts w:eastAsia="Calibri" w:ascii="Times New Roman" w:hAnsi="Times New Roman"/>
          <w:sz w:val="24"/>
          <w:szCs w:val="24"/>
          <w:lang w:eastAsia="en-US"/>
        </w:rPr>
        <w:t>);</w:t>
      </w:r>
    </w:p>
    <w:p>
      <w:pPr>
        <w:pStyle w:val="Normal"/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Данные по количеству человек, дней и категорий непосредственных исполнителей, приведенные в графах 3, 4, 5, указываются в соответствии с экспертной оценкой трудоемкости этих работ или на базе имеющихся в организации проработок, определяющих нормативы их трудоемкости.</w:t>
      </w:r>
    </w:p>
    <w:p>
      <w:pPr>
        <w:pStyle w:val="Normal"/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Раздел 2. Расчет стоимости выполнения работ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пункте 2.1 указываются накладные расходы. Данные по оплате труда, накладным расходам, уровню рентабельности организации принимаются в соответствии с плановыми показателями на соответствующий период выполнения работ и утверждаются внутренним распорядительным документом организации.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пункте 2.2 производится расчет себестоимости работ на основании выполненного в разделе 1 расчета заработной платы и накладных расходов (сложение итога графы 7 раздела 1 и пункта 2.1);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в пункте 2.3 указывается уровень рентабельности (размер сметной прибыли), принимается по данным организации в соответствии с финансовым планом;</w:t>
      </w:r>
    </w:p>
    <w:p>
      <w:pPr>
        <w:pStyle w:val="Normal"/>
        <w:numPr>
          <w:ilvl w:val="0"/>
          <w:numId w:val="3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уровень рентабельности по отношению к себестоимости может составлять до 15%.</w:t>
      </w:r>
    </w:p>
    <w:p>
      <w:pPr>
        <w:pStyle w:val="Normal"/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сметной документации необходимо приложить все справочные данные по вышеуказанным экономическим характеристикам предприятия в форме официальной справки (образец в Приложении №1 к пояснительной записке по заполнению формы 3П).</w:t>
      </w:r>
    </w:p>
    <w:p>
      <w:pPr>
        <w:pStyle w:val="Normal"/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Раздел 3. Расчет командировочных расходов.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Командировочные расходы включаются в сметный расчет отдельной строкой (пункт 3 формы 3П) по отдельно выполненному расчету (приложение № 2) с расшифровкой затрат на проезд, проживание, суточные расходы. 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Стоимость проезда необходимо указать по каждому виду транспорта отдельно туда и отдельно обратно.</w:t>
      </w:r>
    </w:p>
    <w:p>
      <w:pPr>
        <w:pStyle w:val="Normal"/>
        <w:tabs>
          <w:tab w:val="clear" w:pos="709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 расходов на проезд и стоимость проживания в гостинице определяется на момент составления расчета.</w:t>
      </w:r>
    </w:p>
    <w:p>
      <w:pPr>
        <w:pStyle w:val="Normal"/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Размеры возмещения расходов, связанных со служебными командировками, определяются коллективным договором и/или локальным нормативным актом организации–исполнителя, но не выше нормативов возмещения расходов, связанных со служебными командировками, установленных локальным нормативным актом организации–заказчика.</w:t>
      </w:r>
    </w:p>
    <w:p>
      <w:pPr>
        <w:pStyle w:val="Normal"/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Лимиты командировочных расходов: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суточные - 700 руб./сутки;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 xml:space="preserve">проживание - </w:t>
      </w:r>
      <w:r>
        <w:rPr>
          <w:rFonts w:eastAsia="Calibri" w:ascii="Times New Roman" w:hAnsi="Times New Roman"/>
          <w:color w:val="FF0000"/>
          <w:sz w:val="24"/>
          <w:szCs w:val="24"/>
          <w:lang w:eastAsia="en-US"/>
        </w:rPr>
        <w:t xml:space="preserve">до 5000 </w:t>
      </w:r>
      <w:r>
        <w:rPr>
          <w:rFonts w:eastAsia="Calibri" w:ascii="Times New Roman" w:hAnsi="Times New Roman"/>
          <w:sz w:val="24"/>
          <w:szCs w:val="24"/>
          <w:lang w:eastAsia="en-US"/>
        </w:rPr>
        <w:t>руб./сутки;</w:t>
      </w:r>
    </w:p>
    <w:p>
      <w:pPr>
        <w:pStyle w:val="Normal"/>
        <w:numPr>
          <w:ilvl w:val="0"/>
          <w:numId w:val="5"/>
        </w:numPr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left="0"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проезд: поезд (купе) или самолет (</w:t>
      </w:r>
      <w:r>
        <w:rPr>
          <w:rFonts w:ascii="Times New Roman" w:hAnsi="Times New Roman"/>
          <w:color w:val="000000"/>
          <w:sz w:val="24"/>
          <w:szCs w:val="24"/>
        </w:rPr>
        <w:t>класс–эконом с багажом до 20 (двадцати) кг, ручная кладь до 10 (десяти) кг</w:t>
      </w:r>
      <w:r>
        <w:rPr>
          <w:rFonts w:eastAsia="Calibri" w:ascii="Times New Roman" w:hAnsi="Times New Roman"/>
          <w:sz w:val="24"/>
          <w:szCs w:val="24"/>
          <w:lang w:eastAsia="en-US"/>
        </w:rPr>
        <w:t>).</w:t>
      </w:r>
    </w:p>
    <w:p>
      <w:pPr>
        <w:pStyle w:val="Normal"/>
        <w:tabs>
          <w:tab w:val="clear" w:pos="709"/>
          <w:tab w:val="left" w:pos="993" w:leader="none"/>
          <w:tab w:val="left" w:pos="1080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b/>
          <w:i/>
          <w:i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/>
          <w:b/>
          <w:i/>
          <w:color w:val="000000" w:themeColor="text1"/>
          <w:sz w:val="24"/>
          <w:szCs w:val="24"/>
        </w:rPr>
        <w:t>Данные лимиты могут быть пересмотрены на этапе согласования технических требований.</w:t>
      </w:r>
    </w:p>
    <w:p>
      <w:pPr>
        <w:pStyle w:val="Normal"/>
        <w:tabs>
          <w:tab w:val="clear" w:pos="709"/>
          <w:tab w:val="left" w:pos="567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/>
          <w:strike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учете командировочных расходов стоимость проезда (авиа-, ж/д, …) определяется по наиболее экономичному варианту, определенному на основании сбора информации о текущих ценах (конъюнктурный анализ) в соответствии с Методикой определения сметной стоимости (Приказ Минстроя России от 04.08.2020г. №421/пр, п.13). Результаты конъюнктурного анализа оформляются в соответствии с формой, приведенной в Приложении №1 к Методике.</w:t>
      </w:r>
    </w:p>
    <w:p>
      <w:pPr>
        <w:sectPr>
          <w:footerReference w:type="default" r:id="rId12"/>
          <w:footerReference w:type="first" r:id="rId13"/>
          <w:footnotePr>
            <w:numFmt w:val="decimal"/>
            <w:numRestart w:val="eachPage"/>
          </w:footnotePr>
          <w:type w:val="nextPage"/>
          <w:pgSz w:w="11906" w:h="16838"/>
          <w:pgMar w:left="993" w:right="924" w:gutter="0" w:header="0" w:top="568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tabs>
          <w:tab w:val="clear" w:pos="709"/>
          <w:tab w:val="left" w:pos="567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eastAsia="Calibri" w:ascii="Times New Roman" w:hAnsi="Times New Roman"/>
          <w:sz w:val="24"/>
          <w:szCs w:val="24"/>
          <w:lang w:eastAsia="en-US"/>
        </w:rPr>
        <w:t>При наличии командировочных расходов необходимо составлять общий реестр стоимости проездных билетов с разбивкой по сметам, к которым они относятся.</w:t>
      </w:r>
    </w:p>
    <w:p>
      <w:pPr>
        <w:pStyle w:val="Normal"/>
        <w:spacing w:lineRule="auto" w:line="240" w:before="0" w:after="0"/>
        <w:ind w:left="5811" w:hanging="0"/>
        <w:contextualSpacing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№1</w:t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 пояснительной записке</w:t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по заполнению формы 3П</w:t>
      </w:r>
    </w:p>
    <w:p>
      <w:pPr>
        <w:pStyle w:val="Normal"/>
        <w:spacing w:lineRule="auto" w:line="240" w:before="0" w:after="0"/>
        <w:ind w:left="5811" w:hanging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СПРАВКА от__________ (указать дату составления справки) (Образец)</w:t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Настоящим (краткое/полное наименование организации подрядчика/контрагента) сообщает о том, что средняя оплата труда специалистов за рабочий день составляет:</w:t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tbl>
      <w:tblPr>
        <w:tblW w:w="8793" w:type="dxa"/>
        <w:jc w:val="left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47"/>
        <w:gridCol w:w="3942"/>
        <w:gridCol w:w="3104"/>
      </w:tblGrid>
      <w:tr>
        <w:trPr>
          <w:trHeight w:val="325" w:hRule="atLeast"/>
        </w:trPr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Cs w:val="24"/>
              </w:rPr>
              <w:t>п/п</w:t>
            </w:r>
          </w:p>
        </w:tc>
        <w:tc>
          <w:tcPr>
            <w:tcW w:w="3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Должность специалиста</w:t>
            </w:r>
          </w:p>
        </w:tc>
        <w:tc>
          <w:tcPr>
            <w:tcW w:w="3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Заработная плата в день, в руб.</w:t>
            </w:r>
          </w:p>
        </w:tc>
      </w:tr>
      <w:tr>
        <w:trPr>
          <w:trHeight w:val="630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</w:tr>
      <w:tr>
        <w:trPr>
          <w:trHeight w:val="581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</w:tr>
      <w:tr>
        <w:trPr>
          <w:trHeight w:val="634" w:hRule="atLeast"/>
        </w:trPr>
        <w:tc>
          <w:tcPr>
            <w:tcW w:w="17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942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(указать должность)</w:t>
            </w:r>
          </w:p>
        </w:tc>
        <w:tc>
          <w:tcPr>
            <w:tcW w:w="31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-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Накладные расходы _______(%)</w:t>
        <w:tab/>
        <w:tab/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Рентабельность предприятия_________(%)</w:t>
        <w:tab/>
        <w:tab/>
        <w:tab/>
        <w:tab/>
        <w:tab/>
        <w:tab/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Дата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(Должность единоличного исполнительного органа контрагента/подрядчика)</w:t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(краткое/полное наименование организации) ________________ (ФИО)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м.п.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(Главный бухгалтер)</w:t>
      </w:r>
      <w:r>
        <w:rPr>
          <w:rStyle w:val="FootnoteReference"/>
          <w:rFonts w:ascii="Times New Roman" w:hAnsi="Times New Roman"/>
          <w:szCs w:val="24"/>
        </w:rPr>
        <w:footnoteReference w:id="5"/>
      </w:r>
      <w:r>
        <w:rPr>
          <w:rFonts w:ascii="Times New Roman" w:hAnsi="Times New Roman"/>
          <w:szCs w:val="24"/>
        </w:rPr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(краткое/полное наименование организации контрагента/подрядчика) _________ (ФИО)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м.п.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 w:val="22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Приложение №2</w:t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>к пояснительной записке</w:t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  <w:szCs w:val="24"/>
        </w:rPr>
      </w:pPr>
      <w:r>
        <w:rPr>
          <w:rFonts w:ascii="Times New Roman" w:hAnsi="Times New Roman"/>
          <w:sz w:val="20"/>
          <w:szCs w:val="24"/>
        </w:rPr>
        <w:t xml:space="preserve"> </w:t>
      </w:r>
      <w:r>
        <w:rPr>
          <w:rFonts w:ascii="Times New Roman" w:hAnsi="Times New Roman"/>
          <w:sz w:val="20"/>
          <w:szCs w:val="24"/>
        </w:rPr>
        <w:t>по заполнению формы 3П</w:t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Образец расчета командировочных расходов </w:t>
      </w:r>
    </w:p>
    <w:p>
      <w:pPr>
        <w:pStyle w:val="Normal"/>
        <w:spacing w:lineRule="auto" w:line="240" w:before="0" w:after="0"/>
        <w:ind w:hanging="567"/>
        <w:jc w:val="righ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Приложение № __ к смете № __</w:t>
      </w:r>
    </w:p>
    <w:p>
      <w:pPr>
        <w:pStyle w:val="Normal"/>
        <w:spacing w:lineRule="auto" w:line="240" w:before="0" w:after="0"/>
        <w:ind w:hanging="567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Расчет командировочных расходов</w:t>
      </w:r>
    </w:p>
    <w:tbl>
      <w:tblPr>
        <w:tblW w:w="10661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57"/>
        <w:gridCol w:w="142"/>
        <w:gridCol w:w="989"/>
        <w:gridCol w:w="710"/>
        <w:gridCol w:w="1275"/>
        <w:gridCol w:w="709"/>
        <w:gridCol w:w="1442"/>
        <w:gridCol w:w="1311"/>
        <w:gridCol w:w="937"/>
        <w:gridCol w:w="1132"/>
        <w:gridCol w:w="1556"/>
      </w:tblGrid>
      <w:tr>
        <w:trPr/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№ </w:t>
            </w:r>
            <w:r>
              <w:rPr>
                <w:rFonts w:ascii="Times New Roman" w:hAnsi="Times New Roman"/>
                <w:szCs w:val="24"/>
              </w:rPr>
              <w:t>п</w:t>
            </w:r>
            <w:r>
              <w:rPr>
                <w:rFonts w:ascii="Times New Roman" w:hAnsi="Times New Roman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Cs w:val="24"/>
              </w:rPr>
              <w:t>п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Пункт назначения </w:t>
              <w:br/>
              <w:t>(туда / обратно)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Вид транспорта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Стоимость проезда, руб. (без НДС)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дней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Стоимость суточных, руб./сут. </w:t>
              <w:br/>
              <w:t>(без НДС)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Стоимость проживания, руб./сут.. </w:t>
              <w:br/>
              <w:t>(без НДС)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командировок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Кол-во командированных человек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Итого стоимость командировочных расходов, руб. </w:t>
              <w:br/>
              <w:t>(без НДС)</w:t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2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 пункта 1 в пункт 5</w:t>
            </w:r>
          </w:p>
        </w:tc>
      </w:tr>
      <w:tr>
        <w:trPr/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 пункта 1 в пункт 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  <w:tr>
        <w:trPr/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 пункта 2 в пункт 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  <w:tr>
        <w:trPr/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</w:tr>
      <w:tr>
        <w:trPr/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 пункта 4 в пункт 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Итого стоимость командировочных расходов из пункта 1 в пункт 5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  <w:tr>
        <w:trPr>
          <w:trHeight w:val="217" w:hRule="atLeast"/>
        </w:trPr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020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 пункта 5 в пункт 1</w:t>
            </w:r>
          </w:p>
        </w:tc>
      </w:tr>
      <w:tr>
        <w:trPr/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 пункта 5 в пункт 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  <w:tr>
        <w:trPr/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 пункта 4 в пункт 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  <w:tr>
        <w:trPr/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…</w:t>
            </w:r>
          </w:p>
        </w:tc>
      </w:tr>
      <w:tr>
        <w:trPr/>
        <w:tc>
          <w:tcPr>
            <w:tcW w:w="5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Из пункта 2 в пункт 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Итого стоимость командировочных расходов из пункта 5 в пункт 1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  <w:tr>
        <w:trPr/>
        <w:tc>
          <w:tcPr>
            <w:tcW w:w="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86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Всего стоимость командировочных расходов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6373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ind w:left="6373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ind w:left="6373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ind w:left="6373" w:hanging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Составил:________/должность,организация/_______/подпись/___________/расшифровка подписи/</w:t>
      </w:r>
    </w:p>
    <w:p>
      <w:pPr>
        <w:pStyle w:val="Normal"/>
        <w:shd w:val="clear" w:color="auto" w:fill="FFFFFF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Проверил:_________/должность, организация/_________/подпись/_________/расшифровка подписи/</w:t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color w:val="000000"/>
          <w:sz w:val="20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 xml:space="preserve">Приложение № 3 </w:t>
      </w:r>
    </w:p>
    <w:p>
      <w:pPr>
        <w:pStyle w:val="Normal"/>
        <w:spacing w:lineRule="auto" w:line="240" w:before="0" w:after="0"/>
        <w:ind w:left="5811" w:firstLine="142"/>
        <w:jc w:val="right"/>
        <w:rPr>
          <w:rFonts w:ascii="Times New Roman" w:hAnsi="Times New Roman"/>
          <w:b/>
          <w:color w:val="000000"/>
          <w:sz w:val="20"/>
          <w:szCs w:val="24"/>
        </w:rPr>
      </w:pPr>
      <w:r>
        <w:rPr>
          <w:rFonts w:ascii="Times New Roman" w:hAnsi="Times New Roman"/>
          <w:color w:val="000000"/>
          <w:sz w:val="20"/>
          <w:szCs w:val="24"/>
        </w:rPr>
        <w:t>к Требованиям</w:t>
      </w:r>
      <w:bookmarkStart w:id="38" w:name="_GoBack"/>
      <w:bookmarkEnd w:id="38"/>
      <w:r>
        <w:rPr>
          <w:rFonts w:ascii="Times New Roman" w:hAnsi="Times New Roman"/>
          <w:color w:val="000000"/>
          <w:sz w:val="20"/>
          <w:szCs w:val="24"/>
        </w:rPr>
        <w:t xml:space="preserve"> к оформлению и составлению документации по ценообразованию</w:t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Пример расчета единого индекса-дефлятора к  договору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center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 соответствии с условиями Договора начало строительства – сентябрь 2024г, окончание декабрь 2025 г. Продолжительность реконструкции / строительства составляет – 16 месяцев. Сметная документация составлена с применением СНБ – ГЭСН-2020, ФЕР – 2020 (с изм 1-9).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Доля сметной стоимости в 2024 году – 0,25 (4 мес. из 16). 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Доля сметной стоимости в 2025 году - 0,75 (12 мес. из 16).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Годовой индекс инфляции по данным Министерства экономического развития (письмо от __.__.20__г №_____ «__________________»): 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на 2024г. - 114,6%, 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 2025г. – 107,0%: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Ежемесячный индекс-инфляции: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rPr>
          <w:rFonts w:ascii="Times New Roman" w:hAnsi="Times New Roman"/>
          <w:sz w:val="22"/>
        </w:rPr>
      </w:pPr>
      <w:r>
        <w:rPr/>
        <mc:AlternateContent>
          <mc:Choice Requires="wps">
            <w:drawing>
              <wp:inline distT="0" distB="0" distL="0" distR="0" wp14:anchorId="1CDB7023">
                <wp:extent cx="2303780" cy="228600"/>
                <wp:effectExtent l="0" t="0" r="0" b="0"/>
                <wp:docPr id="2" name="Text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640" cy="228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after="0"/>
                              <w:rPr/>
                            </w:pPr>
                            <w:r>
                              <w:rPr/>
                            </w:r>
                            <m:oMath xmlns:m="http://schemas.openxmlformats.org/officeDocument/2006/math">
                              <m:r>
                                <w:rPr>
                                  <w:rFonts w:ascii="Cambria Math" w:hAnsi="Cambria Math"/>
                                </w:rPr>
                                <m:t xml:space="preserve">Иинфмес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 xml:space="preserve">2024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 xml:space="preserve">=</m:t>
                              </m:r>
                              <m:rad>
                                <m:deg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12</m:t>
                                  </m:r>
                                </m:deg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1.146</m:t>
                                  </m:r>
                                </m:e>
                              </m:rad>
                              <m:r>
                                <w:rPr>
                                  <w:rFonts w:ascii="Cambria Math" w:hAnsi="Cambria Math"/>
                                </w:rPr>
                                <m:t xml:space="preserve">=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 xml:space="preserve">1,0114</m:t>
                              </m:r>
                            </m:oMath>
                            <w:r>
                              <w:rPr>
                                <w:iCs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shape_0" ID="TextBox 3" path="m0,0l-2147483645,0l-2147483645,-2147483646l0,-2147483646xe" stroked="f" o:allowincell="f" style="position:absolute;margin-left:0pt;margin-top:-18.05pt;width:181.35pt;height:17.95pt;mso-wrap-style:square;v-text-anchor:top;mso-position-vertical:top" wp14:anchorId="1CDB7023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Web"/>
                        <w:spacing w:before="0" w:after="0"/>
                        <w:rPr/>
                      </w:pPr>
                      <w:r>
                        <w:rPr/>
                      </w:r>
                      <m:oMath xmlns:m="http://schemas.openxmlformats.org/officeDocument/2006/math">
                        <m:r>
                          <w:rPr>
                            <w:rFonts w:ascii="Cambria Math" w:hAnsi="Cambria Math"/>
                          </w:rPr>
                          <m:t xml:space="preserve">Иинфмес</m:t>
                        </m:r>
                        <m:r>
                          <w:rPr>
                            <w:rFonts w:ascii="Cambria Math" w:hAnsi="Cambria Math"/>
                          </w:rPr>
                          <m:t xml:space="preserve">2024</m:t>
                        </m:r>
                        <m:r>
                          <w:rPr>
                            <w:rFonts w:ascii="Cambria Math" w:hAnsi="Cambria Math"/>
                          </w:rPr>
                          <m:t xml:space="preserve">=</m:t>
                        </m:r>
                        <m:rad>
                          <m:deg>
                            <m:r>
                              <w:rPr>
                                <w:rFonts w:ascii="Cambria Math" w:hAnsi="Cambria Math"/>
                              </w:rPr>
                              <m:t xml:space="preserve">12</m:t>
                            </m:r>
                          </m:deg>
                          <m:e>
                            <m:r>
                              <w:rPr>
                                <w:rFonts w:ascii="Cambria Math" w:hAnsi="Cambria Math"/>
                              </w:rPr>
                              <m:t xml:space="preserve">1.146</m:t>
                            </m:r>
                          </m:e>
                        </m:rad>
                        <m:r>
                          <w:rPr>
                            <w:rFonts w:ascii="Cambria Math" w:hAnsi="Cambria Math"/>
                          </w:rPr>
                          <m:t xml:space="preserve">=</m:t>
                        </m:r>
                        <m:r>
                          <w:rPr>
                            <w:rFonts w:ascii="Cambria Math" w:hAnsi="Cambria Math"/>
                          </w:rPr>
                          <m:t xml:space="preserve">1,0114</m:t>
                        </m:r>
                      </m:oMath>
                      <w:r>
                        <w:rPr>
                          <w:iCs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iCs/>
                          <w:color w:val="000000" w:themeColor="text1"/>
                          <w:sz w:val="28"/>
                          <w:szCs w:val="28"/>
                        </w:rPr>
                        <w:t>,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ConsPlusNormal1"/>
        <w:widowControl/>
        <w:tabs>
          <w:tab w:val="clear" w:pos="709"/>
          <w:tab w:val="left" w:pos="993" w:leader="none"/>
        </w:tabs>
        <w:ind w:hanging="0"/>
        <w:rPr>
          <w:rFonts w:ascii="Cambria Math" w:hAnsi="Cambria Math" w:eastAsia="Arial Unicode MS" w:cs="" w:cstheme="minorBidi"/>
          <w:i/>
          <w:i/>
          <w:color w:val="000000" w:themeColor="text1"/>
          <w:spacing w:val="2"/>
          <w:sz w:val="24"/>
          <w:szCs w:val="24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Иинфмес</m:t>
        </m:r>
        <m:r>
          <w:rPr>
            <w:rFonts w:ascii="Cambria Math" w:hAnsi="Cambria Math"/>
          </w:rPr>
          <m:t xml:space="preserve">2025</m:t>
        </m:r>
        <m:r>
          <w:rPr>
            <w:rFonts w:ascii="Cambria Math" w:hAnsi="Cambria Math"/>
          </w:rPr>
          <m:t xml:space="preserve">=</m:t>
        </m:r>
        <m:rad>
          <m:deg>
            <m:r>
              <w:rPr>
                <w:rFonts w:ascii="Cambria Math" w:hAnsi="Cambria Math"/>
              </w:rPr>
              <m:t xml:space="preserve">12</m:t>
            </m:r>
          </m:deg>
          <m:e>
            <m:r>
              <w:rPr>
                <w:rFonts w:ascii="Cambria Math" w:hAnsi="Cambria Math"/>
              </w:rPr>
              <m:t xml:space="preserve">1.07</m:t>
            </m:r>
          </m:e>
        </m:ra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1,0057</m:t>
        </m:r>
      </m:oMath>
      <w:r>
        <w:rPr>
          <w:rFonts w:eastAsia="Arial Unicode MS" w:cs="" w:ascii="Cambria Math" w:hAnsi="Cambria Math" w:cstheme="minorBidi"/>
          <w:i/>
          <w:color w:val="000000" w:themeColor="text1"/>
          <w:spacing w:val="2"/>
          <w:sz w:val="24"/>
          <w:szCs w:val="24"/>
        </w:rPr>
        <w:t>,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jc w:val="center"/>
        <w:rPr>
          <w:rFonts w:ascii="Cambria Math" w:hAnsi="Cambria Math" w:eastAsia="Arial Unicode MS" w:cs="" w:cstheme="minorBidi"/>
          <w:i/>
          <w:i/>
          <w:color w:val="000000" w:themeColor="text1"/>
          <w:spacing w:val="2"/>
          <w:sz w:val="24"/>
          <w:szCs w:val="24"/>
        </w:rPr>
      </w:pPr>
      <w:r>
        <w:rPr>
          <w:rFonts w:eastAsia="Arial Unicode MS" w:cs="" w:cstheme="minorBidi" w:ascii="Cambria Math" w:hAnsi="Cambria Math"/>
          <w:i/>
          <w:color w:val="000000" w:themeColor="text1"/>
          <w:spacing w:val="2"/>
          <w:sz w:val="24"/>
          <w:szCs w:val="24"/>
        </w:rPr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Индекс-инфляции на период исполнения договора: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mc:AlternateContent>
          <mc:Choice Requires="wps">
            <w:drawing>
              <wp:anchor behindDoc="0" distT="0" distB="0" distL="0" distR="0" simplePos="0" locked="0" layoutInCell="0" allowOverlap="1" relativeHeight="6" wp14:anchorId="572F0490">
                <wp:simplePos x="0" y="0"/>
                <wp:positionH relativeFrom="column">
                  <wp:posOffset>41910</wp:posOffset>
                </wp:positionH>
                <wp:positionV relativeFrom="paragraph">
                  <wp:posOffset>8890</wp:posOffset>
                </wp:positionV>
                <wp:extent cx="3253740" cy="403860"/>
                <wp:effectExtent l="0" t="0" r="0" b="0"/>
                <wp:wrapNone/>
                <wp:docPr id="4" name="Text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3680" cy="403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after="0"/>
                              <w:ind w:left="-567" w:hanging="0"/>
                              <w:jc w:val="center"/>
                              <w:rPr/>
                            </w:pPr>
                            <w:r>
                              <w:rPr/>
                            </w:r>
                            <m:oMathPara xmlns:m="http://schemas.openxmlformats.org/officeDocument/2006/math">
                              <m:oMathParaPr>
                                <m:jc m:val="center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Иинфлпер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2024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=</m:t>
                                </m:r>
                                <m:d>
                                  <m:dPr>
                                    <m:begChr m:val="("/>
                                    <m:endChr m:val=")"/>
                                  </m:dPr>
                                  <m:e>
                                    <m:f>
                                      <m:num>
                                        <m:sSup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1,0114</m:t>
                                            </m:r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3</m:t>
                                            </m:r>
                                          </m:sup>
                                        </m:sSup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−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2</m:t>
                                        </m:r>
                                      </m:den>
                                    </m:f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 xml:space="preserve">+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1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=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1,0173</m:t>
                                </m:r>
                              </m:oMath>
                            </m:oMathPara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" path="m0,0l-2147483645,0l-2147483645,-2147483646l0,-2147483646xe" stroked="f" o:allowincell="f" style="position:absolute;margin-left:3.3pt;margin-top:0.7pt;width:256.15pt;height:31.75pt;mso-wrap-style:none;v-text-anchor:middle" wp14:anchorId="572F0490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Web"/>
                        <w:spacing w:before="0" w:after="0"/>
                        <w:ind w:left="-567" w:hanging="0"/>
                        <w:jc w:val="center"/>
                        <w:rPr/>
                      </w:pPr>
                      <w:r>
                        <w:rPr/>
                      </w:r>
                      <m:oMathPara xmlns:m="http://schemas.openxmlformats.org/officeDocument/2006/math">
                        <m:oMathParaPr>
                          <m:jc m:val="center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Иинфлпер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2024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=</m:t>
                          </m:r>
                          <m:d>
                            <m:dPr>
                              <m:begChr m:val="("/>
                              <m:endChr m:val=")"/>
                            </m:dPr>
                            <m:e>
                              <m:f>
                                <m:num>
                                  <m:sSup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1,0114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3</m:t>
                                      </m:r>
                                    </m:sup>
                                  </m:sSup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−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2</m:t>
                                  </m:r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 xml:space="preserve">+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1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=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1,0173</m:t>
                          </m:r>
                        </m:oMath>
                      </m:oMathPara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mc:AlternateContent>
          <mc:Choice Requires="wps">
            <w:drawing>
              <wp:anchor behindDoc="0" distT="0" distB="0" distL="0" distR="0" simplePos="0" locked="0" layoutInCell="0" allowOverlap="1" relativeHeight="8" wp14:anchorId="3A958F05">
                <wp:simplePos x="0" y="0"/>
                <wp:positionH relativeFrom="margin">
                  <wp:posOffset>233045</wp:posOffset>
                </wp:positionH>
                <wp:positionV relativeFrom="paragraph">
                  <wp:posOffset>125730</wp:posOffset>
                </wp:positionV>
                <wp:extent cx="3680460" cy="373380"/>
                <wp:effectExtent l="0" t="0" r="0" b="0"/>
                <wp:wrapNone/>
                <wp:docPr id="6" name="TextBox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0640" cy="3733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rmalWeb"/>
                              <w:spacing w:before="0" w:after="0"/>
                              <w:jc w:val="center"/>
                              <w:rPr/>
                            </w:pPr>
                            <w:r>
                              <w:rPr/>
                            </w:r>
                            <m:oMathPara xmlns:m="http://schemas.openxmlformats.org/officeDocument/2006/math">
                              <m:oMathParaPr>
                                <m:jc m:val="center"/>
                              </m:oMathParaPr>
                              <m:oMath>
                                <m:r>
                                  <w:rPr>
                                    <w:rFonts w:ascii="Cambria Math" w:hAnsi="Cambria Math"/>
                                  </w:rPr>
                                  <m:t xml:space="preserve">Иинфлпер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2025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=</m:t>
                                </m:r>
                                <m:sSup>
                                  <m:e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1,0114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/>
                                      </w:rPr>
                                      <m:t xml:space="preserve">3</m:t>
                                    </m:r>
                                  </m:sup>
                                </m:sSup>
                                <m:d>
                                  <m:dPr>
                                    <m:begChr m:val="("/>
                                    <m:endChr m:val=")"/>
                                  </m:dPr>
                                  <m:e>
                                    <m:f>
                                      <m:num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1,0057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+</m:t>
                                        </m:r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1,07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/>
                                          </w:rPr>
                                          <m:t xml:space="preserve">2</m:t>
                                        </m:r>
                                      </m:den>
                                    </m:f>
                                  </m:e>
                                </m:d>
                                <m:r>
                                  <w:rPr>
                                    <w:rFonts w:ascii="Cambria Math" w:hAnsi="Cambria Math"/>
                                  </w:rPr>
                                  <m:t xml:space="preserve">=</m:t>
                                </m:r>
                                <m:r>
                                  <w:rPr>
                                    <w:rFonts w:ascii="Cambria Math" w:hAnsi="Cambria Math"/>
                                  </w:rPr>
                                  <m:t xml:space="preserve">1,0738</m:t>
                                </m:r>
                              </m:oMath>
                            </m:oMathPara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4" path="m0,0l-2147483645,0l-2147483645,-2147483646l0,-2147483646xe" stroked="f" o:allowincell="f" style="position:absolute;margin-left:18.35pt;margin-top:9.9pt;width:289.75pt;height:29.35pt;mso-wrap-style:none;v-text-anchor:middle;mso-position-horizontal-relative:margin" wp14:anchorId="3A958F05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NormalWeb"/>
                        <w:spacing w:before="0" w:after="0"/>
                        <w:jc w:val="center"/>
                        <w:rPr/>
                      </w:pPr>
                      <w:r>
                        <w:rPr/>
                      </w:r>
                      <m:oMathPara xmlns:m="http://schemas.openxmlformats.org/officeDocument/2006/math">
                        <m:oMathParaPr>
                          <m:jc m:val="center"/>
                        </m:oMathParaPr>
                        <m:oMath>
                          <m:r>
                            <w:rPr>
                              <w:rFonts w:ascii="Cambria Math" w:hAnsi="Cambria Math"/>
                            </w:rPr>
                            <m:t xml:space="preserve">Иинфлпер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2025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=</m:t>
                          </m:r>
                          <m:sSup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 xml:space="preserve">1,0114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 xml:space="preserve">3</m:t>
                              </m:r>
                            </m:sup>
                          </m:sSup>
                          <m:d>
                            <m:dPr>
                              <m:begChr m:val="("/>
                              <m:endChr m:val=")"/>
                            </m:dPr>
                            <m:e>
                              <m:f>
                                <m:num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1,0057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+</m:t>
                                  </m:r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1,07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</w:rPr>
                                    <m:t xml:space="preserve">2</m:t>
                                  </m:r>
                                </m:den>
                              </m:f>
                            </m:e>
                          </m:d>
                          <m:r>
                            <w:rPr>
                              <w:rFonts w:ascii="Cambria Math" w:hAnsi="Cambria Math"/>
                            </w:rPr>
                            <m:t xml:space="preserve">=</m:t>
                          </m:r>
                          <m:r>
                            <w:rPr>
                              <w:rFonts w:ascii="Cambria Math" w:hAnsi="Cambria Math"/>
                            </w:rPr>
                            <m:t xml:space="preserve">1,0738</m:t>
                          </m:r>
                        </m:oMath>
                      </m:oMathPara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Итого индекс-инфляции на 2024-2025гг. 0,25*1,0173+0,75*1,0738=1,0597</w:t>
      </w:r>
    </w:p>
    <w:p>
      <w:pPr>
        <w:pStyle w:val="ConsPlusNormal1"/>
        <w:widowControl/>
        <w:tabs>
          <w:tab w:val="clear" w:pos="709"/>
          <w:tab w:val="left" w:pos="993" w:leader="none"/>
        </w:tabs>
        <w:ind w:firstLine="426"/>
        <w:jc w:val="both"/>
        <w:rPr>
          <w:rFonts w:ascii="Times New Roman" w:hAnsi="Times New Roman"/>
          <w:sz w:val="22"/>
        </w:rPr>
      </w:pPr>
      <w:r>
        <w:rPr/>
        <w:drawing>
          <wp:inline distT="0" distB="0" distL="0" distR="0">
            <wp:extent cx="5930900" cy="3149600"/>
            <wp:effectExtent l="0" t="0" r="0" b="0"/>
            <wp:docPr id="8" name="Рисунок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2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0" t="8380" r="0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ConsPlusNormal1"/>
        <w:widowControl/>
        <w:tabs>
          <w:tab w:val="clear" w:pos="709"/>
          <w:tab w:val="left" w:pos="993" w:leader="none"/>
        </w:tabs>
        <w:ind w:left="-567"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Если договором предусмотрен график выполнения работ с разбивкой на этапы, индекс-дефлятор рассчитывается индивидуально для каждого этапа в соответствии с формулой 2  пункта 9 раздела 3.3.6 Методики (аналогично примеру расчета единого индекса-дефлятора к договору приложение 10).</w:t>
      </w:r>
    </w:p>
    <w:p>
      <w:pPr>
        <w:pStyle w:val="Normal"/>
        <w:spacing w:lineRule="auto" w:line="240" w:before="0" w:after="0"/>
        <w:rPr>
          <w:rFonts w:ascii="Times New Roman" w:hAnsi="Times New Roman"/>
          <w:szCs w:val="24"/>
        </w:rPr>
      </w:pPr>
      <w:r>
        <w:rPr/>
      </w:r>
    </w:p>
    <w:sectPr>
      <w:footerReference w:type="default" r:id="rId15"/>
      <w:footerReference w:type="first" r:id="rId16"/>
      <w:footnotePr>
        <w:numFmt w:val="decimal"/>
        <w:numRestart w:val="eachPage"/>
      </w:footnotePr>
      <w:type w:val="nextPage"/>
      <w:pgSz w:w="11906" w:h="16838"/>
      <w:pgMar w:left="1276" w:right="707" w:gutter="0" w:header="0" w:top="851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ambria Math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986022172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11563466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23</w:t>
    </w:r>
    <w:r>
      <w:rPr/>
      <w:fldChar w:fldCharType="end"/>
    </w:r>
  </w:p>
  <w:p>
    <w:pPr>
      <w:pStyle w:val="Footer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7418824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82474687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6174724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34578076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17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3"/>
        </w:rPr>
        <w:footnoteRef/>
      </w:r>
      <w:r>
        <w:rPr/>
        <w:t xml:space="preserve"> </w:t>
      </w:r>
      <w:r>
        <w:rPr/>
        <w:t xml:space="preserve">Пункт </w:t>
      </w:r>
      <w:r>
        <w:rPr/>
        <w:fldChar w:fldCharType="begin"/>
      </w:r>
      <w:r>
        <w:rPr/>
        <w:instrText xml:space="preserve"> REF _Ref19086149 \r \h </w:instrText>
      </w:r>
      <w:r>
        <w:rPr/>
        <w:fldChar w:fldCharType="separate"/>
      </w:r>
      <w:r>
        <w:rPr/>
        <w:t>Ошибка: источник перекрёстной ссылки не найден</w:t>
      </w:r>
      <w:r>
        <w:rPr/>
        <w:fldChar w:fldCharType="end"/>
      </w:r>
      <w:r>
        <w:rPr/>
        <w:t xml:space="preserve"> учитывается при указании соответствующих услуг, предоставляемых ПАО «РусГидро» подрядным организациям в разделе технических требований «Иные условия поставки товаров, выполнения работ, оказания услуг».  </w:t>
      </w:r>
    </w:p>
  </w:footnote>
  <w:footnote w:id="3">
    <w:p>
      <w:pPr>
        <w:pStyle w:val="FootnoteText"/>
        <w:jc w:val="both"/>
        <w:rPr/>
      </w:pPr>
      <w:r>
        <w:rPr>
          <w:rStyle w:val="Style3"/>
        </w:rPr>
        <w:footnoteRef/>
      </w:r>
      <w:r>
        <w:rPr/>
        <w:t xml:space="preserve"> </w:t>
      </w:r>
      <w:r>
        <w:rPr/>
        <w:t xml:space="preserve">Стоимость электроэнергии определять в соответствии с рекомендациями, изложенными по ссылке </w:t>
      </w:r>
      <w:hyperlink r:id="rId1">
        <w:r>
          <w:rPr>
            <w:rStyle w:val="Hyperlink"/>
          </w:rPr>
          <w:t>http://grandsmeta82.ru/znaj-kak/grand-smeta-baza-znanij/109-raschet-zatrat-na-energonositeli-elektroenergiyu-toplivo-i-pr-v-grand-smete.html</w:t>
        </w:r>
      </w:hyperlink>
      <w:r>
        <w:rPr/>
        <w:t xml:space="preserve"> </w:t>
      </w:r>
    </w:p>
    <w:p>
      <w:pPr>
        <w:pStyle w:val="FootnoteText"/>
        <w:jc w:val="both"/>
        <w:rPr/>
      </w:pPr>
      <w:r>
        <w:rPr/>
      </w:r>
    </w:p>
  </w:footnote>
  <w:footnote w:id="4">
    <w:p>
      <w:pPr>
        <w:pStyle w:val="Normal"/>
        <w:jc w:val="both"/>
        <w:rPr>
          <w:rFonts w:ascii="Times New Roman" w:hAnsi="Times New Roman"/>
          <w:szCs w:val="24"/>
        </w:rPr>
      </w:pPr>
      <w:r>
        <w:rPr>
          <w:rStyle w:val="Style3"/>
        </w:rPr>
        <w:footnoteRef/>
      </w:r>
      <w:r>
        <w:rPr/>
        <w:t xml:space="preserve"> </w:t>
      </w:r>
      <w:r>
        <w:rPr>
          <w:rFonts w:eastAsia="Calibri" w:ascii="Times New Roman" w:hAnsi="Times New Roman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rFonts w:ascii="Times New Roman" w:hAnsi="Times New Roman"/>
          <w:szCs w:val="24"/>
        </w:rPr>
        <w:t xml:space="preserve"> </w:t>
      </w:r>
    </w:p>
    <w:p>
      <w:pPr>
        <w:pStyle w:val="FootnoteText"/>
        <w:rPr/>
      </w:pPr>
      <w:r>
        <w:rPr/>
      </w:r>
    </w:p>
  </w:footnote>
  <w:footnote w:id="5">
    <w:p>
      <w:pPr>
        <w:pStyle w:val="FootnoteText"/>
        <w:rPr/>
      </w:pPr>
      <w:r>
        <w:rPr>
          <w:rStyle w:val="Style3"/>
        </w:rPr>
        <w:footnoteRef/>
      </w:r>
      <w:r>
        <w:rPr/>
        <w:t xml:space="preserve"> </w:t>
      </w:r>
      <w:r>
        <w:rPr/>
        <w:t>Если в организации функции главного бухгалтера выполняет генеральный директор–ставится только его виза.</w:t>
      </w:r>
    </w:p>
    <w:p>
      <w:pPr>
        <w:pStyle w:val="FootnoteText"/>
        <w:rPr/>
      </w:pPr>
      <w:r>
        <w:rPr/>
        <w:t>Возможно предоставление иной формы справки в соответствии с внутренним документооборотом организации.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/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/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false"/>
        <w:rFonts w:ascii="Garamond" w:hAnsi="Garamond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73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eastAsia="Calibri" w:cs="Times New Roman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724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942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738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316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534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752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2"/>
        <w:i w:val="false"/>
        <w:b w:val="false"/>
        <w:szCs w:val="22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sz w:val="22"/>
        <w:b w:val="false"/>
        <w:szCs w:val="22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0"/>
        </w:tabs>
        <w:ind w:left="347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9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01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45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7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614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97"/>
        </w:tabs>
        <w:ind w:left="0" w:hanging="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284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4">
    <w:lvl w:ilvl="0">
      <w:start w:val="1"/>
      <w:numFmt w:val="decimal"/>
      <w:lvlText w:val="ГЛАВА %1."/>
      <w:lvlJc w:val="center"/>
      <w:pPr>
        <w:tabs>
          <w:tab w:val="num" w:pos="360"/>
        </w:tabs>
        <w:ind w:left="0" w:firstLine="288"/>
      </w:pPr>
      <w:rPr>
        <w:i w:val="fals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0" w:firstLine="851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851"/>
      </w:pPr>
      <w:rPr>
        <w:sz w:val="28"/>
        <w:b w:val="false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851" w:hanging="0"/>
      </w:pPr>
      <w:rPr/>
    </w:lvl>
    <w:lvl w:ilvl="4">
      <w:start w:val="1"/>
      <w:numFmt w:val="decimal"/>
      <w:lvlText w:val="%5)"/>
      <w:lvlJc w:val="left"/>
      <w:pPr>
        <w:tabs>
          <w:tab w:val="num" w:pos="1844"/>
        </w:tabs>
        <w:ind w:left="1560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russianLower"/>
      <w:lvlText w:val="%6)"/>
      <w:lvlJc w:val="left"/>
      <w:pPr>
        <w:tabs>
          <w:tab w:val="num" w:pos="1871"/>
        </w:tabs>
        <w:ind w:left="1418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b w:val="false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false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footnotePr>
    <w:numFmt w:val="decimal"/>
    <w:numRestart w:val="eachPage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 w:qFormat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bb18d9"/>
    <w:pPr>
      <w:keepNext w:val="true"/>
      <w:keepLines/>
      <w:spacing w:lineRule="auto" w:line="240"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745f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qFormat/>
    <w:rsid w:val="00bb18d9"/>
    <w:pPr>
      <w:keepNext w:val="true"/>
      <w:keepLines/>
      <w:spacing w:lineRule="auto" w:line="240"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bb18d9"/>
    <w:pPr>
      <w:keepNext w:val="true"/>
      <w:keepLines/>
      <w:spacing w:lineRule="auto" w:line="240"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5"/>
    <w:uiPriority w:val="9"/>
    <w:qFormat/>
    <w:rsid w:val="00bb18d9"/>
    <w:pPr>
      <w:keepNext w:val="true"/>
      <w:keepLines/>
      <w:spacing w:lineRule="auto" w:line="240"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rsid w:val="00bb18d9"/>
    <w:pPr>
      <w:keepNext w:val="true"/>
      <w:keepLines/>
      <w:spacing w:lineRule="auto" w:line="240"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bb18d9"/>
    <w:pPr>
      <w:keepNext w:val="true"/>
      <w:keepLines/>
      <w:spacing w:lineRule="auto" w:line="240"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bb18d9"/>
    <w:pPr>
      <w:keepNext w:val="true"/>
      <w:keepLines/>
      <w:spacing w:lineRule="auto" w:line="240"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bb18d9"/>
    <w:pPr>
      <w:keepNext w:val="true"/>
      <w:keepLines/>
      <w:spacing w:lineRule="auto" w:line="240"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qFormat/>
    <w:rsid w:val="00cb04da"/>
    <w:rPr>
      <w:sz w:val="16"/>
      <w:szCs w:val="16"/>
    </w:rPr>
  </w:style>
  <w:style w:type="character" w:styleId="Style" w:customStyle="1">
    <w:name w:val="Текст примечания Знак"/>
    <w:link w:val="Annotationtext"/>
    <w:qFormat/>
    <w:rsid w:val="00cb04d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Текст выноски Знак"/>
    <w:link w:val="BalloonText"/>
    <w:uiPriority w:val="99"/>
    <w:semiHidden/>
    <w:qFormat/>
    <w:rsid w:val="00cb04da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uiPriority w:val="9"/>
    <w:qFormat/>
    <w:rsid w:val="00d4745f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Hyperlink">
    <w:name w:val="Hyperlink"/>
    <w:rsid w:val="00d4745f"/>
    <w:rPr>
      <w:color w:val="0000FF"/>
      <w:u w:val="single"/>
    </w:rPr>
  </w:style>
  <w:style w:type="character" w:styleId="Apple-style-span" w:customStyle="1">
    <w:name w:val="apple-style-span"/>
    <w:basedOn w:val="DefaultParagraphFont"/>
    <w:qFormat/>
    <w:rsid w:val="00b4339d"/>
    <w:rPr/>
  </w:style>
  <w:style w:type="character" w:styleId="Apple-converted-space" w:customStyle="1">
    <w:name w:val="apple-converted-space"/>
    <w:basedOn w:val="DefaultParagraphFont"/>
    <w:qFormat/>
    <w:rsid w:val="00b4339d"/>
    <w:rPr/>
  </w:style>
  <w:style w:type="character" w:styleId="Style2" w:customStyle="1">
    <w:name w:val="Текст сноски Знак"/>
    <w:uiPriority w:val="99"/>
    <w:qFormat/>
    <w:rsid w:val="0080406e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3" w:customStyle="1">
    <w:name w:val="Символ сноски"/>
    <w:uiPriority w:val="99"/>
    <w:unhideWhenUsed/>
    <w:qFormat/>
    <w:rsid w:val="0080406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Подпункт Знак1"/>
    <w:link w:val="Style26"/>
    <w:qFormat/>
    <w:locked/>
    <w:rsid w:val="00192f26"/>
    <w:rPr>
      <w:rFonts w:ascii="Times New Roman" w:hAnsi="Times New Roman"/>
      <w:b/>
      <w:sz w:val="28"/>
    </w:rPr>
  </w:style>
  <w:style w:type="character" w:styleId="Style4" w:customStyle="1">
    <w:name w:val="Верхний колонтитул Знак"/>
    <w:basedOn w:val="DefaultParagraphFont"/>
    <w:uiPriority w:val="99"/>
    <w:qFormat/>
    <w:rsid w:val="00ff6229"/>
    <w:rPr/>
  </w:style>
  <w:style w:type="character" w:styleId="Style5" w:customStyle="1">
    <w:name w:val="Нижний колонтитул Знак"/>
    <w:basedOn w:val="DefaultParagraphFont"/>
    <w:uiPriority w:val="99"/>
    <w:qFormat/>
    <w:rsid w:val="00ff6229"/>
    <w:rPr/>
  </w:style>
  <w:style w:type="character" w:styleId="Linenumber">
    <w:name w:val="line number"/>
    <w:basedOn w:val="DefaultParagraphFont"/>
    <w:uiPriority w:val="99"/>
    <w:semiHidden/>
    <w:unhideWhenUsed/>
    <w:qFormat/>
    <w:rsid w:val="00ff6229"/>
    <w:rPr/>
  </w:style>
  <w:style w:type="character" w:styleId="Style6" w:customStyle="1">
    <w:name w:val="Схема документа Знак"/>
    <w:link w:val="DocumentMap"/>
    <w:uiPriority w:val="99"/>
    <w:semiHidden/>
    <w:qFormat/>
    <w:rsid w:val="0040689f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uiPriority w:val="9"/>
    <w:qFormat/>
    <w:rsid w:val="00bb18d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3" w:customStyle="1">
    <w:name w:val="Заголовок 3 Знак"/>
    <w:uiPriority w:val="9"/>
    <w:qFormat/>
    <w:rsid w:val="00bb18d9"/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styleId="4" w:customStyle="1">
    <w:name w:val="Заголовок 4 Знак"/>
    <w:uiPriority w:val="9"/>
    <w:qFormat/>
    <w:rsid w:val="00bb18d9"/>
    <w:rPr>
      <w:rFonts w:ascii="Cambria" w:hAnsi="Cambria" w:eastAsia="Times New Roman" w:cs="Times New Roman"/>
      <w:b/>
      <w:bCs/>
      <w:i/>
      <w:iCs/>
      <w:color w:val="4F81BD"/>
      <w:sz w:val="20"/>
      <w:szCs w:val="20"/>
    </w:rPr>
  </w:style>
  <w:style w:type="character" w:styleId="5" w:customStyle="1">
    <w:name w:val="Заголовок 5 Знак"/>
    <w:uiPriority w:val="9"/>
    <w:qFormat/>
    <w:rsid w:val="00bb18d9"/>
    <w:rPr>
      <w:rFonts w:ascii="Cambria" w:hAnsi="Cambria" w:eastAsia="Times New Roman" w:cs="Times New Roman"/>
      <w:color w:val="243F60"/>
      <w:sz w:val="20"/>
      <w:szCs w:val="20"/>
    </w:rPr>
  </w:style>
  <w:style w:type="character" w:styleId="6" w:customStyle="1">
    <w:name w:val="Заголовок 6 Знак"/>
    <w:uiPriority w:val="9"/>
    <w:qFormat/>
    <w:rsid w:val="00bb18d9"/>
    <w:rPr>
      <w:rFonts w:ascii="Cambria" w:hAnsi="Cambria" w:eastAsia="Times New Roman" w:cs="Times New Roman"/>
      <w:i/>
      <w:iCs/>
      <w:color w:val="243F60"/>
      <w:sz w:val="20"/>
      <w:szCs w:val="20"/>
    </w:rPr>
  </w:style>
  <w:style w:type="character" w:styleId="7" w:customStyle="1">
    <w:name w:val="Заголовок 7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" w:customStyle="1">
    <w:name w:val="Заголовок 8 Знак"/>
    <w:uiPriority w:val="9"/>
    <w:qFormat/>
    <w:rsid w:val="00bb18d9"/>
    <w:rPr>
      <w:rFonts w:ascii="Cambria" w:hAnsi="Cambria" w:eastAsia="Times New Roman" w:cs="Times New Roman"/>
      <w:color w:val="4F81BD"/>
      <w:sz w:val="20"/>
      <w:szCs w:val="20"/>
    </w:rPr>
  </w:style>
  <w:style w:type="character" w:styleId="9" w:customStyle="1">
    <w:name w:val="Заголовок 9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Style7" w:customStyle="1">
    <w:name w:val="Название Знак"/>
    <w:link w:val="15"/>
    <w:uiPriority w:val="10"/>
    <w:qFormat/>
    <w:rsid w:val="00bb18d9"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8" w:customStyle="1">
    <w:name w:val="Подзаголовок Знак"/>
    <w:uiPriority w:val="11"/>
    <w:qFormat/>
    <w:rsid w:val="00bb18d9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bb18d9"/>
    <w:rPr>
      <w:b/>
      <w:bCs/>
    </w:rPr>
  </w:style>
  <w:style w:type="character" w:styleId="Emphasis">
    <w:name w:val="Emphasis"/>
    <w:uiPriority w:val="20"/>
    <w:qFormat/>
    <w:rsid w:val="00bb18d9"/>
    <w:rPr>
      <w:i/>
      <w:iCs/>
    </w:rPr>
  </w:style>
  <w:style w:type="character" w:styleId="21" w:customStyle="1">
    <w:name w:val="Цитата 2 Знак"/>
    <w:link w:val="Quote"/>
    <w:uiPriority w:val="29"/>
    <w:qFormat/>
    <w:rsid w:val="00bb18d9"/>
    <w:rPr>
      <w:rFonts w:ascii="Calibri" w:hAnsi="Calibri" w:eastAsia="Calibri" w:cs="Times New Roman"/>
      <w:i/>
      <w:iCs/>
      <w:color w:val="000000"/>
      <w:sz w:val="20"/>
      <w:szCs w:val="20"/>
    </w:rPr>
  </w:style>
  <w:style w:type="character" w:styleId="Style9" w:customStyle="1">
    <w:name w:val="Выделенная цитата Знак"/>
    <w:link w:val="IntenseQuote"/>
    <w:uiPriority w:val="30"/>
    <w:qFormat/>
    <w:rsid w:val="00bb18d9"/>
    <w:rPr>
      <w:rFonts w:ascii="Calibri" w:hAnsi="Calibri" w:eastAsia="Calibri" w:cs="Times New Roman"/>
      <w:b/>
      <w:bCs/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bb18d9"/>
    <w:rPr>
      <w:i/>
      <w:iCs/>
      <w:color w:val="808080"/>
    </w:rPr>
  </w:style>
  <w:style w:type="character" w:styleId="IntenseEmphasis">
    <w:name w:val="Intense Emphasis"/>
    <w:uiPriority w:val="21"/>
    <w:qFormat/>
    <w:rsid w:val="00bb18d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bb18d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bb18d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bb18d9"/>
    <w:rPr>
      <w:b/>
      <w:bCs/>
      <w:smallCaps/>
      <w:spacing w:val="5"/>
    </w:rPr>
  </w:style>
  <w:style w:type="character" w:styleId="Style10" w:customStyle="1">
    <w:name w:val="Электронная подпись Знак"/>
    <w:link w:val="E-mailSignature"/>
    <w:uiPriority w:val="99"/>
    <w:semiHidden/>
    <w:qFormat/>
    <w:rsid w:val="00bb18d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1" w:customStyle="1">
    <w:name w:val="Тема примечания Знак"/>
    <w:link w:val="Annotationsubject"/>
    <w:semiHidden/>
    <w:qFormat/>
    <w:rsid w:val="00bb18d9"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Style12" w:customStyle="1">
    <w:name w:val="Основной текст с отступом Знак"/>
    <w:qFormat/>
    <w:rsid w:val="008757e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llowedHyperlink">
    <w:name w:val="FollowedHyperlink"/>
    <w:uiPriority w:val="99"/>
    <w:semiHidden/>
    <w:unhideWhenUsed/>
    <w:rsid w:val="00b211e3"/>
    <w:rPr>
      <w:color w:val="954F72"/>
      <w:u w:val="single"/>
    </w:rPr>
  </w:style>
  <w:style w:type="character" w:styleId="Style13" w:customStyle="1">
    <w:name w:val="Абзац списка Знак"/>
    <w:link w:val="ListParagraph"/>
    <w:uiPriority w:val="34"/>
    <w:qFormat/>
    <w:rsid w:val="00253374"/>
    <w:rPr>
      <w:sz w:val="22"/>
      <w:szCs w:val="22"/>
    </w:rPr>
  </w:style>
  <w:style w:type="character" w:styleId="61" w:customStyle="1">
    <w:name w:val="Основной текст (6)_"/>
    <w:basedOn w:val="DefaultParagraphFont"/>
    <w:link w:val="62"/>
    <w:qFormat/>
    <w:rsid w:val="00310980"/>
    <w:rPr>
      <w:rFonts w:ascii="Times New Roman" w:hAnsi="Times New Roman"/>
      <w:shd w:fill="FFFFFF" w:val="clear"/>
    </w:rPr>
  </w:style>
  <w:style w:type="character" w:styleId="Style14" w:customStyle="1">
    <w:name w:val="Колонтитул_"/>
    <w:basedOn w:val="DefaultParagraphFont"/>
    <w:link w:val="Style30"/>
    <w:qFormat/>
    <w:rsid w:val="006d08bc"/>
    <w:rPr>
      <w:rFonts w:ascii="Times New Roman" w:hAnsi="Times New Roman"/>
      <w:shd w:fill="FFFFFF" w:val="clear"/>
    </w:rPr>
  </w:style>
  <w:style w:type="character" w:styleId="Style15" w:customStyle="1">
    <w:name w:val="комментарий"/>
    <w:qFormat/>
    <w:rsid w:val="008d2ec1"/>
    <w:rPr>
      <w:b/>
      <w:i/>
      <w:shd w:fill="FFFF99" w:val="clear"/>
    </w:rPr>
  </w:style>
  <w:style w:type="character" w:styleId="ConsPlusNormal" w:customStyle="1">
    <w:name w:val="ConsPlusNormal Знак"/>
    <w:link w:val="ConsPlusNormal1"/>
    <w:qFormat/>
    <w:rsid w:val="00170c47"/>
    <w:rPr>
      <w:rFonts w:ascii="Arial" w:hAnsi="Arial" w:cs="Arial"/>
    </w:rPr>
  </w:style>
  <w:style w:type="character" w:styleId="12" w:customStyle="1">
    <w:name w:val="Абзац списка Знак1"/>
    <w:basedOn w:val="DefaultParagraphFont"/>
    <w:uiPriority w:val="34"/>
    <w:qFormat/>
    <w:rsid w:val="00a270f3"/>
    <w:rPr>
      <w:rFonts w:ascii="Calibri" w:hAnsi="Calibri"/>
      <w:sz w:val="22"/>
    </w:rPr>
  </w:style>
  <w:style w:type="character" w:styleId="1113" w:customStyle="1">
    <w:name w:val="РГ_1.1.1_3 Знак"/>
    <w:link w:val="11131"/>
    <w:qFormat/>
    <w:rsid w:val="00ca2697"/>
    <w:rPr>
      <w:rFonts w:ascii="Times New Roman" w:hAnsi="Times New Roman"/>
      <w:sz w:val="28"/>
      <w:szCs w:val="28"/>
    </w:rPr>
  </w:style>
  <w:style w:type="character" w:styleId="Style16" w:customStyle="1">
    <w:name w:val="РГ_текст табл Знак"/>
    <w:basedOn w:val="DefaultParagraphFont"/>
    <w:link w:val="Style35"/>
    <w:qFormat/>
    <w:rsid w:val="00ca2697"/>
    <w:rPr>
      <w:rFonts w:ascii="Calibri" w:hAnsi="Calibri" w:eastAsia="Calibri" w:cs="Calibri" w:asciiTheme="minorHAnsi" w:cstheme="minorHAnsi" w:hAnsiTheme="minorHAnsi"/>
      <w:sz w:val="24"/>
      <w:szCs w:val="24"/>
      <w:lang w:eastAsia="en-US"/>
    </w:rPr>
  </w:style>
  <w:style w:type="character" w:styleId="Style17" w:customStyle="1">
    <w:name w:val="РГ_номер текста табл Знак"/>
    <w:basedOn w:val="12"/>
    <w:link w:val="Style36"/>
    <w:qFormat/>
    <w:rsid w:val="00ca2697"/>
    <w:rPr>
      <w:rFonts w:ascii="Calibri" w:hAnsi="Calibri" w:eastAsia="Calibri" w:cs="Calibri" w:asciiTheme="minorHAnsi" w:cstheme="minorHAnsi" w:hAnsiTheme="minorHAnsi"/>
      <w:sz w:val="24"/>
      <w:szCs w:val="22"/>
      <w:lang w:eastAsia="en-US"/>
    </w:rPr>
  </w:style>
  <w:style w:type="character" w:styleId="111" w:customStyle="1">
    <w:name w:val="1.1. таблица Знак"/>
    <w:basedOn w:val="Style17"/>
    <w:link w:val="113"/>
    <w:qFormat/>
    <w:rsid w:val="00ca2697"/>
    <w:rPr>
      <w:rFonts w:ascii="Calibri" w:hAnsi="Calibri" w:eastAsia="Calibri" w:cs="Calibri" w:asciiTheme="minorHAnsi" w:cstheme="minorHAnsi" w:hAnsiTheme="minorHAnsi"/>
      <w:sz w:val="24"/>
      <w:szCs w:val="22"/>
      <w:lang w:eastAsia="en-US"/>
    </w:rPr>
  </w:style>
  <w:style w:type="character" w:styleId="11114" w:customStyle="1">
    <w:name w:val="РГ_1.1.1.1._4 Знак"/>
    <w:link w:val="111141"/>
    <w:qFormat/>
    <w:rsid w:val="00e9474d"/>
    <w:rPr>
      <w:rFonts w:ascii="Times New Roman" w:hAnsi="Times New Roman"/>
      <w:sz w:val="28"/>
      <w:szCs w:val="28"/>
    </w:rPr>
  </w:style>
  <w:style w:type="character" w:styleId="Style18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WW8Num1z1" w:customStyle="1">
    <w:name w:val="WW8Num1z1"/>
    <w:qFormat/>
    <w:rsid w:val="00966c04"/>
    <w:rPr>
      <w:rFonts w:ascii="OpenSymbol" w:hAnsi="OpenSymbol" w:cs="OpenSymbol"/>
    </w:rPr>
  </w:style>
  <w:style w:type="character" w:styleId="Style19" w:customStyle="1">
    <w:name w:val="Маркеры"/>
    <w:qFormat/>
    <w:rPr>
      <w:rFonts w:ascii="OpenSymbol" w:hAnsi="OpenSymbol" w:eastAsia="OpenSymbol" w:cs="OpenSymbol"/>
    </w:rPr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ListParagraph">
    <w:name w:val="List Paragraph"/>
    <w:basedOn w:val="Normal"/>
    <w:link w:val="Style13"/>
    <w:uiPriority w:val="34"/>
    <w:qFormat/>
    <w:rsid w:val="00141d91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Style"/>
    <w:qFormat/>
    <w:rsid w:val="00cb04da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Style1"/>
    <w:semiHidden/>
    <w:unhideWhenUsed/>
    <w:qFormat/>
    <w:rsid w:val="00cb04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 w:customStyle="1">
    <w:name w:val="Обычный+ без отступа"/>
    <w:basedOn w:val="Normal"/>
    <w:qFormat/>
    <w:rsid w:val="000a41f8"/>
    <w:pPr>
      <w:spacing w:lineRule="auto" w:line="360" w:before="120" w:after="0"/>
      <w:jc w:val="both"/>
    </w:pPr>
    <w:rPr>
      <w:rFonts w:ascii="Times New Roman" w:hAnsi="Times New Roman" w:eastAsia="MS Mincho"/>
      <w:sz w:val="28"/>
      <w:szCs w:val="28"/>
    </w:rPr>
  </w:style>
  <w:style w:type="paragraph" w:styleId="Style23" w:customStyle="1">
    <w:name w:val="Таблица шапка"/>
    <w:basedOn w:val="Normal"/>
    <w:qFormat/>
    <w:rsid w:val="008b7e3f"/>
    <w:pPr>
      <w:keepNext w:val="true"/>
      <w:spacing w:lineRule="auto" w:line="240" w:before="40" w:after="40"/>
      <w:ind w:left="57" w:right="57" w:hanging="0"/>
    </w:pPr>
    <w:rPr>
      <w:rFonts w:ascii="Times New Roman" w:hAnsi="Times New Roman"/>
      <w:sz w:val="18"/>
      <w:szCs w:val="18"/>
    </w:rPr>
  </w:style>
  <w:style w:type="paragraph" w:styleId="Style24" w:customStyle="1">
    <w:name w:val="Текст таблицы"/>
    <w:basedOn w:val="Normal"/>
    <w:qFormat/>
    <w:rsid w:val="008b7e3f"/>
    <w:pPr>
      <w:spacing w:lineRule="auto" w:line="240" w:before="40" w:after="40"/>
      <w:ind w:left="57" w:right="57" w:hanging="0"/>
    </w:pPr>
    <w:rPr>
      <w:rFonts w:ascii="Times New Roman" w:hAnsi="Times New Roman"/>
      <w:sz w:val="24"/>
      <w:szCs w:val="24"/>
    </w:rPr>
  </w:style>
  <w:style w:type="paragraph" w:styleId="Style25" w:customStyle="1">
    <w:name w:val="Пункт Знак"/>
    <w:basedOn w:val="Normal"/>
    <w:qFormat/>
    <w:rsid w:val="00112ebd"/>
    <w:pPr>
      <w:numPr>
        <w:ilvl w:val="1"/>
        <w:numId w:val="1"/>
      </w:numPr>
      <w:tabs>
        <w:tab w:val="clear" w:pos="709"/>
        <w:tab w:val="left" w:pos="851" w:leader="none"/>
        <w:tab w:val="left" w:pos="1134" w:leader="none"/>
      </w:tabs>
      <w:spacing w:lineRule="auto" w:line="360" w:before="0" w:after="0"/>
      <w:jc w:val="both"/>
    </w:pPr>
    <w:rPr>
      <w:rFonts w:ascii="Times New Roman" w:hAnsi="Times New Roman"/>
      <w:b/>
      <w:sz w:val="28"/>
      <w:szCs w:val="20"/>
    </w:rPr>
  </w:style>
  <w:style w:type="paragraph" w:styleId="Style26" w:customStyle="1">
    <w:name w:val="Подпункт"/>
    <w:basedOn w:val="Style25"/>
    <w:link w:val="1"/>
    <w:qFormat/>
    <w:rsid w:val="00b5006b"/>
    <w:pPr>
      <w:numPr>
        <w:ilvl w:val="2"/>
      </w:numPr>
      <w:tabs>
        <w:tab w:val="clear" w:pos="1134"/>
        <w:tab w:val="left" w:pos="851" w:leader="none"/>
      </w:tabs>
    </w:pPr>
    <w:rPr/>
  </w:style>
  <w:style w:type="paragraph" w:styleId="Style27" w:customStyle="1">
    <w:name w:val="Подподпункт"/>
    <w:basedOn w:val="Style26"/>
    <w:qFormat/>
    <w:rsid w:val="00b5006b"/>
    <w:pPr>
      <w:numPr>
        <w:ilvl w:val="3"/>
      </w:numPr>
      <w:tabs>
        <w:tab w:val="left" w:pos="851" w:leader="none"/>
        <w:tab w:val="left" w:pos="1134" w:leader="none"/>
        <w:tab w:val="left" w:pos="1418" w:leader="none"/>
      </w:tabs>
    </w:pPr>
    <w:rPr/>
  </w:style>
  <w:style w:type="paragraph" w:styleId="Style28" w:customStyle="1">
    <w:name w:val="Подподподпункт"/>
    <w:basedOn w:val="Normal"/>
    <w:qFormat/>
    <w:rsid w:val="00112ebd"/>
    <w:pPr>
      <w:numPr>
        <w:ilvl w:val="4"/>
        <w:numId w:val="1"/>
      </w:numPr>
      <w:tabs>
        <w:tab w:val="clear" w:pos="709"/>
        <w:tab w:val="left" w:pos="1134" w:leader="none"/>
        <w:tab w:val="left" w:pos="1701" w:leader="none"/>
      </w:tabs>
      <w:spacing w:lineRule="auto" w:line="360" w:before="0" w:after="0"/>
      <w:jc w:val="both"/>
    </w:pPr>
    <w:rPr>
      <w:rFonts w:ascii="Times New Roman" w:hAnsi="Times New Roman"/>
      <w:sz w:val="28"/>
      <w:szCs w:val="20"/>
    </w:rPr>
  </w:style>
  <w:style w:type="paragraph" w:styleId="13" w:customStyle="1">
    <w:name w:val="Пункт1"/>
    <w:basedOn w:val="Normal"/>
    <w:qFormat/>
    <w:rsid w:val="00b5006b"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  <w:sz w:val="28"/>
      <w:szCs w:val="28"/>
    </w:rPr>
  </w:style>
  <w:style w:type="paragraph" w:styleId="31" w:customStyle="1">
    <w:name w:val="Пункт_3"/>
    <w:basedOn w:val="Normal"/>
    <w:uiPriority w:val="99"/>
    <w:qFormat/>
    <w:rsid w:val="00112ebd"/>
    <w:pPr>
      <w:tabs>
        <w:tab w:val="clear" w:pos="709"/>
        <w:tab w:val="left" w:pos="1134" w:leader="none"/>
      </w:tabs>
      <w:spacing w:lineRule="auto" w:line="360" w:before="0" w:after="0"/>
      <w:ind w:left="1134" w:hanging="1133"/>
      <w:jc w:val="both"/>
    </w:pPr>
    <w:rPr>
      <w:rFonts w:ascii="Times New Roman" w:hAnsi="Times New Roman"/>
      <w:sz w:val="28"/>
      <w:szCs w:val="20"/>
    </w:rPr>
  </w:style>
  <w:style w:type="paragraph" w:styleId="TOC1">
    <w:name w:val="TOC 1"/>
    <w:basedOn w:val="Normal"/>
    <w:next w:val="Normal"/>
    <w:autoRedefine/>
    <w:uiPriority w:val="39"/>
    <w:rsid w:val="00b17e73"/>
    <w:pPr>
      <w:tabs>
        <w:tab w:val="clear" w:pos="709"/>
        <w:tab w:val="right" w:pos="9344" w:leader="dot"/>
      </w:tabs>
      <w:spacing w:lineRule="auto" w:line="240" w:before="0" w:after="0"/>
      <w:jc w:val="center"/>
    </w:pPr>
    <w:rPr>
      <w:rFonts w:ascii="Times New Roman" w:hAnsi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87d05"/>
    <w:pPr>
      <w:tabs>
        <w:tab w:val="clear" w:pos="709"/>
        <w:tab w:val="left" w:pos="426" w:leader="none"/>
        <w:tab w:val="left" w:pos="1680" w:leader="none"/>
        <w:tab w:val="right" w:pos="9344" w:leader="dot"/>
        <w:tab w:val="right" w:pos="9639" w:leader="dot"/>
      </w:tabs>
      <w:spacing w:before="0" w:after="0"/>
      <w:ind w:left="220" w:hanging="0"/>
    </w:pPr>
    <w:rPr/>
  </w:style>
  <w:style w:type="paragraph" w:styleId="FootnoteText">
    <w:name w:val="Footnote Text"/>
    <w:basedOn w:val="Normal"/>
    <w:link w:val="Style2"/>
    <w:uiPriority w:val="99"/>
    <w:unhideWhenUsed/>
    <w:qFormat/>
    <w:rsid w:val="0080406e"/>
    <w:pPr>
      <w:spacing w:lineRule="auto" w:line="240" w:before="0" w:after="0"/>
    </w:pPr>
    <w:rPr>
      <w:rFonts w:ascii="Times New Roman" w:hAnsi="Times New Roman" w:eastAsia="Calibri"/>
      <w:sz w:val="20"/>
      <w:szCs w:val="20"/>
    </w:rPr>
  </w:style>
  <w:style w:type="paragraph" w:styleId="ConsPlusNormal1" w:customStyle="1">
    <w:name w:val="ConsPlusNormal"/>
    <w:link w:val="ConsPlusNormal"/>
    <w:qFormat/>
    <w:rsid w:val="00192f2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Style29" w:customStyle="1">
    <w:name w:val="Таблица"/>
    <w:basedOn w:val="Normal"/>
    <w:qFormat/>
    <w:rsid w:val="00192f26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14" w:customStyle="1">
    <w:name w:val="Абзац списка1"/>
    <w:basedOn w:val="Normal"/>
    <w:qFormat/>
    <w:rsid w:val="00192f26"/>
    <w:pPr>
      <w:spacing w:before="0" w:after="200"/>
      <w:ind w:left="720" w:hanging="0"/>
      <w:contextualSpacing/>
    </w:pPr>
    <w:rPr/>
  </w:style>
  <w:style w:type="paragraph" w:styleId="Style30" w:customStyle="1">
    <w:name w:val="Колонтитул"/>
    <w:basedOn w:val="Normal"/>
    <w:link w:val="Style14"/>
    <w:qFormat/>
    <w:rsid w:val="006d08bc"/>
    <w:pPr>
      <w:widowControl w:val="false"/>
      <w:shd w:val="clear" w:color="auto" w:fill="FFFFFF"/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Style4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5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ocumentMap">
    <w:name w:val="Document Map"/>
    <w:basedOn w:val="Normal"/>
    <w:link w:val="Style6"/>
    <w:uiPriority w:val="99"/>
    <w:semiHidden/>
    <w:unhideWhenUsed/>
    <w:qFormat/>
    <w:rsid w:val="004068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1" w:customStyle="1">
    <w:name w:val="Знак Знак Знак Знак Знак Знак Знак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NoSpacing">
    <w:name w:val="No Spacing"/>
    <w:basedOn w:val="Normal"/>
    <w:uiPriority w:val="1"/>
    <w:qFormat/>
    <w:rsid w:val="00bb18d9"/>
    <w:pPr>
      <w:spacing w:lineRule="auto" w:line="360" w:before="0" w:after="0"/>
    </w:pPr>
    <w:rPr>
      <w:rFonts w:ascii="Times New Roman" w:hAnsi="Times New Roman"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bb18d9"/>
    <w:pPr>
      <w:spacing w:lineRule="auto" w:line="240" w:before="0" w:after="0"/>
    </w:pPr>
    <w:rPr>
      <w:rFonts w:ascii="Times New Roman" w:hAnsi="Times New Roman" w:eastAsia="Calibri"/>
      <w:b/>
      <w:bCs/>
      <w:color w:val="4F81BD"/>
      <w:sz w:val="18"/>
      <w:szCs w:val="18"/>
    </w:rPr>
  </w:style>
  <w:style w:type="paragraph" w:styleId="15" w:customStyle="1">
    <w:name w:val="Название1"/>
    <w:basedOn w:val="Normal"/>
    <w:next w:val="Normal"/>
    <w:link w:val="Style7"/>
    <w:uiPriority w:val="10"/>
    <w:qFormat/>
    <w:rsid w:val="00bb18d9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tyle8"/>
    <w:uiPriority w:val="11"/>
    <w:qFormat/>
    <w:rsid w:val="00bb18d9"/>
    <w:pPr>
      <w:numPr>
        <w:ilvl w:val="1"/>
      </w:numPr>
      <w:spacing w:lineRule="auto" w:line="240" w:before="0" w:after="0"/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bb18d9"/>
    <w:pPr>
      <w:spacing w:lineRule="auto" w:line="240" w:before="0" w:after="0"/>
    </w:pPr>
    <w:rPr>
      <w:rFonts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9"/>
    <w:uiPriority w:val="30"/>
    <w:qFormat/>
    <w:rsid w:val="00bb18d9"/>
    <w:pPr>
      <w:pBdr>
        <w:bottom w:val="single" w:sz="4" w:space="4" w:color="4F81BD"/>
      </w:pBdr>
      <w:spacing w:lineRule="auto" w:line="240" w:before="200" w:after="280"/>
      <w:ind w:left="936" w:right="936" w:hanging="0"/>
    </w:pPr>
    <w:rPr>
      <w:rFonts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20"/>
    <w:pPr/>
    <w:rPr/>
  </w:style>
  <w:style w:type="paragraph" w:styleId="TOCHeading">
    <w:name w:val="TOC Heading"/>
    <w:basedOn w:val="Heading1"/>
    <w:next w:val="Normal"/>
    <w:uiPriority w:val="39"/>
    <w:qFormat/>
    <w:rsid w:val="00bb18d9"/>
    <w:pPr>
      <w:outlineLvl w:val="9"/>
    </w:pPr>
    <w:rPr/>
  </w:style>
  <w:style w:type="paragraph" w:styleId="E-mailSignature">
    <w:name w:val="E-mail Signature"/>
    <w:basedOn w:val="Normal"/>
    <w:link w:val="Style10"/>
    <w:uiPriority w:val="99"/>
    <w:semiHidden/>
    <w:unhideWhenUsed/>
    <w:qFormat/>
    <w:rsid w:val="00bb18d9"/>
    <w:pPr>
      <w:spacing w:lineRule="auto" w:line="240" w:before="0" w:after="0"/>
    </w:pPr>
    <w:rPr>
      <w:rFonts w:ascii="Times New Roman" w:hAnsi="Times New Roman" w:eastAsia="Calibri"/>
      <w:sz w:val="24"/>
      <w:szCs w:val="24"/>
    </w:rPr>
  </w:style>
  <w:style w:type="paragraph" w:styleId="Style32" w:customStyle="1">
    <w:name w:val="Знак"/>
    <w:basedOn w:val="Normal"/>
    <w:qFormat/>
    <w:rsid w:val="00bb18d9"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Style11"/>
    <w:semiHidden/>
    <w:qFormat/>
    <w:rsid w:val="00bb18d9"/>
    <w:pPr/>
    <w:rPr>
      <w:rFonts w:eastAsia="Calibri"/>
      <w:b/>
      <w:bCs/>
    </w:rPr>
  </w:style>
  <w:style w:type="paragraph" w:styleId="32" w:customStyle="1">
    <w:name w:val="Нумерованный список ур3"/>
    <w:basedOn w:val="Normal"/>
    <w:qFormat/>
    <w:rsid w:val="00bb18d9"/>
    <w:pPr>
      <w:numPr>
        <w:ilvl w:val="2"/>
        <w:numId w:val="2"/>
      </w:numPr>
      <w:spacing w:lineRule="auto" w:line="240" w:before="0" w:after="0"/>
      <w:jc w:val="both"/>
    </w:pPr>
    <w:rPr>
      <w:rFonts w:ascii="Garamond" w:hAnsi="Garamond"/>
      <w:sz w:val="24"/>
      <w:szCs w:val="20"/>
    </w:rPr>
  </w:style>
  <w:style w:type="paragraph" w:styleId="311" w:customStyle="1">
    <w:name w:val="Список 31"/>
    <w:basedOn w:val="Normal"/>
    <w:qFormat/>
    <w:rsid w:val="00b5006b"/>
    <w:pPr>
      <w:numPr>
        <w:ilvl w:val="0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22" w:customStyle="1">
    <w:name w:val="Нумерованный список ур2"/>
    <w:basedOn w:val="Normal"/>
    <w:qFormat/>
    <w:rsid w:val="00bb18d9"/>
    <w:pPr>
      <w:numPr>
        <w:ilvl w:val="1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NormalWeb">
    <w:name w:val="Normal (Web)"/>
    <w:basedOn w:val="Normal"/>
    <w:uiPriority w:val="99"/>
    <w:qFormat/>
    <w:rsid w:val="00bb18d9"/>
    <w:pPr>
      <w:spacing w:lineRule="auto" w:line="240" w:before="30" w:after="30"/>
    </w:pPr>
    <w:rPr>
      <w:rFonts w:ascii="Arial" w:hAnsi="Arial" w:eastAsia="Arial Unicode MS" w:cs="Arial"/>
      <w:color w:val="332E2D"/>
      <w:spacing w:val="2"/>
      <w:sz w:val="24"/>
      <w:szCs w:val="24"/>
    </w:rPr>
  </w:style>
  <w:style w:type="paragraph" w:styleId="Revision">
    <w:name w:val="Revision"/>
    <w:uiPriority w:val="99"/>
    <w:semiHidden/>
    <w:qFormat/>
    <w:rsid w:val="00bb18d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3" w:customStyle="1">
    <w:name w:val="Знак Знак3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Style33" w:customStyle="1">
    <w:name w:val="Пункт"/>
    <w:basedOn w:val="Normal"/>
    <w:qFormat/>
    <w:rsid w:val="00bb18d9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paragraph" w:styleId="23" w:customStyle="1">
    <w:name w:val="Абзац списка2"/>
    <w:basedOn w:val="Normal"/>
    <w:qFormat/>
    <w:rsid w:val="00bb18d9"/>
    <w:pPr>
      <w:spacing w:before="0" w:after="200"/>
      <w:ind w:left="720" w:hanging="0"/>
      <w:contextualSpacing/>
    </w:pPr>
    <w:rPr/>
  </w:style>
  <w:style w:type="paragraph" w:styleId="BodyTextIndent">
    <w:name w:val="Body Text Indent"/>
    <w:basedOn w:val="Normal"/>
    <w:link w:val="Style12"/>
    <w:rsid w:val="008757e8"/>
    <w:pPr>
      <w:spacing w:lineRule="auto" w:line="240" w:before="0" w:after="120"/>
      <w:ind w:left="283" w:hanging="0"/>
    </w:pPr>
    <w:rPr>
      <w:rFonts w:ascii="Times New Roman" w:hAnsi="Times New Roman"/>
      <w:sz w:val="28"/>
      <w:szCs w:val="28"/>
    </w:rPr>
  </w:style>
  <w:style w:type="paragraph" w:styleId="Style34" w:customStyle="1">
    <w:name w:val="Знак Знак"/>
    <w:basedOn w:val="Normal"/>
    <w:qFormat/>
    <w:rsid w:val="00d30377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bb55ba"/>
    <w:pPr>
      <w:spacing w:before="0" w:after="100"/>
      <w:ind w:left="440" w:hanging="0"/>
    </w:pPr>
    <w:rPr/>
  </w:style>
  <w:style w:type="paragraph" w:styleId="62" w:customStyle="1">
    <w:name w:val="Основной текст (6)"/>
    <w:basedOn w:val="Normal"/>
    <w:link w:val="61"/>
    <w:qFormat/>
    <w:rsid w:val="00310980"/>
    <w:pPr>
      <w:widowControl w:val="false"/>
      <w:shd w:val="clear" w:color="auto" w:fill="FFFFFF"/>
      <w:spacing w:lineRule="auto" w:line="240" w:before="0" w:after="0"/>
      <w:ind w:firstLine="720"/>
      <w:jc w:val="both"/>
    </w:pPr>
    <w:rPr>
      <w:rFonts w:ascii="Times New Roman" w:hAnsi="Times New Roman"/>
      <w:sz w:val="20"/>
      <w:szCs w:val="20"/>
    </w:rPr>
  </w:style>
  <w:style w:type="paragraph" w:styleId="TableListParagraph" w:customStyle="1">
    <w:name w:val="Table List Paragraph"/>
    <w:basedOn w:val="Normal"/>
    <w:qFormat/>
    <w:rsid w:val="00a270f3"/>
    <w:pPr>
      <w:numPr>
        <w:ilvl w:val="0"/>
        <w:numId w:val="12"/>
      </w:numPr>
      <w:tabs>
        <w:tab w:val="clear" w:pos="709"/>
        <w:tab w:val="left" w:pos="360" w:leader="none"/>
      </w:tabs>
      <w:spacing w:lineRule="auto" w:line="240" w:before="0" w:after="0"/>
      <w:jc w:val="both"/>
    </w:pPr>
    <w:rPr>
      <w:rFonts w:ascii="Times New Roman" w:hAnsi="Times New Roman"/>
      <w:sz w:val="24"/>
      <w:szCs w:val="24"/>
    </w:rPr>
  </w:style>
  <w:style w:type="paragraph" w:styleId="16" w:customStyle="1">
    <w:name w:val="РГ_Глава_1"/>
    <w:basedOn w:val="Normal"/>
    <w:qFormat/>
    <w:rsid w:val="00ca2697"/>
    <w:pPr>
      <w:keepNext w:val="true"/>
      <w:keepLines/>
      <w:numPr>
        <w:ilvl w:val="0"/>
        <w:numId w:val="14"/>
      </w:numPr>
      <w:tabs>
        <w:tab w:val="clear" w:pos="709"/>
        <w:tab w:val="left" w:pos="1985" w:leader="none"/>
      </w:tabs>
      <w:spacing w:lineRule="auto" w:line="240" w:before="0" w:after="0"/>
      <w:jc w:val="center"/>
      <w:outlineLvl w:val="1"/>
    </w:pPr>
    <w:rPr>
      <w:rFonts w:ascii="Times New Roman" w:hAnsi="Times New Roman"/>
      <w:caps/>
      <w:sz w:val="28"/>
      <w:szCs w:val="28"/>
    </w:rPr>
  </w:style>
  <w:style w:type="paragraph" w:styleId="112" w:customStyle="1">
    <w:name w:val="РГ_1.1._2"/>
    <w:basedOn w:val="Normal"/>
    <w:qFormat/>
    <w:rsid w:val="00ca2697"/>
    <w:pPr>
      <w:widowControl w:val="false"/>
      <w:numPr>
        <w:ilvl w:val="1"/>
        <w:numId w:val="14"/>
      </w:numPr>
      <w:spacing w:lineRule="auto" w:line="240" w:before="120" w:after="0"/>
      <w:jc w:val="both"/>
      <w:outlineLvl w:val="0"/>
    </w:pPr>
    <w:rPr>
      <w:rFonts w:ascii="Calibri" w:hAnsi="Calibri" w:cs="Calibri" w:asciiTheme="minorHAnsi" w:cstheme="minorHAnsi" w:hAnsiTheme="minorHAnsi"/>
      <w:sz w:val="28"/>
      <w:szCs w:val="28"/>
    </w:rPr>
  </w:style>
  <w:style w:type="paragraph" w:styleId="11131" w:customStyle="1">
    <w:name w:val="РГ_1.1.1_3"/>
    <w:basedOn w:val="Normal"/>
    <w:link w:val="1113"/>
    <w:qFormat/>
    <w:rsid w:val="00ca2697"/>
    <w:pPr>
      <w:widowControl w:val="false"/>
      <w:numPr>
        <w:ilvl w:val="2"/>
        <w:numId w:val="14"/>
      </w:numPr>
      <w:spacing w:lineRule="auto" w:line="240" w:before="120" w:after="120"/>
      <w:jc w:val="both"/>
    </w:pPr>
    <w:rPr>
      <w:rFonts w:ascii="Times New Roman" w:hAnsi="Times New Roman"/>
      <w:sz w:val="28"/>
      <w:szCs w:val="28"/>
    </w:rPr>
  </w:style>
  <w:style w:type="paragraph" w:styleId="111141" w:customStyle="1">
    <w:name w:val="РГ_1.1.1.1._4"/>
    <w:basedOn w:val="11131"/>
    <w:link w:val="11114"/>
    <w:qFormat/>
    <w:rsid w:val="00ca2697"/>
    <w:pPr>
      <w:numPr>
        <w:ilvl w:val="3"/>
      </w:numPr>
      <w:tabs>
        <w:tab w:val="clear" w:pos="709"/>
        <w:tab w:val="left" w:pos="360" w:leader="none"/>
      </w:tabs>
    </w:pPr>
    <w:rPr/>
  </w:style>
  <w:style w:type="paragraph" w:styleId="51" w:customStyle="1">
    <w:name w:val="РГ_а)_5"/>
    <w:basedOn w:val="Normal"/>
    <w:qFormat/>
    <w:rsid w:val="00ca2697"/>
    <w:pPr>
      <w:numPr>
        <w:ilvl w:val="5"/>
        <w:numId w:val="14"/>
      </w:numPr>
      <w:spacing w:lineRule="auto" w:line="240" w:before="0" w:after="0"/>
      <w:jc w:val="both"/>
    </w:pPr>
    <w:rPr>
      <w:rFonts w:ascii="Times New Roman" w:hAnsi="Times New Roman"/>
      <w:sz w:val="28"/>
      <w:szCs w:val="28"/>
    </w:rPr>
  </w:style>
  <w:style w:type="paragraph" w:styleId="151" w:customStyle="1">
    <w:name w:val="РГ_1)___5"/>
    <w:basedOn w:val="111141"/>
    <w:qFormat/>
    <w:rsid w:val="00ca2697"/>
    <w:pPr>
      <w:numPr>
        <w:ilvl w:val="4"/>
      </w:numPr>
    </w:pPr>
    <w:rPr/>
  </w:style>
  <w:style w:type="paragraph" w:styleId="Style35" w:customStyle="1">
    <w:name w:val="РГ_текст табл"/>
    <w:basedOn w:val="112"/>
    <w:link w:val="Style16"/>
    <w:qFormat/>
    <w:rsid w:val="00ca2697"/>
    <w:pPr>
      <w:numPr>
        <w:ilvl w:val="0"/>
        <w:numId w:val="0"/>
      </w:numPr>
      <w:spacing w:before="0" w:after="0"/>
      <w:ind w:left="34" w:hanging="0"/>
      <w:outlineLvl w:val="9"/>
    </w:pPr>
    <w:rPr>
      <w:rFonts w:eastAsia="Calibri"/>
      <w:sz w:val="24"/>
      <w:szCs w:val="24"/>
      <w:lang w:eastAsia="en-US"/>
    </w:rPr>
  </w:style>
  <w:style w:type="paragraph" w:styleId="Style36" w:customStyle="1">
    <w:name w:val="РГ_номер текста табл"/>
    <w:basedOn w:val="ListParagraph"/>
    <w:link w:val="Style17"/>
    <w:qFormat/>
    <w:rsid w:val="00ca2697"/>
    <w:pPr>
      <w:numPr>
        <w:ilvl w:val="0"/>
        <w:numId w:val="13"/>
      </w:numPr>
      <w:spacing w:lineRule="auto" w:line="240" w:before="0" w:after="0"/>
      <w:contextualSpacing/>
      <w:jc w:val="both"/>
    </w:pPr>
    <w:rPr>
      <w:rFonts w:ascii="Calibri" w:hAnsi="Calibri" w:eastAsia="Calibri" w:cs="Calibri" w:asciiTheme="minorHAnsi" w:cstheme="minorHAnsi" w:hAnsiTheme="minorHAnsi"/>
      <w:sz w:val="24"/>
      <w:lang w:eastAsia="en-US"/>
    </w:rPr>
  </w:style>
  <w:style w:type="paragraph" w:styleId="113" w:customStyle="1">
    <w:name w:val="1.1. таблица"/>
    <w:basedOn w:val="Style36"/>
    <w:link w:val="111"/>
    <w:qFormat/>
    <w:rsid w:val="00ca2697"/>
    <w:pPr>
      <w:numPr>
        <w:ilvl w:val="1"/>
      </w:numPr>
    </w:pPr>
    <w:rPr/>
  </w:style>
  <w:style w:type="paragraph" w:styleId="Style37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4296234291" w:customStyle="1">
    <w:name w:val="4296234291"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6"/>
    <w:uiPriority w:val="59"/>
    <w:rsid w:val="00b918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image" Target="media/image1.png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image" Target="media/image2.png"/><Relationship Id="rId15" Type="http://schemas.openxmlformats.org/officeDocument/2006/relationships/footer" Target="footer12.xml"/><Relationship Id="rId16" Type="http://schemas.openxmlformats.org/officeDocument/2006/relationships/footer" Target="footer13.xml"/><Relationship Id="rId17" Type="http://schemas.openxmlformats.org/officeDocument/2006/relationships/footnotes" Target="footnotes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_rels/footnotes.xml.rels><?xml version="1.0" encoding="UTF-8"?>
<Relationships xmlns="http://schemas.openxmlformats.org/package/2006/relationships"><Relationship Id="rId1" Type="http://schemas.openxmlformats.org/officeDocument/2006/relationships/hyperlink" Target="http://grandsmeta82.ru/znaj-kak/grand-smeta-baza-znanij/109-raschet-zatrat-na-energonositeli-elektroenergiyu-toplivo-i-pr-v-grand-smete.html" TargetMode="Externa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CB55B-7EA9-4402-9A0C-61D5FB3A3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Application>AlterOffice/3.4.0.9$Linux_X86_64 LibreOffice_project/b8daf9e823b1a5463a2f48435ddc2e8696e7d4fc</Application>
  <AppVersion>15.0000</AppVersion>
  <Pages>23</Pages>
  <Words>5220</Words>
  <Characters>36320</Characters>
  <CharactersWithSpaces>42431</CharactersWithSpaces>
  <Paragraphs>578</Paragraphs>
  <Company>####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2024-10-15T06:11:00Z</dcterms:created>
  <dc:creator>Торопов Денис Владимирович</dc:creator>
  <dc:description/>
  <dc:language>ru-RU</dc:language>
  <cp:lastModifiedBy>tihanovaov@corp.gidroogk.com</cp:lastModifiedBy>
  <cp:lastPrinted>2021-07-09T09:18:00Z</cp:lastPrinted>
  <dcterms:modified xsi:type="dcterms:W3CDTF">2026-07-22T10:18:20Z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