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2025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в лице Волжского филиала в г. Волжский , действующего на основании доверенности ,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совместно в дальнейшем именуемые «Стороны», а по отдельности – «Сторона», по результатам проведенной закупки, лот № __________________,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______________________</w:t>
      </w:r>
      <w:r>
        <w:rPr>
          <w:b w:val="false"/>
          <w:sz w:val="22"/>
          <w:szCs w:val="22"/>
        </w:rPr>
        <w:t xml:space="preserve"> (далее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highlight w:val="none"/>
          <w:shd w:fill="FFFFFF" w:val="clear"/>
        </w:rPr>
      </w:pPr>
      <w:r>
        <w:rPr>
          <w:sz w:val="22"/>
          <w:szCs w:val="22"/>
          <w:shd w:fill="FFFFFF" w:val="clear"/>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2"/>
          <w:szCs w:val="22"/>
          <w:shd w:fill="FFFFFF" w:val="clear"/>
        </w:rPr>
        <w:t>Приложения № 3</w:t>
      </w:r>
      <w:r>
        <w:rPr>
          <w:sz w:val="22"/>
          <w:szCs w:val="22"/>
          <w:shd w:fill="FFFFFF" w:val="clear"/>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2"/>
          <w:szCs w:val="22"/>
          <w:shd w:fill="FFFFFF" w:val="clear"/>
        </w:rPr>
        <w:t>Приложение № 1</w:t>
      </w:r>
      <w:r>
        <w:rPr>
          <w:sz w:val="22"/>
          <w:szCs w:val="22"/>
          <w:shd w:fill="FFFFFF" w:val="clear"/>
        </w:rPr>
        <w:t>).</w:t>
      </w:r>
    </w:p>
    <w:p>
      <w:pPr>
        <w:pStyle w:val="Normal"/>
        <w:shd w:val="clear" w:color="auto" w:fill="FFFFFF"/>
        <w:tabs>
          <w:tab w:val="clear" w:pos="720"/>
          <w:tab w:val="left" w:pos="540" w:leader="none"/>
          <w:tab w:val="left" w:pos="851" w:leader="none"/>
          <w:tab w:val="left" w:pos="993" w:leader="none"/>
        </w:tabs>
        <w:ind w:firstLine="567"/>
        <w:jc w:val="both"/>
        <w:rPr>
          <w:highlight w:val="none"/>
          <w:shd w:fill="FFFFFF" w:val="clear"/>
        </w:rPr>
      </w:pPr>
      <w:r>
        <w:rPr>
          <w:sz w:val="22"/>
          <w:szCs w:val="22"/>
          <w:shd w:fill="FFFFFF" w:val="clear"/>
        </w:rPr>
        <w:t xml:space="preserve">Заявка на соответствующую партию Продукции направляется по электронной почте Поставщику в срок не менее чем за </w:t>
      </w:r>
      <w:r>
        <w:rPr>
          <w:sz w:val="22"/>
          <w:szCs w:val="22"/>
          <w:shd w:fill="FFFF00" w:val="clear"/>
        </w:rPr>
        <w:t xml:space="preserve">5 (пять) </w:t>
      </w:r>
      <w:r>
        <w:rPr>
          <w:sz w:val="22"/>
          <w:szCs w:val="22"/>
          <w:shd w:fill="FFFFFF" w:val="clear"/>
        </w:rPr>
        <w:t xml:space="preserve">календарных дней до даты поставки. После получения Заявки Поставщик обязан подписать её и направить Покупателю по электронной почте в срок, не превышающий 3 (Трех)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 w:val="left" w:pos="851" w:leader="none"/>
          <w:tab w:val="left" w:pos="993" w:leader="none"/>
        </w:tabs>
        <w:ind w:firstLine="567"/>
        <w:jc w:val="both"/>
        <w:rPr>
          <w:highlight w:val="none"/>
          <w:shd w:fill="FFFFFF" w:val="clear"/>
        </w:rPr>
      </w:pPr>
      <w:r>
        <w:rPr>
          <w:sz w:val="22"/>
          <w:szCs w:val="22"/>
          <w:shd w:fill="FFFFFF" w:val="clear"/>
        </w:rPr>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Срок поставки Продукции по Договору: с даты подписания Договора по «____» ____ 2025г.</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Предельная стоимость Продукции (далее – «Цена Договора») составляет _________</w:t>
      </w:r>
      <w:r>
        <w:rPr>
          <w:b/>
          <w:bCs/>
          <w:sz w:val="22"/>
          <w:szCs w:val="22"/>
        </w:rPr>
        <w:t xml:space="preserve"> (__________) рублей ___ копеек с НДС 20% (двадцать процентов)</w:t>
      </w:r>
      <w:r>
        <w:rPr>
          <w:sz w:val="22"/>
          <w:szCs w:val="22"/>
        </w:rPr>
        <w:t>.</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2.5.1. Платеж в размере 95% (девяносто пять процентов) стоимости поставленной партии Продукции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получения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2.5.2. Обеспечительный платеж в размере 5% (пять процентов) стоимости поставленной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 2.6. Договора, на основании счета, выставленного Поставщиком.</w:t>
      </w:r>
    </w:p>
    <w:p>
      <w:pPr>
        <w:pStyle w:val="ListParagraph"/>
        <w:numPr>
          <w:ilvl w:val="1"/>
          <w:numId w:val="13"/>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5"/>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5"/>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5"/>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не ранее 2025 года выпуска,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 качества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Технический паспорт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30 (Тридцати)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На Продукцию устанавливается гарантийный срок, равный </w:t>
      </w:r>
      <w:r>
        <w:rPr>
          <w:sz w:val="22"/>
          <w:szCs w:val="22"/>
          <w:shd w:fill="FFFF00" w:val="clear"/>
        </w:rPr>
        <w:t>12 (двенадцать) месяцев,</w:t>
      </w:r>
      <w:r>
        <w:rPr>
          <w:sz w:val="22"/>
          <w:szCs w:val="22"/>
        </w:rPr>
        <w:t xml:space="preserve"> исчисляемый с даты подписания Сторонами товарной накладной по форме ТОРГ-12 или Универсального передаточного документа (УПД).</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2"/>
          <w:szCs w:val="22"/>
        </w:rPr>
        <w:t>Покупателем в соответствии с п. 3.17. Договора</w:t>
      </w:r>
      <w:bookmarkEnd w:id="0"/>
      <w:bookmarkEnd w:id="1"/>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3"/>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numPr>
          <w:ilvl w:val="1"/>
          <w:numId w:val="4"/>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4"/>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4"/>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numPr>
          <w:ilvl w:val="1"/>
          <w:numId w:val="4"/>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4"/>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4"/>
        </w:numPr>
        <w:tabs>
          <w:tab w:val="clear" w:pos="720"/>
          <w:tab w:val="left" w:pos="993" w:leader="none"/>
        </w:tabs>
        <w:spacing w:before="0" w:after="0"/>
        <w:ind w:left="0" w:firstLine="567"/>
        <w:contextualSpacing w:val="false"/>
        <w:jc w:val="both"/>
        <w:rPr>
          <w:highlight w:val="none"/>
          <w:shd w:fill="FFFFFF" w:val="clear"/>
        </w:rPr>
      </w:pPr>
      <w:r>
        <w:rPr>
          <w:sz w:val="22"/>
          <w:szCs w:val="22"/>
          <w:shd w:fill="FFFFFF" w:val="clear"/>
        </w:rPr>
        <w:t>Поставка Продукции по Договору осуществляется Поставщиком партиями,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4"/>
        </w:numPr>
        <w:shd w:val="clear" w:color="auto" w:fill="FFFFFF"/>
        <w:tabs>
          <w:tab w:val="clear" w:pos="720"/>
          <w:tab w:val="left" w:pos="993" w:leader="none"/>
        </w:tabs>
        <w:ind w:left="0" w:firstLine="567"/>
        <w:jc w:val="both"/>
        <w:rPr>
          <w:highlight w:val="none"/>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4"/>
        </w:numPr>
        <w:shd w:val="clear" w:color="auto" w:fill="FFFFFF"/>
        <w:tabs>
          <w:tab w:val="clear" w:pos="720"/>
          <w:tab w:val="left" w:pos="993" w:leader="none"/>
        </w:tabs>
        <w:ind w:left="0" w:firstLine="567"/>
        <w:jc w:val="both"/>
        <w:rPr>
          <w:highlight w:val="none"/>
          <w:shd w:fill="FFFFFF" w:val="clear"/>
        </w:rPr>
      </w:pPr>
      <w:r>
        <w:rPr>
          <w:sz w:val="22"/>
          <w:szCs w:val="22"/>
          <w:shd w:fill="FFFFFF" w:val="clear"/>
        </w:rPr>
        <w:t>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w:t>
      </w:r>
      <w:bookmarkStart w:id="2" w:name="_GoBack"/>
      <w:bookmarkEnd w:id="2"/>
      <w:r>
        <w:rPr>
          <w:sz w:val="22"/>
          <w:szCs w:val="22"/>
          <w:shd w:fill="FFFFFF" w:val="clear"/>
        </w:rPr>
        <w:t xml:space="preserve">.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4"/>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7"/>
        </w:numPr>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0"/>
        <w:ind w:firstLine="567"/>
        <w:contextualSpacing/>
        <w:jc w:val="both"/>
        <w:rPr>
          <w:sz w:val="22"/>
          <w:szCs w:val="22"/>
        </w:rPr>
      </w:pPr>
      <w:r>
        <w:rPr>
          <w:sz w:val="22"/>
          <w:szCs w:val="22"/>
        </w:rPr>
        <w:t>–</w:t>
      </w:r>
      <w:r>
        <w:rPr>
          <w:sz w:val="22"/>
          <w:szCs w:val="22"/>
        </w:rPr>
        <w:tab/>
        <w:t>неустойки в размере 0,1 (ноль целых и одна десятая) процента от цены партии Продукции за каждый день просрочки поставки Продукции;</w:t>
      </w:r>
    </w:p>
    <w:p>
      <w:pPr>
        <w:pStyle w:val="Normal"/>
        <w:widowControl w:val="false"/>
        <w:shd w:val="clear" w:color="auto" w:fill="FFFFFF"/>
        <w:tabs>
          <w:tab w:val="clear" w:pos="720"/>
          <w:tab w:val="left" w:pos="1276" w:leader="none"/>
        </w:tabs>
        <w:spacing w:before="0" w:after="0"/>
        <w:ind w:firstLine="567"/>
        <w:contextualSpacing/>
        <w:jc w:val="both"/>
        <w:rPr>
          <w:sz w:val="22"/>
          <w:szCs w:val="22"/>
        </w:rPr>
      </w:pPr>
      <w:r>
        <w:rPr>
          <w:sz w:val="22"/>
          <w:szCs w:val="22"/>
        </w:rPr>
        <w:t>–</w:t>
      </w:r>
      <w:r>
        <w:rPr>
          <w:sz w:val="22"/>
          <w:szCs w:val="22"/>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w:t>
      </w:r>
    </w:p>
    <w:p>
      <w:pPr>
        <w:pStyle w:val="Normal"/>
        <w:widowControl w:val="false"/>
        <w:shd w:val="clear" w:color="auto" w:fill="FFFFFF"/>
        <w:tabs>
          <w:tab w:val="clear" w:pos="720"/>
          <w:tab w:val="left" w:pos="1276" w:leader="none"/>
        </w:tabs>
        <w:spacing w:before="0" w:after="0"/>
        <w:ind w:firstLine="567"/>
        <w:contextualSpacing/>
        <w:jc w:val="both"/>
        <w:rPr>
          <w:rFonts w:eastAsia="Calibri"/>
          <w:bCs/>
          <w:sz w:val="22"/>
          <w:szCs w:val="22"/>
        </w:rPr>
      </w:pPr>
      <w:r>
        <w:rPr>
          <w:sz w:val="22"/>
          <w:szCs w:val="22"/>
        </w:rPr>
        <w:t>–</w:t>
      </w:r>
      <w:r>
        <w:rPr>
          <w:sz w:val="22"/>
          <w:szCs w:val="22"/>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w:t>
      </w:r>
      <w:r>
        <w:rPr>
          <w:rFonts w:eastAsia="Calibri"/>
          <w:bCs/>
          <w:sz w:val="22"/>
          <w:szCs w:val="22"/>
        </w:rPr>
        <w:t>.</w:t>
      </w:r>
    </w:p>
    <w:p>
      <w:pPr>
        <w:pStyle w:val="ListParagraph"/>
        <w:numPr>
          <w:ilvl w:val="1"/>
          <w:numId w:val="17"/>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7"/>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7"/>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7"/>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п.14.8 Договора, представив заверенные копии документов, подтверждающие такие изменения, а именно:</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 w:val="left" w:pos="1276" w:leader="none"/>
        </w:tabs>
        <w:spacing w:before="0" w:after="0"/>
        <w:ind w:left="0" w:firstLine="567"/>
        <w:contextualSpacing/>
        <w:jc w:val="both"/>
        <w:outlineLvl w:val="0"/>
        <w:rPr>
          <w:sz w:val="22"/>
          <w:szCs w:val="22"/>
        </w:rPr>
      </w:pPr>
      <w:r>
        <w:rPr>
          <w:sz w:val="22"/>
          <w:szCs w:val="22"/>
        </w:rPr>
        <w:t>выписка из Единого государственного реестра юридических лиц, после изменений, указанных в п. 6.13 Договора, а также:</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акционерных обществ:</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владельцев ценных бумаг;</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список аффилированных лиц на последнюю отчетную дату;</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ежеквартальный отчет на последнюю отчетную дату.</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(протокол) о приеме новых участников;</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устав.</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учредительный договор или положение;</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юридических лиц, зарегистрированных в форме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 xml:space="preserve">документ о выборе (назначении) попечительского совета фонда; </w:t>
      </w:r>
    </w:p>
    <w:p>
      <w:pPr>
        <w:pStyle w:val="Normal"/>
        <w:numPr>
          <w:ilvl w:val="0"/>
          <w:numId w:val="9"/>
        </w:numPr>
        <w:tabs>
          <w:tab w:val="clear" w:pos="720"/>
          <w:tab w:val="left" w:pos="567" w:leader="none"/>
          <w:tab w:val="left" w:pos="1276" w:leader="none"/>
        </w:tabs>
        <w:spacing w:before="0" w:after="0"/>
        <w:ind w:left="0" w:firstLine="567"/>
        <w:contextualSpacing/>
        <w:jc w:val="both"/>
        <w:outlineLvl w:val="0"/>
        <w:rPr>
          <w:sz w:val="22"/>
          <w:szCs w:val="22"/>
        </w:rPr>
      </w:pPr>
      <w:r>
        <w:rPr>
          <w:sz w:val="22"/>
          <w:szCs w:val="22"/>
        </w:rPr>
        <w:t>решение о создании.</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 w:val="left" w:pos="1276" w:leader="none"/>
        </w:tabs>
        <w:spacing w:before="0" w:after="0"/>
        <w:ind w:left="0" w:firstLine="567"/>
        <w:contextualSpacing/>
        <w:outlineLvl w:val="0"/>
        <w:rPr>
          <w:sz w:val="22"/>
          <w:szCs w:val="22"/>
        </w:rPr>
      </w:pPr>
      <w:r>
        <w:rPr>
          <w:sz w:val="22"/>
          <w:szCs w:val="22"/>
        </w:rPr>
        <w:t xml:space="preserve">решение и договор о создании.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созданных и действующих в соответствии с законодательством иностранных государств:</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выписка из торгового реестра страны инкорпорации;</w:t>
      </w:r>
    </w:p>
    <w:p>
      <w:pPr>
        <w:pStyle w:val="Normal"/>
        <w:numPr>
          <w:ilvl w:val="0"/>
          <w:numId w:val="9"/>
        </w:numPr>
        <w:tabs>
          <w:tab w:val="clear" w:pos="720"/>
          <w:tab w:val="left" w:pos="1276" w:leader="none"/>
        </w:tabs>
        <w:spacing w:before="0" w:after="0"/>
        <w:ind w:left="709" w:hanging="283"/>
        <w:contextualSpacing/>
        <w:outlineLvl w:val="0"/>
        <w:rPr>
          <w:sz w:val="22"/>
          <w:szCs w:val="22"/>
        </w:rPr>
      </w:pPr>
      <w:r>
        <w:rPr>
          <w:sz w:val="22"/>
          <w:szCs w:val="22"/>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17"/>
        </w:numPr>
        <w:tabs>
          <w:tab w:val="clear" w:pos="720"/>
          <w:tab w:val="left" w:pos="567" w:leader="none"/>
        </w:tabs>
        <w:ind w:left="0" w:firstLine="567"/>
        <w:jc w:val="both"/>
        <w:outlineLvl w:val="0"/>
        <w:rPr>
          <w:sz w:val="22"/>
          <w:szCs w:val="22"/>
        </w:rPr>
      </w:pPr>
      <w:r>
        <w:rPr>
          <w:sz w:val="22"/>
          <w:szCs w:val="22"/>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Независимо от любых других положений Договора в случае не предоставления в установленный срок Субподрядчиком документов, указанных в п. 6.13 Договора Покупатель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Поставщиком уведомления о расторжении Договора, но в любом случае – не позднее 10 (Десяти) рабочих дней с даты его отправки Покупателем.</w:t>
      </w:r>
    </w:p>
    <w:p>
      <w:pPr>
        <w:pStyle w:val="Normal"/>
        <w:widowControl w:val="false"/>
        <w:numPr>
          <w:ilvl w:val="1"/>
          <w:numId w:val="17"/>
        </w:numPr>
        <w:shd w:val="clear" w:color="auto" w:fill="FFFFFF"/>
        <w:tabs>
          <w:tab w:val="clear" w:pos="720"/>
          <w:tab w:val="left" w:pos="2276" w:leader="none"/>
        </w:tabs>
        <w:spacing w:before="0" w:after="0"/>
        <w:ind w:left="0" w:firstLine="567"/>
        <w:contextualSpacing/>
        <w:jc w:val="both"/>
        <w:rPr>
          <w:sz w:val="22"/>
          <w:szCs w:val="22"/>
        </w:rPr>
      </w:pPr>
      <w:r>
        <w:rPr>
          <w:sz w:val="22"/>
          <w:szCs w:val="22"/>
        </w:rPr>
        <w:t>Во избежание сомнений и независимо от иных положений Договора Поставщик настоящим также отказывается от любых прав требования возмещения убытков или ущерба, возникшего у Поставщика в связи с расторжением Договора по основаниям, указанным в п. 6.14 Договора выше.</w:t>
      </w:r>
    </w:p>
    <w:p>
      <w:pPr>
        <w:pStyle w:val="ListParagraph"/>
        <w:widowControl/>
        <w:numPr>
          <w:ilvl w:val="1"/>
          <w:numId w:val="17"/>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7"/>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7"/>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7"/>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7"/>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Инсайдерская оговорка</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также обязуется:</w:t>
      </w:r>
    </w:p>
    <w:p>
      <w:pPr>
        <w:pStyle w:val="ListParagraph"/>
        <w:numPr>
          <w:ilvl w:val="2"/>
          <w:numId w:val="17"/>
        </w:numPr>
        <w:shd w:val="clear" w:color="auto" w:fill="FFFFFF"/>
        <w:ind w:left="0" w:firstLine="567"/>
        <w:jc w:val="both"/>
        <w:rPr>
          <w:sz w:val="22"/>
          <w:szCs w:val="22"/>
        </w:rPr>
      </w:pPr>
      <w:r>
        <w:rPr>
          <w:sz w:val="22"/>
          <w:szCs w:val="22"/>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17"/>
        </w:numPr>
        <w:shd w:val="clear" w:color="auto" w:fill="FFFFFF"/>
        <w:ind w:left="0" w:firstLine="567"/>
        <w:jc w:val="both"/>
        <w:rPr>
          <w:sz w:val="22"/>
          <w:szCs w:val="22"/>
        </w:rPr>
      </w:pPr>
      <w:r>
        <w:rPr>
          <w:sz w:val="22"/>
          <w:szCs w:val="22"/>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2160" w:leader="none"/>
        </w:tabs>
        <w:ind w:left="567" w:hanging="0"/>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7"/>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по месту нахождения ответчика.</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7"/>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15 (пятнадцать)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7"/>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12.2., 12.3., 12.4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7"/>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13.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13.1.  Каждая</w:t>
      </w:r>
      <w:r>
        <w:rPr>
          <w:sz w:val="22"/>
          <w:szCs w:val="22"/>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13.2. 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13.3.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13.4.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16"/>
        </w:numPr>
        <w:shd w:val="clear" w:color="auto" w:fill="FFFFFF"/>
        <w:jc w:val="center"/>
        <w:rPr>
          <w:b/>
          <w:sz w:val="22"/>
          <w:szCs w:val="22"/>
        </w:rPr>
      </w:pPr>
      <w:r>
        <w:rPr>
          <w:b/>
          <w:sz w:val="22"/>
          <w:szCs w:val="22"/>
        </w:rPr>
        <w:t>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Документ</w:t>
      </w:r>
      <w:r>
        <w:rPr>
          <w:bCs/>
          <w:sz w:val="22"/>
          <w:szCs w:val="22"/>
        </w:rPr>
        <w:t xml:space="preserve"> будет считаться полученным:</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16"/>
        </w:numPr>
        <w:shd w:val="clear" w:color="auto" w:fill="FFFFFF"/>
        <w:tabs>
          <w:tab w:val="clear" w:pos="720"/>
          <w:tab w:val="left" w:pos="1134" w:leader="none"/>
        </w:tabs>
        <w:ind w:left="0" w:firstLine="567"/>
        <w:jc w:val="both"/>
        <w:rPr>
          <w:bCs/>
          <w:sz w:val="22"/>
          <w:szCs w:val="22"/>
        </w:rPr>
      </w:pPr>
      <w:r>
        <w:rPr>
          <w:bCs/>
          <w:sz w:val="22"/>
          <w:szCs w:val="22"/>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sz w:val="22"/>
          <w:szCs w:val="22"/>
        </w:rPr>
      </w:pPr>
      <w:r>
        <w:rPr>
          <w:sz w:val="22"/>
          <w:szCs w:val="22"/>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6"/>
        </w:numPr>
        <w:shd w:val="clear" w:color="auto" w:fill="FFFFFF"/>
        <w:tabs>
          <w:tab w:val="left" w:pos="720" w:leader="none"/>
          <w:tab w:val="left" w:pos="1134" w:leader="none"/>
        </w:tabs>
        <w:spacing w:before="0" w:after="0"/>
        <w:ind w:left="0" w:firstLine="567"/>
        <w:contextualSpacing/>
        <w:jc w:val="both"/>
        <w:rPr>
          <w:bCs/>
          <w:sz w:val="22"/>
          <w:szCs w:val="22"/>
        </w:rPr>
      </w:pPr>
      <w:r>
        <w:rPr>
          <w:sz w:val="22"/>
          <w:szCs w:val="22"/>
        </w:rPr>
        <w:t xml:space="preserve"> </w:t>
      </w:r>
      <w:r>
        <w:rPr>
          <w:sz w:val="22"/>
          <w:szCs w:val="22"/>
        </w:rPr>
        <w:t>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18"/>
        </w:numPr>
        <w:shd w:val="clear" w:color="auto" w:fill="FFFFFF"/>
        <w:jc w:val="center"/>
        <w:rPr>
          <w:b/>
          <w:sz w:val="22"/>
          <w:szCs w:val="22"/>
        </w:rPr>
      </w:pPr>
      <w:r>
        <w:rPr>
          <w:b/>
          <w:sz w:val="22"/>
          <w:szCs w:val="22"/>
        </w:rPr>
        <w:t>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15.1.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15.2.  Приложение № 2 – Технические требования.</w:t>
      </w:r>
    </w:p>
    <w:p>
      <w:pPr>
        <w:pStyle w:val="Normal"/>
        <w:ind w:firstLine="567"/>
        <w:rPr>
          <w:sz w:val="22"/>
          <w:szCs w:val="22"/>
        </w:rPr>
      </w:pPr>
      <w:r>
        <w:rPr>
          <w:sz w:val="22"/>
          <w:szCs w:val="22"/>
        </w:rPr>
        <w:t>15.3. Приложение № 3 – Форма Заявки-спецификации.</w:t>
      </w:r>
    </w:p>
    <w:p>
      <w:pPr>
        <w:pStyle w:val="Normal"/>
        <w:ind w:firstLine="567"/>
        <w:rPr>
          <w:bCs/>
          <w:sz w:val="22"/>
          <w:szCs w:val="22"/>
        </w:rPr>
      </w:pPr>
      <w:r>
        <w:rPr>
          <w:bCs/>
          <w:sz w:val="22"/>
          <w:szCs w:val="22"/>
        </w:rPr>
      </w:r>
      <w:bookmarkStart w:id="4" w:name="sub_1"/>
      <w:bookmarkStart w:id="5" w:name="sub_1"/>
      <w:bookmarkEnd w:id="5"/>
    </w:p>
    <w:p>
      <w:pPr>
        <w:pStyle w:val="Normal"/>
        <w:widowControl w:val="false"/>
        <w:numPr>
          <w:ilvl w:val="0"/>
          <w:numId w:val="18"/>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t>АО «Гидроремонт-ВКК»</w:t>
            </w:r>
          </w:p>
          <w:p>
            <w:pPr>
              <w:pStyle w:val="Normal"/>
              <w:widowControl w:val="false"/>
              <w:rPr>
                <w:sz w:val="22"/>
                <w:szCs w:val="22"/>
              </w:rPr>
            </w:pPr>
            <w:r>
              <w:rPr>
                <w:sz w:val="22"/>
                <w:szCs w:val="22"/>
              </w:rPr>
              <w:t>Юридический адрес:</w:t>
            </w:r>
          </w:p>
          <w:p>
            <w:pPr>
              <w:pStyle w:val="Normal"/>
              <w:widowControl w:val="false"/>
              <w:rPr>
                <w:sz w:val="22"/>
                <w:szCs w:val="22"/>
              </w:rPr>
            </w:pPr>
            <w:r>
              <w:rPr>
                <w:sz w:val="22"/>
                <w:szCs w:val="22"/>
              </w:rPr>
              <w:t>603140, Нижегородская обл., г.о. город Нижний Новгород, г. Нижний Новгород, пер. Мотальный, д. 8, пом. ВП31, офис С1А</w:t>
            </w:r>
          </w:p>
          <w:p>
            <w:pPr>
              <w:pStyle w:val="Normal"/>
              <w:widowControl w:val="false"/>
              <w:rPr>
                <w:sz w:val="22"/>
                <w:szCs w:val="22"/>
              </w:rPr>
            </w:pPr>
            <w:r>
              <w:rPr>
                <w:sz w:val="22"/>
                <w:szCs w:val="22"/>
              </w:rPr>
              <w:t xml:space="preserve">Почтовый адрес Волжского филиала в г. Волжский: 404130, Волгоградская обл. г. Волжский, пр-т Ленина, 1А </w:t>
            </w:r>
          </w:p>
          <w:p>
            <w:pPr>
              <w:pStyle w:val="Normal"/>
              <w:widowControl w:val="false"/>
              <w:rPr>
                <w:sz w:val="22"/>
                <w:szCs w:val="22"/>
              </w:rPr>
            </w:pPr>
            <w:r>
              <w:rPr>
                <w:sz w:val="22"/>
                <w:szCs w:val="22"/>
              </w:rPr>
              <w:t>ОГРН: 1036301733005</w:t>
            </w:r>
          </w:p>
          <w:p>
            <w:pPr>
              <w:pStyle w:val="Normal"/>
              <w:widowControl w:val="false"/>
              <w:rPr>
                <w:sz w:val="22"/>
                <w:szCs w:val="22"/>
              </w:rPr>
            </w:pPr>
            <w:r>
              <w:rPr>
                <w:sz w:val="22"/>
                <w:szCs w:val="22"/>
              </w:rPr>
              <w:t>ИНН/КПП: 6345012488/343503001</w:t>
            </w:r>
          </w:p>
          <w:p>
            <w:pPr>
              <w:pStyle w:val="Normal"/>
              <w:widowControl w:val="false"/>
              <w:rPr>
                <w:bCs/>
                <w:sz w:val="22"/>
                <w:szCs w:val="22"/>
              </w:rPr>
            </w:pPr>
            <w:r>
              <w:rPr>
                <w:bCs/>
                <w:sz w:val="22"/>
                <w:szCs w:val="22"/>
              </w:rPr>
              <w:t>р/с 40702810300000042934</w:t>
            </w:r>
          </w:p>
          <w:p>
            <w:pPr>
              <w:pStyle w:val="Normal"/>
              <w:widowControl w:val="false"/>
              <w:rPr>
                <w:bCs/>
                <w:sz w:val="22"/>
                <w:szCs w:val="22"/>
              </w:rPr>
            </w:pPr>
            <w:r>
              <w:rPr>
                <w:bCs/>
                <w:sz w:val="22"/>
                <w:szCs w:val="22"/>
              </w:rPr>
              <w:t xml:space="preserve">Банк ГПБ (АО) г. Москва </w:t>
            </w:r>
          </w:p>
          <w:p>
            <w:pPr>
              <w:pStyle w:val="Normal"/>
              <w:widowControl w:val="false"/>
              <w:rPr>
                <w:bCs/>
                <w:sz w:val="22"/>
                <w:szCs w:val="22"/>
              </w:rPr>
            </w:pPr>
            <w:r>
              <w:rPr>
                <w:bCs/>
                <w:sz w:val="22"/>
                <w:szCs w:val="22"/>
              </w:rPr>
              <w:t>БИК 044525823</w:t>
            </w:r>
          </w:p>
          <w:p>
            <w:pPr>
              <w:pStyle w:val="Normal"/>
              <w:widowControl w:val="false"/>
              <w:rPr>
                <w:bCs/>
                <w:sz w:val="22"/>
                <w:szCs w:val="22"/>
              </w:rPr>
            </w:pPr>
            <w:r>
              <w:rPr>
                <w:bCs/>
                <w:sz w:val="22"/>
                <w:szCs w:val="22"/>
              </w:rPr>
              <w:t>к/с 30101810200000000823</w:t>
            </w:r>
          </w:p>
          <w:p>
            <w:pPr>
              <w:pStyle w:val="Normal"/>
              <w:widowControl w:val="false"/>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5">
              <w:r>
                <w:rPr>
                  <w:rStyle w:val="Hyperlink"/>
                  <w:sz w:val="22"/>
                  <w:szCs w:val="22"/>
                  <w:lang w:val="en-US"/>
                </w:rPr>
                <w:t>volzhsky</w:t>
              </w:r>
              <w:r>
                <w:rPr>
                  <w:rStyle w:val="Hyperlink"/>
                  <w:sz w:val="22"/>
                  <w:szCs w:val="22"/>
                </w:rPr>
                <w:t>@</w:t>
              </w:r>
              <w:r>
                <w:rPr>
                  <w:rStyle w:val="Hyperlink"/>
                  <w:sz w:val="22"/>
                  <w:szCs w:val="22"/>
                  <w:lang w:val="en-US"/>
                </w:rPr>
                <w:t>rushydro</w:t>
              </w:r>
              <w:r>
                <w:rPr>
                  <w:rStyle w:val="Hyperlink"/>
                  <w:sz w:val="22"/>
                  <w:szCs w:val="22"/>
                </w:rPr>
                <w:t>.</w:t>
              </w:r>
              <w:r>
                <w:rPr>
                  <w:rStyle w:val="Hyperlink"/>
                  <w:sz w:val="22"/>
                  <w:szCs w:val="22"/>
                  <w:lang w:val="en-US"/>
                </w:rPr>
                <w:t>ru</w:t>
              </w:r>
            </w:hyperlink>
          </w:p>
          <w:p>
            <w:pPr>
              <w:pStyle w:val="Normal"/>
              <w:widowControl w:val="false"/>
              <w:rPr>
                <w:sz w:val="22"/>
                <w:szCs w:val="22"/>
              </w:rPr>
            </w:pPr>
            <w:r>
              <w:rPr>
                <w:sz w:val="22"/>
                <w:szCs w:val="22"/>
              </w:rPr>
              <w:t>Тел./факс: (8443) 41-00-40</w:t>
            </w:r>
          </w:p>
          <w:p>
            <w:pPr>
              <w:pStyle w:val="Normal"/>
              <w:widowControl w:val="false"/>
              <w:rPr>
                <w:sz w:val="22"/>
                <w:szCs w:val="22"/>
              </w:rPr>
            </w:pPr>
            <w:r>
              <w:rPr>
                <w:sz w:val="22"/>
                <w:szCs w:val="22"/>
              </w:rPr>
            </w:r>
          </w:p>
          <w:p>
            <w:pPr>
              <w:pStyle w:val="Normal"/>
              <w:widowControl w:val="false"/>
              <w:rPr>
                <w:sz w:val="22"/>
                <w:szCs w:val="22"/>
              </w:rPr>
            </w:pPr>
            <w:r>
              <w:rPr>
                <w:sz w:val="22"/>
                <w:szCs w:val="22"/>
              </w:rPr>
              <w:t>Директор Волжского филиала</w:t>
            </w:r>
          </w:p>
          <w:p>
            <w:pPr>
              <w:pStyle w:val="Normal"/>
              <w:widowControl w:val="false"/>
              <w:rPr>
                <w:b/>
                <w:sz w:val="22"/>
                <w:szCs w:val="22"/>
              </w:rPr>
            </w:pPr>
            <w:r>
              <w:rPr>
                <w:sz w:val="22"/>
                <w:szCs w:val="22"/>
              </w:rPr>
              <w:t>в г. Волжский</w:t>
            </w:r>
          </w:p>
          <w:p>
            <w:pPr>
              <w:pStyle w:val="Normal"/>
              <w:widowControl w:val="false"/>
              <w:ind w:firstLine="567"/>
              <w:rPr>
                <w:b/>
                <w:sz w:val="22"/>
                <w:szCs w:val="22"/>
              </w:rPr>
            </w:pPr>
            <w:r>
              <w:rPr>
                <w:b/>
                <w:sz w:val="22"/>
                <w:szCs w:val="22"/>
              </w:rPr>
            </w:r>
          </w:p>
          <w:p>
            <w:pPr>
              <w:pStyle w:val="Normal"/>
              <w:widowControl w:val="false"/>
              <w:rPr>
                <w:sz w:val="22"/>
                <w:szCs w:val="22"/>
              </w:rPr>
            </w:pPr>
            <w:r>
              <w:rPr>
                <w:b/>
                <w:sz w:val="22"/>
                <w:szCs w:val="22"/>
              </w:rPr>
              <w:t xml:space="preserve">_______________ </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6"/>
          <w:footerReference w:type="even" r:id="rId7"/>
          <w:footerReference w:type="default" r:id="rId8"/>
          <w:footerReference w:type="first" r:id="rId9"/>
          <w:type w:val="nextPage"/>
          <w:pgSz w:w="11906" w:h="16838"/>
          <w:pgMar w:left="1276" w:right="851" w:gutter="0" w:header="720" w:top="777" w:footer="720" w:bottom="777"/>
          <w:pgNumType w:fmt="decimal"/>
          <w:formProt w:val="false"/>
          <w:textDirection w:val="lrTb"/>
          <w:docGrid w:type="default" w:linePitch="272" w:charSpace="16384"/>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2025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6" w:name="_GoBack_Копия_1"/>
      <w:bookmarkEnd w:id="6"/>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0"/>
        <w:gridCol w:w="3545"/>
        <w:gridCol w:w="1418"/>
        <w:gridCol w:w="1420"/>
        <w:gridCol w:w="1423"/>
        <w:gridCol w:w="1414"/>
      </w:tblGrid>
      <w:tr>
        <w:trPr/>
        <w:tc>
          <w:tcPr>
            <w:tcW w:w="68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w:t>
            </w:r>
          </w:p>
          <w:p>
            <w:pPr>
              <w:pStyle w:val="Normal"/>
              <w:keepNext w:val="true"/>
              <w:widowControl w:val="false"/>
              <w:suppressAutoHyphens w:val="true"/>
              <w:jc w:val="center"/>
              <w:rPr>
                <w:sz w:val="22"/>
                <w:szCs w:val="22"/>
              </w:rPr>
            </w:pPr>
            <w:r>
              <w:rPr>
                <w:sz w:val="22"/>
                <w:szCs w:val="22"/>
              </w:rPr>
              <w:t>п/п</w:t>
            </w:r>
          </w:p>
        </w:tc>
        <w:tc>
          <w:tcPr>
            <w:tcW w:w="354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Единица измерения</w:t>
            </w:r>
          </w:p>
        </w:tc>
        <w:tc>
          <w:tcPr>
            <w:tcW w:w="142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Количество</w:t>
            </w:r>
          </w:p>
        </w:tc>
        <w:tc>
          <w:tcPr>
            <w:tcW w:w="1423"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Цена одной единицы Продукции, руб., с НДС 20%</w:t>
            </w:r>
          </w:p>
        </w:tc>
        <w:tc>
          <w:tcPr>
            <w:tcW w:w="141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uppressAutoHyphens w:val="true"/>
              <w:jc w:val="center"/>
              <w:rPr>
                <w:sz w:val="22"/>
                <w:szCs w:val="22"/>
              </w:rPr>
            </w:pPr>
            <w:r>
              <w:rPr>
                <w:sz w:val="22"/>
                <w:szCs w:val="22"/>
              </w:rPr>
              <w:t>Итоговая стоимость позиции Продукции, руб. с НДС 20%</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1</w:t>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3</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4</w:t>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5</w:t>
            </w:r>
          </w:p>
        </w:tc>
        <w:tc>
          <w:tcPr>
            <w:tcW w:w="141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2"/>
                <w:szCs w:val="22"/>
              </w:rPr>
            </w:pPr>
            <w:r>
              <w:rPr>
                <w:b/>
                <w:sz w:val="22"/>
                <w:szCs w:val="22"/>
              </w:rPr>
              <w:t>6</w:t>
            </w:r>
          </w:p>
        </w:tc>
      </w:tr>
      <w:tr>
        <w:trPr/>
        <w:tc>
          <w:tcPr>
            <w:tcW w:w="68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uppressAutoHyphens w:val="true"/>
              <w:spacing w:before="0" w:after="0"/>
              <w:contextualSpacing/>
              <w:rPr>
                <w:rFonts w:eastAsia="Calibri"/>
                <w:sz w:val="22"/>
                <w:szCs w:val="22"/>
              </w:rPr>
            </w:pPr>
            <w:r>
              <w:rPr>
                <w:rFonts w:eastAsia="Calibri"/>
                <w:sz w:val="22"/>
                <w:szCs w:val="22"/>
              </w:rPr>
            </w:r>
          </w:p>
        </w:tc>
        <w:tc>
          <w:tcPr>
            <w:tcW w:w="3545"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4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Итого с НДС 20%</w:t>
            </w:r>
          </w:p>
        </w:tc>
        <w:tc>
          <w:tcPr>
            <w:tcW w:w="1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48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В том числе НДС 20%</w:t>
            </w:r>
          </w:p>
        </w:tc>
        <w:tc>
          <w:tcPr>
            <w:tcW w:w="14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suppressAutoHyphens w:val="true"/>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с НДС 20%</w:t>
      </w:r>
      <w:r>
        <w:rPr>
          <w:bCs/>
          <w:sz w:val="22"/>
          <w:szCs w:val="22"/>
        </w:rPr>
        <w:t>.</w:t>
      </w:r>
    </w:p>
    <w:p>
      <w:pPr>
        <w:pStyle w:val="Normal"/>
        <w:ind w:firstLine="567"/>
        <w:jc w:val="both"/>
        <w:rPr>
          <w:bCs/>
          <w:sz w:val="22"/>
          <w:szCs w:val="22"/>
        </w:rPr>
      </w:pPr>
      <w:r>
        <w:rPr>
          <w:bCs/>
          <w:sz w:val="22"/>
          <w:szCs w:val="22"/>
        </w:rPr>
        <w:t xml:space="preserve">2. Страна производства по ОКСМ: 643, </w:t>
      </w:r>
      <w:r>
        <w:rPr>
          <w:bCs/>
          <w:sz w:val="22"/>
          <w:szCs w:val="22"/>
          <w:lang w:val="en-US"/>
        </w:rPr>
        <w:t>RU</w:t>
      </w:r>
      <w:r>
        <w:rPr>
          <w:bCs/>
          <w:sz w:val="22"/>
          <w:szCs w:val="22"/>
        </w:rPr>
        <w:t xml:space="preserve">, </w:t>
      </w:r>
      <w:r>
        <w:rPr>
          <w:bCs/>
          <w:sz w:val="22"/>
          <w:szCs w:val="22"/>
          <w:lang w:val="en-US"/>
        </w:rPr>
        <w:t>RUS</w:t>
      </w:r>
      <w:r>
        <w:rPr>
          <w:bCs/>
          <w:sz w:val="22"/>
          <w:szCs w:val="22"/>
        </w:rPr>
        <w:t>.</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3"/>
        <w:gridCol w:w="5102"/>
      </w:tblGrid>
      <w:tr>
        <w:trPr/>
        <w:tc>
          <w:tcPr>
            <w:tcW w:w="5353"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t xml:space="preserve"> </w:t>
            </w:r>
            <w:r>
              <w:rPr>
                <w:sz w:val="22"/>
                <w:szCs w:val="22"/>
              </w:rPr>
              <w:t>Волжского филиала</w:t>
            </w:r>
          </w:p>
          <w:p>
            <w:pPr>
              <w:pStyle w:val="Normal"/>
              <w:widowControl w:val="false"/>
              <w:rPr>
                <w:sz w:val="22"/>
                <w:szCs w:val="22"/>
              </w:rPr>
            </w:pPr>
            <w:r>
              <w:rPr>
                <w:sz w:val="22"/>
                <w:szCs w:val="22"/>
              </w:rPr>
              <w:t>АО «Гидроремонт-ВКК» в г. Волжский</w:t>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2"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t>Директор</w:t>
            </w:r>
          </w:p>
          <w:p>
            <w:pPr>
              <w:pStyle w:val="Normal"/>
              <w:widowControl w:val="false"/>
              <w:rPr>
                <w:sz w:val="22"/>
                <w:szCs w:val="22"/>
              </w:rPr>
            </w:pPr>
            <w:r>
              <w:rPr>
                <w:sz w:val="22"/>
                <w:szCs w:val="22"/>
              </w:rPr>
              <w:t>ООО «__________________»</w:t>
            </w:r>
          </w:p>
        </w:tc>
      </w:tr>
      <w:tr>
        <w:trPr/>
        <w:tc>
          <w:tcPr>
            <w:tcW w:w="5353"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2"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BodyText"/>
        <w:numPr>
          <w:ilvl w:val="0"/>
          <w:numId w:val="0"/>
        </w:numPr>
        <w:ind w:left="0" w:firstLine="567"/>
        <w:jc w:val="right"/>
        <w:outlineLvl w:val="0"/>
        <w:rPr>
          <w:bCs/>
          <w:szCs w:val="22"/>
        </w:rPr>
      </w:pPr>
      <w:r>
        <w:rPr>
          <w:bCs/>
          <w:szCs w:val="22"/>
        </w:rPr>
        <w:t>Приложение № 3</w:t>
      </w:r>
    </w:p>
    <w:p>
      <w:pPr>
        <w:pStyle w:val="BodyText"/>
        <w:ind w:firstLine="567"/>
        <w:jc w:val="right"/>
        <w:rPr>
          <w:bCs/>
          <w:szCs w:val="22"/>
        </w:rPr>
      </w:pPr>
      <w:r>
        <w:rPr>
          <w:bCs/>
          <w:szCs w:val="22"/>
        </w:rPr>
        <w:t xml:space="preserve">к договору поставки № ____________2025 </w:t>
      </w:r>
    </w:p>
    <w:p>
      <w:pPr>
        <w:pStyle w:val="BodyText"/>
        <w:ind w:firstLine="567"/>
        <w:jc w:val="right"/>
        <w:rPr>
          <w:bCs/>
          <w:szCs w:val="22"/>
        </w:rPr>
      </w:pPr>
      <w:r>
        <w:rPr>
          <w:bCs/>
          <w:szCs w:val="22"/>
        </w:rPr>
        <w:t>от ___________2025 г.</w:t>
      </w:r>
    </w:p>
    <w:p>
      <w:pPr>
        <w:pStyle w:val="Normal"/>
        <w:numPr>
          <w:ilvl w:val="0"/>
          <w:numId w:val="0"/>
        </w:numPr>
        <w:ind w:left="0" w:firstLine="567"/>
        <w:jc w:val="center"/>
        <w:outlineLvl w:val="0"/>
        <w:rPr>
          <w:b/>
          <w:sz w:val="22"/>
          <w:szCs w:val="22"/>
          <w:u w:val="single"/>
        </w:rPr>
      </w:pPr>
      <w:r>
        <w:rPr>
          <w:b/>
          <w:sz w:val="22"/>
          <w:szCs w:val="22"/>
          <w:u w:val="single"/>
        </w:rPr>
      </w:r>
    </w:p>
    <w:p>
      <w:pPr>
        <w:pStyle w:val="Normal"/>
        <w:numPr>
          <w:ilvl w:val="0"/>
          <w:numId w:val="0"/>
        </w:numPr>
        <w:ind w:left="0" w:hanging="0"/>
        <w:jc w:val="center"/>
        <w:outlineLvl w:val="0"/>
        <w:rPr>
          <w:b/>
          <w:color w:val="0070C0"/>
          <w:sz w:val="22"/>
          <w:szCs w:val="22"/>
          <w:u w:val="single"/>
        </w:rPr>
      </w:pPr>
      <w:r>
        <w:rPr>
          <w:b/>
          <w:color w:val="0070C0"/>
          <w:sz w:val="22"/>
          <w:szCs w:val="22"/>
          <w:u w:val="single"/>
        </w:rPr>
        <w:t>ФОРМА</w:t>
      </w:r>
    </w:p>
    <w:p>
      <w:pPr>
        <w:pStyle w:val="Normal"/>
        <w:numPr>
          <w:ilvl w:val="0"/>
          <w:numId w:val="0"/>
        </w:numPr>
        <w:ind w:left="0" w:hanging="0"/>
        <w:jc w:val="center"/>
        <w:outlineLvl w:val="0"/>
        <w:rPr>
          <w:b/>
          <w:color w:val="0070C0"/>
          <w:sz w:val="22"/>
          <w:szCs w:val="22"/>
          <w:u w:val="single"/>
        </w:rPr>
      </w:pPr>
      <w:r>
        <w:rPr>
          <w:b/>
          <w:color w:val="0070C0"/>
          <w:sz w:val="22"/>
          <w:szCs w:val="22"/>
        </w:rPr>
        <w:t>Заявки-спецификации</w:t>
      </w:r>
    </w:p>
    <w:p>
      <w:pPr>
        <w:pStyle w:val="Normal"/>
        <w:numPr>
          <w:ilvl w:val="0"/>
          <w:numId w:val="0"/>
        </w:numPr>
        <w:ind w:left="0" w:firstLine="567"/>
        <w:outlineLvl w:val="0"/>
        <w:rPr>
          <w:b/>
          <w:sz w:val="22"/>
          <w:szCs w:val="22"/>
        </w:rPr>
      </w:pPr>
      <w:r>
        <w:rPr>
          <w:b/>
          <w:sz w:val="22"/>
          <w:szCs w:val="22"/>
        </w:rPr>
        <mc:AlternateContent>
          <mc:Choice Requires="wps">
            <w:drawing>
              <wp:anchor behindDoc="0" distT="6985" distB="6985" distL="6985" distR="6985" simplePos="0" locked="0" layoutInCell="0" allowOverlap="1" relativeHeight="3" wp14:anchorId="5CD57672">
                <wp:simplePos x="0" y="0"/>
                <wp:positionH relativeFrom="column">
                  <wp:posOffset>-110490</wp:posOffset>
                </wp:positionH>
                <wp:positionV relativeFrom="paragraph">
                  <wp:posOffset>109855</wp:posOffset>
                </wp:positionV>
                <wp:extent cx="6118860" cy="635"/>
                <wp:effectExtent l="6985" t="6985" r="6985" b="6985"/>
                <wp:wrapNone/>
                <wp:docPr id="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5CD57672">
                <v:stroke color="black" weight="12600" joinstyle="round" endcap="flat"/>
                <v:fill o:detectmouseclick="t" on="false"/>
                <w10:wrap type="none"/>
              </v:line>
            </w:pict>
          </mc:Fallback>
        </mc:AlternateContent>
      </w:r>
    </w:p>
    <w:tbl>
      <w:tblPr>
        <w:tblStyle w:val="a5"/>
        <w:tblW w:w="407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7"/>
      </w:tblGrid>
      <w:tr>
        <w:trPr/>
        <w:tc>
          <w:tcPr>
            <w:tcW w:w="4077" w:type="dxa"/>
            <w:tcBorders/>
          </w:tcPr>
          <w:p>
            <w:pPr>
              <w:pStyle w:val="Normal"/>
              <w:widowControl w:val="false"/>
              <w:numPr>
                <w:ilvl w:val="0"/>
                <w:numId w:val="0"/>
              </w:numPr>
              <w:suppressAutoHyphens w:val="true"/>
              <w:spacing w:before="0" w:after="0"/>
              <w:ind w:left="0" w:firstLine="567"/>
              <w:jc w:val="left"/>
              <w:outlineLvl w:val="0"/>
              <w:rPr>
                <w:b/>
                <w:sz w:val="22"/>
                <w:szCs w:val="22"/>
              </w:rPr>
            </w:pPr>
            <w:r>
              <w:rPr>
                <w:b/>
                <w:sz w:val="22"/>
                <w:szCs w:val="22"/>
              </w:rPr>
            </w:r>
          </w:p>
          <w:p>
            <w:pPr>
              <w:pStyle w:val="Normal"/>
              <w:widowControl w:val="false"/>
              <w:numPr>
                <w:ilvl w:val="0"/>
                <w:numId w:val="0"/>
              </w:numPr>
              <w:suppressAutoHyphens w:val="true"/>
              <w:spacing w:before="0" w:after="0"/>
              <w:ind w:left="0" w:firstLine="567"/>
              <w:jc w:val="left"/>
              <w:outlineLvl w:val="0"/>
              <w:rPr>
                <w:b/>
                <w:sz w:val="22"/>
                <w:szCs w:val="22"/>
              </w:rPr>
            </w:pPr>
            <w:r>
              <w:rPr>
                <w:b/>
                <w:sz w:val="22"/>
                <w:szCs w:val="22"/>
              </w:rPr>
            </w:r>
          </w:p>
          <w:p>
            <w:pPr>
              <w:pStyle w:val="Normal"/>
              <w:widowControl w:val="false"/>
              <w:numPr>
                <w:ilvl w:val="0"/>
                <w:numId w:val="0"/>
              </w:numPr>
              <w:suppressAutoHyphens w:val="true"/>
              <w:spacing w:before="0" w:after="0"/>
              <w:ind w:left="0" w:firstLine="567"/>
              <w:jc w:val="left"/>
              <w:outlineLvl w:val="0"/>
              <w:rPr>
                <w:b/>
                <w:sz w:val="22"/>
                <w:szCs w:val="22"/>
              </w:rPr>
            </w:pPr>
            <w:r>
              <w:rPr>
                <w:b/>
                <w:sz w:val="22"/>
                <w:szCs w:val="22"/>
              </w:rPr>
            </w:r>
          </w:p>
        </w:tc>
      </w:tr>
    </w:tbl>
    <w:p>
      <w:pPr>
        <w:pStyle w:val="Normal"/>
        <w:numPr>
          <w:ilvl w:val="0"/>
          <w:numId w:val="0"/>
        </w:numPr>
        <w:ind w:left="0" w:firstLine="567"/>
        <w:jc w:val="center"/>
        <w:outlineLvl w:val="0"/>
        <w:rPr>
          <w:b/>
          <w:sz w:val="22"/>
          <w:szCs w:val="22"/>
        </w:rPr>
      </w:pPr>
      <w:r>
        <w:rPr>
          <w:b/>
          <w:sz w:val="22"/>
          <w:szCs w:val="22"/>
        </w:rPr>
        <w:t>Заявка-спецификация № 1 от __________2025 г.</w:t>
      </w:r>
    </w:p>
    <w:p>
      <w:pPr>
        <w:pStyle w:val="Normal"/>
        <w:numPr>
          <w:ilvl w:val="0"/>
          <w:numId w:val="0"/>
        </w:numPr>
        <w:ind w:left="0" w:firstLine="567"/>
        <w:jc w:val="center"/>
        <w:outlineLvl w:val="0"/>
        <w:rPr>
          <w:b/>
          <w:sz w:val="22"/>
          <w:szCs w:val="22"/>
        </w:rPr>
      </w:pPr>
      <w:r>
        <w:rPr>
          <w:b/>
          <w:sz w:val="22"/>
          <w:szCs w:val="22"/>
        </w:rPr>
      </w:r>
    </w:p>
    <w:tbl>
      <w:tblPr>
        <w:tblW w:w="10086" w:type="dxa"/>
        <w:jc w:val="left"/>
        <w:tblInd w:w="-31" w:type="dxa"/>
        <w:tblLayout w:type="fixed"/>
        <w:tblCellMar>
          <w:top w:w="0" w:type="dxa"/>
          <w:left w:w="28" w:type="dxa"/>
          <w:bottom w:w="0" w:type="dxa"/>
          <w:right w:w="28" w:type="dxa"/>
        </w:tblCellMar>
      </w:tblPr>
      <w:tblGrid>
        <w:gridCol w:w="725"/>
        <w:gridCol w:w="5173"/>
        <w:gridCol w:w="729"/>
        <w:gridCol w:w="1019"/>
        <w:gridCol w:w="1174"/>
        <w:gridCol w:w="1265"/>
      </w:tblGrid>
      <w:tr>
        <w:trPr>
          <w:trHeight w:val="477" w:hRule="atLeast"/>
        </w:trPr>
        <w:tc>
          <w:tcPr>
            <w:tcW w:w="725" w:type="dxa"/>
            <w:tcBorders>
              <w:top w:val="single" w:sz="2" w:space="0" w:color="000000"/>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t xml:space="preserve"> </w:t>
            </w:r>
            <w:r>
              <w:rPr>
                <w:b/>
              </w:rPr>
              <w:t xml:space="preserve">№ </w:t>
            </w:r>
            <w:r>
              <w:rPr>
                <w:b/>
              </w:rPr>
              <w:t>п/п</w:t>
            </w:r>
          </w:p>
        </w:tc>
        <w:tc>
          <w:tcPr>
            <w:tcW w:w="5173" w:type="dxa"/>
            <w:tcBorders>
              <w:top w:val="single" w:sz="2" w:space="0" w:color="000000"/>
              <w:left w:val="single" w:sz="2" w:space="0" w:color="000000"/>
              <w:bottom w:val="single" w:sz="2" w:space="0" w:color="000000"/>
            </w:tcBorders>
          </w:tcPr>
          <w:p>
            <w:pPr>
              <w:pStyle w:val="Normal"/>
              <w:widowControl w:val="false"/>
              <w:tabs>
                <w:tab w:val="clear" w:pos="720"/>
              </w:tabs>
              <w:jc w:val="left"/>
              <w:rPr>
                <w:b/>
                <w:sz w:val="22"/>
                <w:szCs w:val="22"/>
              </w:rPr>
            </w:pPr>
            <w:r>
              <w:rPr>
                <w:b/>
              </w:rPr>
              <w:t>Наименование</w:t>
            </w:r>
          </w:p>
        </w:tc>
        <w:tc>
          <w:tcPr>
            <w:tcW w:w="729" w:type="dxa"/>
            <w:tcBorders>
              <w:top w:val="single" w:sz="2" w:space="0" w:color="000000"/>
              <w:left w:val="single" w:sz="2" w:space="0" w:color="000000"/>
              <w:bottom w:val="single" w:sz="2" w:space="0" w:color="000000"/>
            </w:tcBorders>
          </w:tcPr>
          <w:p>
            <w:pPr>
              <w:pStyle w:val="Normal"/>
              <w:widowControl w:val="false"/>
              <w:tabs>
                <w:tab w:val="clear" w:pos="720"/>
              </w:tabs>
              <w:jc w:val="left"/>
              <w:rPr>
                <w:b/>
                <w:sz w:val="22"/>
                <w:szCs w:val="22"/>
              </w:rPr>
            </w:pPr>
            <w:r>
              <w:rPr>
                <w:b/>
              </w:rPr>
              <w:t>Ед.изм.</w:t>
            </w:r>
          </w:p>
        </w:tc>
        <w:tc>
          <w:tcPr>
            <w:tcW w:w="1019" w:type="dxa"/>
            <w:tcBorders>
              <w:top w:val="single" w:sz="2" w:space="0" w:color="000000"/>
              <w:left w:val="single" w:sz="2" w:space="0" w:color="000000"/>
              <w:bottom w:val="single" w:sz="2" w:space="0" w:color="000000"/>
            </w:tcBorders>
          </w:tcPr>
          <w:p>
            <w:pPr>
              <w:pStyle w:val="Normal"/>
              <w:widowControl w:val="false"/>
              <w:tabs>
                <w:tab w:val="clear" w:pos="720"/>
              </w:tabs>
              <w:jc w:val="left"/>
              <w:rPr>
                <w:b/>
                <w:sz w:val="22"/>
                <w:szCs w:val="22"/>
              </w:rPr>
            </w:pPr>
            <w:r>
              <w:rPr>
                <w:b/>
              </w:rPr>
              <w:t>Кол-во</w:t>
            </w:r>
          </w:p>
        </w:tc>
        <w:tc>
          <w:tcPr>
            <w:tcW w:w="1174" w:type="dxa"/>
            <w:tcBorders>
              <w:top w:val="single" w:sz="2" w:space="0" w:color="000000"/>
              <w:left w:val="single" w:sz="2" w:space="0" w:color="000000"/>
              <w:bottom w:val="single" w:sz="2" w:space="0" w:color="000000"/>
            </w:tcBorders>
          </w:tcPr>
          <w:p>
            <w:pPr>
              <w:pStyle w:val="Normal"/>
              <w:widowControl w:val="false"/>
              <w:tabs>
                <w:tab w:val="clear" w:pos="720"/>
              </w:tabs>
              <w:jc w:val="left"/>
              <w:rPr>
                <w:b/>
                <w:sz w:val="22"/>
                <w:szCs w:val="22"/>
              </w:rPr>
            </w:pPr>
            <w:r>
              <w:rPr>
                <w:b/>
              </w:rPr>
              <w:t>Цена за ед., руб. с НДС</w:t>
            </w:r>
          </w:p>
        </w:tc>
        <w:tc>
          <w:tcPr>
            <w:tcW w:w="1265" w:type="dxa"/>
            <w:tcBorders>
              <w:top w:val="single" w:sz="2" w:space="0" w:color="000000"/>
              <w:left w:val="single" w:sz="2" w:space="0" w:color="000000"/>
              <w:bottom w:val="single" w:sz="2" w:space="0" w:color="000000"/>
              <w:right w:val="single" w:sz="2" w:space="0" w:color="000000"/>
            </w:tcBorders>
          </w:tcPr>
          <w:p>
            <w:pPr>
              <w:pStyle w:val="Normal"/>
              <w:widowControl w:val="false"/>
              <w:tabs>
                <w:tab w:val="clear" w:pos="720"/>
              </w:tabs>
              <w:jc w:val="left"/>
              <w:rPr>
                <w:b/>
                <w:sz w:val="22"/>
                <w:szCs w:val="22"/>
              </w:rPr>
            </w:pPr>
            <w:r>
              <w:rPr>
                <w:b/>
              </w:rPr>
              <w:t>Стоимость, руб. с НДС</w:t>
            </w:r>
          </w:p>
        </w:tc>
      </w:tr>
      <w:tr>
        <w:trPr>
          <w:trHeight w:val="477" w:hRule="atLeast"/>
        </w:trPr>
        <w:tc>
          <w:tcPr>
            <w:tcW w:w="725"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5173"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72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01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174"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265" w:type="dxa"/>
            <w:tcBorders>
              <w:left w:val="single" w:sz="2" w:space="0" w:color="000000"/>
              <w:bottom w:val="single" w:sz="2" w:space="0" w:color="000000"/>
              <w:right w:val="single" w:sz="2" w:space="0" w:color="000000"/>
            </w:tcBorders>
          </w:tcPr>
          <w:p>
            <w:pPr>
              <w:pStyle w:val="Normal"/>
              <w:widowControl w:val="false"/>
              <w:tabs>
                <w:tab w:val="clear" w:pos="720"/>
              </w:tabs>
              <w:jc w:val="left"/>
              <w:rPr>
                <w:b/>
                <w:sz w:val="22"/>
                <w:szCs w:val="22"/>
              </w:rPr>
            </w:pPr>
            <w:r>
              <w:rPr>
                <w:b/>
                <w:sz w:val="22"/>
                <w:szCs w:val="22"/>
              </w:rPr>
            </w:r>
          </w:p>
        </w:tc>
      </w:tr>
      <w:tr>
        <w:trPr>
          <w:trHeight w:val="477" w:hRule="atLeast"/>
        </w:trPr>
        <w:tc>
          <w:tcPr>
            <w:tcW w:w="725"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5173"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72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01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174"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265" w:type="dxa"/>
            <w:tcBorders>
              <w:left w:val="single" w:sz="2" w:space="0" w:color="000000"/>
              <w:bottom w:val="single" w:sz="2" w:space="0" w:color="000000"/>
              <w:right w:val="single" w:sz="2" w:space="0" w:color="000000"/>
            </w:tcBorders>
          </w:tcPr>
          <w:p>
            <w:pPr>
              <w:pStyle w:val="Normal"/>
              <w:widowControl w:val="false"/>
              <w:tabs>
                <w:tab w:val="clear" w:pos="720"/>
              </w:tabs>
              <w:jc w:val="left"/>
              <w:rPr>
                <w:b/>
                <w:sz w:val="22"/>
                <w:szCs w:val="22"/>
              </w:rPr>
            </w:pPr>
            <w:r>
              <w:rPr>
                <w:b/>
                <w:sz w:val="22"/>
                <w:szCs w:val="22"/>
              </w:rPr>
            </w:r>
          </w:p>
        </w:tc>
      </w:tr>
      <w:tr>
        <w:trPr>
          <w:trHeight w:val="477" w:hRule="atLeast"/>
        </w:trPr>
        <w:tc>
          <w:tcPr>
            <w:tcW w:w="725"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5173"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72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01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174"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265" w:type="dxa"/>
            <w:tcBorders>
              <w:left w:val="single" w:sz="2" w:space="0" w:color="000000"/>
              <w:bottom w:val="single" w:sz="2" w:space="0" w:color="000000"/>
              <w:right w:val="single" w:sz="2" w:space="0" w:color="000000"/>
            </w:tcBorders>
          </w:tcPr>
          <w:p>
            <w:pPr>
              <w:pStyle w:val="Normal"/>
              <w:widowControl w:val="false"/>
              <w:tabs>
                <w:tab w:val="clear" w:pos="720"/>
              </w:tabs>
              <w:jc w:val="left"/>
              <w:rPr>
                <w:b/>
                <w:sz w:val="22"/>
                <w:szCs w:val="22"/>
              </w:rPr>
            </w:pPr>
            <w:r>
              <w:rPr>
                <w:b/>
                <w:sz w:val="22"/>
                <w:szCs w:val="22"/>
              </w:rPr>
            </w:r>
          </w:p>
        </w:tc>
      </w:tr>
      <w:tr>
        <w:trPr>
          <w:trHeight w:val="477" w:hRule="atLeast"/>
        </w:trPr>
        <w:tc>
          <w:tcPr>
            <w:tcW w:w="725"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5173"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72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019"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174" w:type="dxa"/>
            <w:tcBorders>
              <w:left w:val="single" w:sz="2" w:space="0" w:color="000000"/>
              <w:bottom w:val="single" w:sz="2" w:space="0" w:color="000000"/>
            </w:tcBorders>
          </w:tcPr>
          <w:p>
            <w:pPr>
              <w:pStyle w:val="Normal"/>
              <w:widowControl w:val="false"/>
              <w:tabs>
                <w:tab w:val="clear" w:pos="720"/>
              </w:tabs>
              <w:jc w:val="left"/>
              <w:rPr>
                <w:b/>
                <w:sz w:val="22"/>
                <w:szCs w:val="22"/>
              </w:rPr>
            </w:pPr>
            <w:r>
              <w:rPr>
                <w:b/>
                <w:sz w:val="22"/>
                <w:szCs w:val="22"/>
              </w:rPr>
            </w:r>
          </w:p>
        </w:tc>
        <w:tc>
          <w:tcPr>
            <w:tcW w:w="1265" w:type="dxa"/>
            <w:tcBorders>
              <w:left w:val="single" w:sz="2" w:space="0" w:color="000000"/>
              <w:bottom w:val="single" w:sz="2" w:space="0" w:color="000000"/>
              <w:right w:val="single" w:sz="2" w:space="0" w:color="000000"/>
            </w:tcBorders>
          </w:tcPr>
          <w:p>
            <w:pPr>
              <w:pStyle w:val="Normal"/>
              <w:widowControl w:val="false"/>
              <w:tabs>
                <w:tab w:val="clear" w:pos="720"/>
              </w:tabs>
              <w:jc w:val="left"/>
              <w:rPr>
                <w:b/>
                <w:sz w:val="22"/>
                <w:szCs w:val="22"/>
              </w:rPr>
            </w:pPr>
            <w:r>
              <w:rPr>
                <w:b/>
                <w:sz w:val="22"/>
                <w:szCs w:val="22"/>
              </w:rPr>
            </w:r>
          </w:p>
        </w:tc>
      </w:tr>
      <w:tr>
        <w:trPr>
          <w:trHeight w:val="276" w:hRule="atLeast"/>
        </w:trPr>
        <w:tc>
          <w:tcPr>
            <w:tcW w:w="8820" w:type="dxa"/>
            <w:gridSpan w:val="5"/>
            <w:tcBorders>
              <w:left w:val="single" w:sz="2" w:space="0" w:color="000000"/>
              <w:bottom w:val="single" w:sz="2" w:space="0" w:color="000000"/>
            </w:tcBorders>
            <w:vAlign w:val="bottom"/>
          </w:tcPr>
          <w:p>
            <w:pPr>
              <w:pStyle w:val="Normal"/>
              <w:widowControl w:val="false"/>
              <w:tabs>
                <w:tab w:val="clear" w:pos="720"/>
              </w:tabs>
              <w:jc w:val="right"/>
              <w:rPr>
                <w:b/>
                <w:sz w:val="22"/>
                <w:szCs w:val="22"/>
              </w:rPr>
            </w:pPr>
            <w:r>
              <w:rPr/>
              <w:t>Итого с НДС 20%:</w:t>
            </w:r>
          </w:p>
        </w:tc>
        <w:tc>
          <w:tcPr>
            <w:tcW w:w="1265" w:type="dxa"/>
            <w:tcBorders>
              <w:left w:val="single" w:sz="2" w:space="0" w:color="000000"/>
              <w:bottom w:val="single" w:sz="2" w:space="0" w:color="000000"/>
              <w:right w:val="single" w:sz="2" w:space="0" w:color="000000"/>
            </w:tcBorders>
            <w:vAlign w:val="bottom"/>
          </w:tcPr>
          <w:p>
            <w:pPr>
              <w:pStyle w:val="Normal"/>
              <w:widowControl w:val="false"/>
              <w:tabs>
                <w:tab w:val="clear" w:pos="720"/>
              </w:tabs>
              <w:jc w:val="right"/>
              <w:rPr>
                <w:b/>
                <w:sz w:val="22"/>
                <w:szCs w:val="22"/>
              </w:rPr>
            </w:pPr>
            <w:r>
              <w:rPr>
                <w:b/>
                <w:sz w:val="22"/>
                <w:szCs w:val="22"/>
              </w:rPr>
            </w:r>
          </w:p>
        </w:tc>
      </w:tr>
      <w:tr>
        <w:trPr>
          <w:trHeight w:val="276" w:hRule="atLeast"/>
        </w:trPr>
        <w:tc>
          <w:tcPr>
            <w:tcW w:w="8820" w:type="dxa"/>
            <w:gridSpan w:val="5"/>
            <w:tcBorders>
              <w:left w:val="single" w:sz="2" w:space="0" w:color="000000"/>
              <w:bottom w:val="single" w:sz="2" w:space="0" w:color="000000"/>
            </w:tcBorders>
            <w:vAlign w:val="bottom"/>
          </w:tcPr>
          <w:p>
            <w:pPr>
              <w:pStyle w:val="Normal"/>
              <w:widowControl w:val="false"/>
              <w:tabs>
                <w:tab w:val="clear" w:pos="720"/>
              </w:tabs>
              <w:jc w:val="right"/>
              <w:rPr>
                <w:b/>
                <w:sz w:val="22"/>
                <w:szCs w:val="22"/>
              </w:rPr>
            </w:pPr>
            <w:r>
              <w:rPr/>
              <w:t>В том числе НДС 20%:</w:t>
            </w:r>
          </w:p>
        </w:tc>
        <w:tc>
          <w:tcPr>
            <w:tcW w:w="1265" w:type="dxa"/>
            <w:tcBorders>
              <w:left w:val="single" w:sz="2" w:space="0" w:color="000000"/>
              <w:bottom w:val="single" w:sz="2" w:space="0" w:color="000000"/>
              <w:right w:val="single" w:sz="2" w:space="0" w:color="000000"/>
            </w:tcBorders>
            <w:vAlign w:val="bottom"/>
          </w:tcPr>
          <w:p>
            <w:pPr>
              <w:pStyle w:val="Normal"/>
              <w:widowControl w:val="false"/>
              <w:tabs>
                <w:tab w:val="clear" w:pos="720"/>
              </w:tabs>
              <w:jc w:val="right"/>
              <w:rPr>
                <w:b/>
                <w:sz w:val="22"/>
                <w:szCs w:val="22"/>
              </w:rPr>
            </w:pPr>
            <w:r>
              <w:rPr>
                <w:b/>
                <w:sz w:val="22"/>
                <w:szCs w:val="22"/>
              </w:rPr>
            </w:r>
          </w:p>
        </w:tc>
      </w:tr>
    </w:tbl>
    <w:p>
      <w:pPr>
        <w:pStyle w:val="Normal"/>
        <w:rPr>
          <w:b/>
          <w:sz w:val="22"/>
          <w:szCs w:val="22"/>
        </w:rPr>
      </w:pPr>
      <w:r>
        <w:rPr>
          <w:b/>
          <w:sz w:val="22"/>
          <w:szCs w:val="22"/>
        </w:rPr>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firstLine="567"/>
        <w:jc w:val="center"/>
        <w:outlineLvl w:val="0"/>
        <w:rPr>
          <w:b/>
          <w:sz w:val="22"/>
          <w:szCs w:val="22"/>
        </w:rPr>
      </w:pPr>
      <w:r>
        <w:rPr>
          <w:b/>
          <w:sz w:val="22"/>
          <w:szCs w:val="22"/>
        </w:rPr>
      </w:r>
    </w:p>
    <w:p>
      <w:pPr>
        <w:pStyle w:val="BodyText"/>
        <w:rPr>
          <w:b/>
          <w:bCs/>
          <w:i/>
          <w:i/>
          <w:szCs w:val="22"/>
        </w:rPr>
      </w:pPr>
      <w:r>
        <w:rPr>
          <w:b/>
          <w:bCs/>
          <w:i/>
          <w:szCs w:val="22"/>
        </w:rPr>
        <w:t>Условия поставки:</w:t>
      </w:r>
    </w:p>
    <w:p>
      <w:pPr>
        <w:pStyle w:val="Normal"/>
        <w:widowControl w:val="false"/>
        <w:numPr>
          <w:ilvl w:val="0"/>
          <w:numId w:val="2"/>
        </w:numPr>
        <w:tabs>
          <w:tab w:val="left" w:pos="720" w:leader="none"/>
        </w:tabs>
        <w:ind w:left="0" w:hanging="0"/>
        <w:jc w:val="both"/>
        <w:rPr>
          <w:i/>
          <w:i/>
          <w:sz w:val="22"/>
          <w:szCs w:val="22"/>
        </w:rPr>
      </w:pPr>
      <w:r>
        <w:rPr>
          <w:bCs/>
          <w:sz w:val="22"/>
          <w:szCs w:val="22"/>
        </w:rPr>
        <w:t>Общая сумма Заявки-спецификации составляет ______________</w:t>
      </w:r>
      <w:r>
        <w:rPr>
          <w:b/>
          <w:sz w:val="22"/>
          <w:szCs w:val="22"/>
        </w:rPr>
        <w:t xml:space="preserve"> </w:t>
      </w:r>
      <w:r>
        <w:rPr>
          <w:sz w:val="22"/>
          <w:szCs w:val="22"/>
        </w:rPr>
        <w:t xml:space="preserve">(_____________________), </w:t>
      </w:r>
      <w:r>
        <w:rPr>
          <w:i/>
          <w:sz w:val="22"/>
          <w:szCs w:val="22"/>
        </w:rPr>
        <w:t>в том числе НДС 20%, в размере __________ (_____________________).</w:t>
      </w:r>
    </w:p>
    <w:p>
      <w:pPr>
        <w:pStyle w:val="Normal"/>
        <w:widowControl w:val="false"/>
        <w:numPr>
          <w:ilvl w:val="0"/>
          <w:numId w:val="2"/>
        </w:numPr>
        <w:tabs>
          <w:tab w:val="left" w:pos="720" w:leader="none"/>
        </w:tabs>
        <w:ind w:left="0" w:hanging="0"/>
        <w:jc w:val="both"/>
        <w:rPr>
          <w:sz w:val="22"/>
          <w:szCs w:val="22"/>
        </w:rPr>
      </w:pPr>
      <w:r>
        <w:rPr>
          <w:sz w:val="22"/>
          <w:szCs w:val="22"/>
        </w:rPr>
        <w:t>Срок поставки Продукции: до «_____» ______________ 2025г.</w:t>
      </w:r>
    </w:p>
    <w:p>
      <w:pPr>
        <w:pStyle w:val="Normal"/>
        <w:widowControl w:val="false"/>
        <w:numPr>
          <w:ilvl w:val="0"/>
          <w:numId w:val="2"/>
        </w:numPr>
        <w:tabs>
          <w:tab w:val="left" w:pos="720" w:leader="none"/>
        </w:tabs>
        <w:ind w:left="0" w:hanging="0"/>
        <w:jc w:val="both"/>
        <w:rPr>
          <w:sz w:val="22"/>
          <w:szCs w:val="22"/>
        </w:rPr>
      </w:pPr>
      <w:r>
        <w:rPr>
          <w:sz w:val="22"/>
          <w:szCs w:val="22"/>
        </w:rPr>
        <w:t>Иные условия, предусмотренные техническими требованиями: _______________.</w:t>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b/>
                <w:szCs w:val="22"/>
                <w:u w:val="single"/>
                <w:lang w:val="ru-RU"/>
              </w:rPr>
            </w:pPr>
            <w:r>
              <w:rPr>
                <w:rFonts w:ascii="Times New Roman" w:hAnsi="Times New Roman"/>
                <w:b/>
                <w:szCs w:val="22"/>
                <w:u w:val="single"/>
                <w:lang w:val="ru-RU"/>
              </w:rPr>
              <w:t>Покупатель</w:t>
            </w:r>
            <w:r>
              <w:rPr>
                <w:rFonts w:ascii="Times New Roman" w:hAnsi="Times New Roman"/>
                <w:b/>
                <w:szCs w:val="22"/>
                <w:u w:val="single"/>
              </w:rPr>
              <w:t>:</w:t>
            </w:r>
          </w:p>
          <w:p>
            <w:pPr>
              <w:pStyle w:val="Style17"/>
              <w:widowControl w:val="false"/>
              <w:spacing w:lineRule="auto" w:line="240" w:before="0" w:after="0"/>
              <w:jc w:val="left"/>
              <w:rPr>
                <w:rFonts w:ascii="Times New Roman" w:hAnsi="Times New Roman"/>
                <w:szCs w:val="22"/>
                <w:u w:val="single"/>
                <w:lang w:val="ru-RU"/>
              </w:rPr>
            </w:pPr>
            <w:r>
              <w:rPr>
                <w:rFonts w:ascii="Times New Roman" w:hAnsi="Times New Roman"/>
                <w:szCs w:val="22"/>
                <w:u w:val="single"/>
                <w:lang w:val="ru-RU"/>
              </w:rPr>
            </w:r>
          </w:p>
        </w:tc>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b/>
                <w:szCs w:val="22"/>
                <w:u w:val="single"/>
                <w:lang w:val="ru-RU"/>
              </w:rPr>
            </w:pPr>
            <w:r>
              <w:rPr>
                <w:rFonts w:ascii="Times New Roman" w:hAnsi="Times New Roman"/>
                <w:b/>
                <w:szCs w:val="22"/>
                <w:u w:val="single"/>
                <w:lang w:val="ru-RU"/>
              </w:rPr>
              <w:t>Поставщик</w:t>
            </w:r>
            <w:r>
              <w:rPr>
                <w:rFonts w:ascii="Times New Roman" w:hAnsi="Times New Roman"/>
                <w:b/>
                <w:szCs w:val="22"/>
                <w:u w:val="single"/>
              </w:rPr>
              <w:t>:</w:t>
            </w:r>
          </w:p>
          <w:p>
            <w:pPr>
              <w:pStyle w:val="Style17"/>
              <w:widowControl w:val="false"/>
              <w:spacing w:lineRule="auto" w:line="240" w:before="0" w:after="0"/>
              <w:jc w:val="left"/>
              <w:rPr>
                <w:rFonts w:ascii="Times New Roman" w:hAnsi="Times New Roman"/>
                <w:szCs w:val="22"/>
                <w:u w:val="single"/>
                <w:lang w:val="ru-RU"/>
              </w:rPr>
            </w:pPr>
            <w:r>
              <w:rPr>
                <w:rFonts w:ascii="Times New Roman" w:hAnsi="Times New Roman"/>
                <w:szCs w:val="22"/>
                <w:u w:val="single"/>
                <w:lang w:val="ru-RU"/>
              </w:rPr>
            </w:r>
          </w:p>
        </w:tc>
      </w:tr>
      <w:tr>
        <w:trPr/>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_______________ / _____________ /</w:t>
            </w:r>
          </w:p>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м.п.</w:t>
            </w:r>
          </w:p>
        </w:tc>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_______________ / _____________ /</w:t>
            </w:r>
          </w:p>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м.п.</w:t>
            </w:r>
          </w:p>
        </w:tc>
      </w:tr>
    </w:tbl>
    <w:p>
      <w:pPr>
        <w:pStyle w:val="BodyText"/>
        <w:numPr>
          <w:ilvl w:val="0"/>
          <w:numId w:val="0"/>
        </w:numPr>
        <w:ind w:left="0" w:firstLine="567"/>
        <w:outlineLvl w:val="0"/>
        <w:rPr>
          <w:b/>
          <w:szCs w:val="22"/>
        </w:rPr>
      </w:pPr>
      <w:r>
        <w:rPr>
          <w:b/>
          <w:szCs w:val="22"/>
        </w:rPr>
      </w:r>
    </w:p>
    <w:p>
      <w:pPr>
        <w:pStyle w:val="BodyText"/>
        <w:numPr>
          <w:ilvl w:val="0"/>
          <w:numId w:val="0"/>
        </w:numPr>
        <w:ind w:left="0" w:hanging="0"/>
        <w:jc w:val="center"/>
        <w:outlineLvl w:val="0"/>
        <w:rPr>
          <w:b/>
          <w:bCs/>
          <w:szCs w:val="22"/>
        </w:rPr>
      </w:pPr>
      <w:r>
        <w:rPr>
          <w:b/>
          <w:bCs/>
          <w:szCs w:val="22"/>
        </w:rPr>
        <w:t>Подписи Сторон:</w:t>
      </w:r>
    </w:p>
    <w:tbl>
      <w:tblPr>
        <w:tblpPr w:bottomFromText="0" w:horzAnchor="margin" w:leftFromText="180" w:rightFromText="180" w:tblpX="0" w:tblpY="225" w:topFromText="0" w:vertAnchor="text"/>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b/>
                <w:szCs w:val="22"/>
                <w:u w:val="single"/>
                <w:lang w:val="ru-RU"/>
              </w:rPr>
            </w:pPr>
            <w:r>
              <w:rPr>
                <w:rFonts w:ascii="Times New Roman" w:hAnsi="Times New Roman"/>
                <w:b/>
                <w:szCs w:val="22"/>
                <w:u w:val="single"/>
                <w:lang w:val="ru-RU"/>
              </w:rPr>
              <w:t>Покупатель:</w:t>
            </w:r>
          </w:p>
          <w:p>
            <w:pPr>
              <w:pStyle w:val="Normal"/>
              <w:widowControl w:val="false"/>
              <w:rPr>
                <w:sz w:val="22"/>
                <w:szCs w:val="22"/>
              </w:rPr>
            </w:pPr>
            <w:r>
              <w:rPr>
                <w:sz w:val="22"/>
                <w:szCs w:val="22"/>
              </w:rPr>
              <w:t>Директор Волжского филиала</w:t>
            </w:r>
          </w:p>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АО «Гидроремонт-ВКК» в г. Волжский</w:t>
            </w:r>
          </w:p>
          <w:p>
            <w:pPr>
              <w:pStyle w:val="Style17"/>
              <w:widowControl w:val="false"/>
              <w:spacing w:lineRule="auto" w:line="240" w:before="0" w:after="0"/>
              <w:jc w:val="left"/>
              <w:rPr>
                <w:rFonts w:ascii="Times New Roman" w:hAnsi="Times New Roman"/>
                <w:szCs w:val="22"/>
                <w:u w:val="single"/>
                <w:lang w:val="ru-RU"/>
              </w:rPr>
            </w:pPr>
            <w:r>
              <w:rPr>
                <w:rFonts w:ascii="Times New Roman" w:hAnsi="Times New Roman"/>
                <w:szCs w:val="22"/>
                <w:u w:val="single"/>
                <w:lang w:val="ru-RU"/>
              </w:rPr>
            </w:r>
          </w:p>
          <w:p>
            <w:pPr>
              <w:pStyle w:val="Style17"/>
              <w:widowControl w:val="false"/>
              <w:spacing w:lineRule="auto" w:line="240" w:before="0" w:after="0"/>
              <w:jc w:val="left"/>
              <w:rPr>
                <w:rFonts w:ascii="Times New Roman" w:hAnsi="Times New Roman"/>
                <w:szCs w:val="22"/>
                <w:u w:val="single"/>
                <w:lang w:val="ru-RU"/>
              </w:rPr>
            </w:pPr>
            <w:r>
              <w:rPr>
                <w:rFonts w:ascii="Times New Roman" w:hAnsi="Times New Roman"/>
                <w:szCs w:val="22"/>
                <w:u w:val="single"/>
                <w:lang w:val="ru-RU"/>
              </w:rPr>
            </w:r>
          </w:p>
        </w:tc>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b/>
                <w:szCs w:val="22"/>
                <w:u w:val="single"/>
                <w:lang w:val="ru-RU"/>
              </w:rPr>
            </w:pPr>
            <w:r>
              <w:rPr>
                <w:rFonts w:ascii="Times New Roman" w:hAnsi="Times New Roman"/>
                <w:b/>
                <w:szCs w:val="22"/>
                <w:u w:val="single"/>
                <w:lang w:val="ru-RU"/>
              </w:rPr>
              <w:t>Поставщик:</w:t>
            </w:r>
          </w:p>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Директор</w:t>
            </w:r>
          </w:p>
          <w:p>
            <w:pPr>
              <w:pStyle w:val="Style17"/>
              <w:widowControl w:val="false"/>
              <w:spacing w:lineRule="auto" w:line="240" w:before="0" w:after="0"/>
              <w:jc w:val="left"/>
              <w:rPr>
                <w:rFonts w:ascii="Times New Roman" w:hAnsi="Times New Roman"/>
                <w:szCs w:val="22"/>
                <w:u w:val="single"/>
                <w:lang w:val="ru-RU"/>
              </w:rPr>
            </w:pPr>
            <w:r>
              <w:rPr>
                <w:rFonts w:ascii="Times New Roman" w:hAnsi="Times New Roman"/>
                <w:szCs w:val="22"/>
                <w:lang w:val="ru-RU"/>
              </w:rPr>
              <w:t>ООО «____________»</w:t>
            </w:r>
          </w:p>
        </w:tc>
      </w:tr>
      <w:tr>
        <w:trPr/>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 xml:space="preserve">_______________ </w:t>
            </w:r>
          </w:p>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м.п.</w:t>
            </w:r>
          </w:p>
        </w:tc>
        <w:tc>
          <w:tcPr>
            <w:tcW w:w="4785"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 xml:space="preserve">_______________ </w:t>
            </w:r>
          </w:p>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t>м.п.</w:t>
            </w:r>
          </w:p>
        </w:tc>
      </w:tr>
    </w:tbl>
    <w:p>
      <w:pPr>
        <w:pStyle w:val="BodyText"/>
        <w:numPr>
          <w:ilvl w:val="0"/>
          <w:numId w:val="0"/>
        </w:numPr>
        <w:ind w:left="0" w:firstLine="567"/>
        <w:outlineLvl w:val="0"/>
        <w:rPr>
          <w:b/>
          <w:bCs/>
          <w:szCs w:val="22"/>
        </w:rPr>
      </w:pPr>
      <w:r>
        <w:rPr/>
      </w:r>
    </w:p>
    <w:sectPr>
      <w:headerReference w:type="default" r:id="rId10"/>
      <w:headerReference w:type="first" r:id="rId11"/>
      <w:footerReference w:type="default" r:id="rId12"/>
      <w:footerReference w:type="first" r:id="rId13"/>
      <w:type w:val="nextPage"/>
      <w:pgSz w:w="11906" w:h="16838"/>
      <w:pgMar w:left="1134" w:right="991" w:gutter="0" w:header="720" w:top="851"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5">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756" w:hanging="480"/>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9096" w:hanging="144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2008" w:hanging="1800"/>
      </w:pPr>
      <w:rPr/>
    </w:lvl>
  </w:abstractNum>
  <w:abstractNum w:abstractNumId="17">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8">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14"/>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Название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volzhsky@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13DBC-5928-4ED6-9E22-E86B10C4B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Application>AlterOffice/3.4.0.9$Linux_X86_64 LibreOffice_project/b8daf9e823b1a5463a2f48435ddc2e8696e7d4fc</Application>
  <AppVersion>15.0000</AppVersion>
  <Pages>16</Pages>
  <Words>7095</Words>
  <Characters>49930</Characters>
  <CharactersWithSpaces>56596</CharactersWithSpaces>
  <Paragraphs>340</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filatovasm@corp.gidroogk.com</cp:lastModifiedBy>
  <cp:lastPrinted>2025-01-24T15:27:19Z</cp:lastPrinted>
  <dcterms:modified xsi:type="dcterms:W3CDTF">2026-02-03T11:04:48Z</dcterms:modified>
  <cp:revision>63</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