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jc w:val="center"/>
        <w:rPr>
          <w:b/>
        </w:rPr>
      </w:pPr>
      <w:r>
        <w:rPr>
          <w:b/>
        </w:rPr>
      </w:r>
      <w:bookmarkStart w:id="0" w:name="_GoBack"/>
      <w:bookmarkStart w:id="1" w:name="_GoBack"/>
      <w:bookmarkEnd w:id="1"/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widowControl w:val="false"/>
        <w:ind w:left="360" w:hanging="360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spacing w:lineRule="auto" w:line="36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«ОКПД2 [22.19.40.110] Поставка резинотканевой транспортерной ленты </w:t>
      </w:r>
    </w:p>
    <w:p>
      <w:pPr>
        <w:pStyle w:val="Normal"/>
        <w:widowControl w:val="false"/>
        <w:spacing w:lineRule="auto" w:line="360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для нужд Филиала ПАО «РусГидро»- «Жигулевская ГЭС»</w:t>
      </w:r>
    </w:p>
    <w:p>
      <w:pPr>
        <w:pStyle w:val="Normal"/>
        <w:widowControl w:val="false"/>
        <w:spacing w:lineRule="auto" w:line="360"/>
        <w:jc w:val="center"/>
        <w:rPr>
          <w:highlight w:val="none"/>
          <w:shd w:fill="auto" w:val="clear"/>
        </w:rPr>
      </w:pPr>
      <w:r>
        <w:rPr>
          <w:rFonts w:eastAsia="Calibri"/>
          <w:b/>
          <w:i/>
          <w:sz w:val="26"/>
          <w:szCs w:val="26"/>
          <w:shd w:fill="auto" w:val="clear"/>
        </w:rPr>
        <w:t>Лот №</w:t>
      </w:r>
      <w:r>
        <w:rPr>
          <w:shd w:fill="auto" w:val="clear"/>
        </w:rPr>
        <w:t xml:space="preserve"> </w:t>
      </w:r>
    </w:p>
    <w:p>
      <w:pPr>
        <w:pStyle w:val="Normal"/>
        <w:widowControl w:val="false"/>
        <w:jc w:val="center"/>
        <w:rPr>
          <w:b/>
          <w:highlight w:val="none"/>
          <w:shd w:fill="auto" w:val="clear"/>
        </w:rPr>
      </w:pPr>
      <w:r>
        <w:rPr>
          <w:b/>
          <w:shd w:fill="auto" w:val="clear"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jc w:val="center"/>
        <w:rPr>
          <w:b/>
        </w:rPr>
      </w:pPr>
      <w:r>
        <w:rPr>
          <w:b/>
        </w:rPr>
      </w:r>
    </w:p>
    <w:p>
      <w:pPr>
        <w:pStyle w:val="ListParagraph"/>
        <w:widowControl w:val="false"/>
        <w:numPr>
          <w:ilvl w:val="0"/>
          <w:numId w:val="3"/>
        </w:numPr>
        <w:jc w:val="center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сведения</w:t>
      </w:r>
    </w:p>
    <w:p>
      <w:pPr>
        <w:pStyle w:val="ListParagraph"/>
        <w:widowControl w:val="false"/>
        <w:numPr>
          <w:ilvl w:val="0"/>
          <w:numId w:val="0"/>
        </w:numPr>
        <w:ind w:left="720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ListParagraph"/>
        <w:widowControl w:val="false"/>
        <w:numPr>
          <w:ilvl w:val="1"/>
          <w:numId w:val="3"/>
        </w:numPr>
        <w:ind w:left="0" w:hanging="0"/>
        <w:rPr>
          <w:b/>
        </w:rPr>
      </w:pPr>
      <w:r>
        <w:rPr>
          <w:rFonts w:ascii="Times New Roman" w:hAnsi="Times New Roman"/>
          <w:b/>
          <w:sz w:val="24"/>
          <w:szCs w:val="24"/>
        </w:rPr>
        <w:t>Наименование закупаемой продукции.</w:t>
      </w:r>
    </w:p>
    <w:p>
      <w:pPr>
        <w:pStyle w:val="Normal"/>
        <w:widowControl w:val="false"/>
        <w:rPr/>
      </w:pPr>
      <w:r>
        <w:rPr/>
        <w:t xml:space="preserve">«ОКПД2 [22.19.40.110] Поставка резинотканевой транспортерной ленты </w:t>
      </w:r>
      <w:r>
        <w:rPr>
          <w:rFonts w:eastAsia="Calibri"/>
          <w:b w:val="false"/>
          <w:bCs w:val="false"/>
          <w:sz w:val="26"/>
          <w:szCs w:val="26"/>
        </w:rPr>
        <w:t>для нужд Филиала ПАО «РусГидро»- «Жигулевская ГЭС»</w:t>
      </w:r>
    </w:p>
    <w:p>
      <w:pPr>
        <w:pStyle w:val="ListParagraph"/>
        <w:widowControl w:val="false"/>
        <w:numPr>
          <w:ilvl w:val="1"/>
          <w:numId w:val="3"/>
        </w:numPr>
        <w:ind w:left="0" w:hanging="0"/>
        <w:rPr>
          <w:rFonts w:ascii="Times New Roman" w:hAnsi="Times New Roman"/>
          <w:b/>
          <w:sz w:val="24"/>
          <w:szCs w:val="24"/>
        </w:rPr>
      </w:pPr>
      <w:bookmarkStart w:id="2" w:name="_Toc46743507"/>
      <w:r>
        <w:rPr>
          <w:rFonts w:ascii="Times New Roman" w:hAnsi="Times New Roman"/>
          <w:b/>
          <w:sz w:val="24"/>
          <w:szCs w:val="24"/>
        </w:rPr>
        <w:t xml:space="preserve">Цель </w:t>
      </w:r>
      <w:bookmarkEnd w:id="2"/>
      <w:r>
        <w:rPr>
          <w:rFonts w:ascii="Times New Roman" w:hAnsi="Times New Roman"/>
          <w:b/>
          <w:sz w:val="24"/>
          <w:szCs w:val="24"/>
        </w:rPr>
        <w:t>использования закупаемой продукции.</w:t>
      </w:r>
    </w:p>
    <w:p>
      <w:pPr>
        <w:pStyle w:val="NormalWeb"/>
        <w:widowControl w:val="false"/>
        <w:spacing w:beforeAutospacing="0" w:before="0" w:afterAutospacing="0" w:after="0"/>
        <w:ind w:right="-1" w:hanging="0"/>
        <w:jc w:val="both"/>
        <w:rPr>
          <w:highlight w:val="none"/>
          <w:shd w:fill="auto" w:val="clear"/>
        </w:rPr>
      </w:pPr>
      <w:r>
        <w:rPr>
          <w:bCs/>
          <w:shd w:fill="auto" w:val="clear"/>
          <w:lang w:eastAsia="x-none"/>
        </w:rPr>
        <w:t xml:space="preserve">Продукция предназначена для исполнения договора </w:t>
      </w:r>
      <w:r>
        <w:rPr>
          <w:bCs/>
          <w:shd w:fill="auto" w:val="clear"/>
          <w:lang w:eastAsia="x-none"/>
        </w:rPr>
        <w:t xml:space="preserve">подряда. </w:t>
      </w:r>
    </w:p>
    <w:p>
      <w:pPr>
        <w:pStyle w:val="ListParagraph"/>
        <w:widowControl w:val="false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продукции.</w:t>
      </w:r>
    </w:p>
    <w:p>
      <w:pPr>
        <w:pStyle w:val="ListParagraph"/>
        <w:widowControl w:val="false"/>
        <w:numPr>
          <w:ilvl w:val="0"/>
          <w:numId w:val="0"/>
        </w:numPr>
        <w:ind w:left="720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ind w:left="709" w:hanging="0"/>
        <w:rPr>
          <w:b/>
        </w:rPr>
      </w:pPr>
      <w:r>
        <w:rPr>
          <w:b/>
        </w:rPr>
        <w:t>2.1.</w:t>
        <w:tab/>
        <w:t>Требования к объемам и срокам поставки</w:t>
      </w:r>
    </w:p>
    <w:p>
      <w:pPr>
        <w:pStyle w:val="ListParagraph"/>
        <w:widowControl w:val="false"/>
        <w:numPr>
          <w:ilvl w:val="0"/>
          <w:numId w:val="0"/>
        </w:numPr>
        <w:spacing w:lineRule="auto" w:line="360"/>
        <w:ind w:left="709" w:hanging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2.1.1.</w:t>
        <w:tab/>
        <w:t>Перечень и объем закупаемой продукции</w:t>
      </w:r>
    </w:p>
    <w:p>
      <w:pPr>
        <w:pStyle w:val="ListParagraph"/>
        <w:widowControl w:val="false"/>
        <w:numPr>
          <w:ilvl w:val="0"/>
          <w:numId w:val="0"/>
        </w:numPr>
        <w:spacing w:lineRule="auto" w:line="36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 2.1. Перечень и объем закупаемой продукции</w:t>
      </w:r>
    </w:p>
    <w:tbl>
      <w:tblPr>
        <w:tblW w:w="992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9"/>
        <w:gridCol w:w="5098"/>
        <w:gridCol w:w="1828"/>
        <w:gridCol w:w="1417"/>
        <w:gridCol w:w="871"/>
      </w:tblGrid>
      <w:tr>
        <w:trPr>
          <w:trHeight w:val="14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Классификатор ОКПД2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</w:tr>
      <w:tr>
        <w:trPr>
          <w:trHeight w:val="14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</w:r>
          </w:p>
        </w:tc>
      </w:tr>
      <w:tr>
        <w:trPr>
          <w:trHeight w:val="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445" w:leader="none"/>
              </w:tabs>
              <w:suppressAutoHyphens w:val="true"/>
              <w:ind w:left="0" w:hanging="0"/>
              <w:jc w:val="center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Р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езинотканевая транспортерная лента 2Ш-1000-4-ТК-200-4,5/3,5-Г1-РБ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22.19.40.110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Пог. м.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3880</w:t>
            </w:r>
          </w:p>
        </w:tc>
      </w:tr>
      <w:tr>
        <w:trPr>
          <w:trHeight w:val="20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445" w:leader="none"/>
              </w:tabs>
              <w:suppressAutoHyphens w:val="true"/>
              <w:ind w:left="0" w:hanging="0"/>
              <w:jc w:val="center"/>
              <w:rPr>
                <w:rFonts w:ascii="Times New Roman" w:hAnsi="Times New Roman" w:eastAsia="Calibri"/>
                <w:color w:val="000000"/>
                <w:sz w:val="22"/>
                <w:szCs w:val="22"/>
              </w:rPr>
            </w:pPr>
            <w:r>
              <w:rPr>
                <w:rFonts w:eastAsia="Calibri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Р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езинотканевая транспортерная лента 2Ш-1200-4-ТК-200-4,5/3,5-Г1-РБ</w:t>
            </w:r>
          </w:p>
        </w:tc>
        <w:tc>
          <w:tcPr>
            <w:tcW w:w="1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22.19.40.110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Пог. м.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</w:t>
            </w:r>
          </w:p>
        </w:tc>
      </w:tr>
    </w:tbl>
    <w:p>
      <w:pPr>
        <w:pStyle w:val="Normal"/>
        <w:widowControl w:val="false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widowControl w:val="false"/>
        <w:spacing w:lineRule="auto" w:line="360"/>
        <w:ind w:left="709" w:hanging="0"/>
        <w:rPr>
          <w:b/>
        </w:rPr>
      </w:pPr>
      <w:r>
        <w:rPr>
          <w:b/>
        </w:rPr>
        <w:t>2.1.2.</w:t>
        <w:tab/>
        <w:t>Требования к срокам поставки продукции</w:t>
      </w:r>
    </w:p>
    <w:p>
      <w:pPr>
        <w:pStyle w:val="Normal"/>
        <w:widowControl w:val="false"/>
        <w:overflowPunct w:val="true"/>
        <w:spacing w:lineRule="auto" w:line="360"/>
        <w:rPr/>
      </w:pPr>
      <w:r>
        <w:rPr/>
        <w:t>Таблица 2.2. Требования по срокам поставки продукции.</w:t>
      </w:r>
    </w:p>
    <w:p>
      <w:pPr>
        <w:pStyle w:val="Normal"/>
        <w:overflowPunct w:val="true"/>
        <w:rPr/>
      </w:pPr>
      <w:r>
        <w:rPr/>
      </w:r>
    </w:p>
    <w:p>
      <w:pPr>
        <w:pStyle w:val="Normal"/>
        <w:overflowPunct w:val="true"/>
        <w:rPr/>
      </w:pPr>
      <w:r>
        <w:rPr/>
      </w:r>
    </w:p>
    <w:tbl>
      <w:tblPr>
        <w:tblW w:w="103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2"/>
        <w:gridCol w:w="4400"/>
        <w:gridCol w:w="1412"/>
        <w:gridCol w:w="1186"/>
        <w:gridCol w:w="1257"/>
        <w:gridCol w:w="1389"/>
      </w:tblGrid>
      <w:tr>
        <w:trPr>
          <w:trHeight w:val="144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№</w:t>
            </w:r>
          </w:p>
          <w:p>
            <w:pPr>
              <w:pStyle w:val="Normal"/>
              <w:widowControl w:val="false"/>
              <w:overflowPunct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4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>
          <w:trHeight w:val="144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>
        <w:trPr>
          <w:trHeight w:val="20" w:hRule="atLeast"/>
        </w:trPr>
        <w:tc>
          <w:tcPr>
            <w:tcW w:w="89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overflowPunct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Заявка №1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</w:r>
          </w:p>
        </w:tc>
      </w:tr>
      <w:tr>
        <w:trPr>
          <w:trHeight w:val="20" w:hRule="atLeast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445" w:leader="none"/>
              </w:tabs>
              <w:suppressAutoHyphens w:val="true"/>
              <w:overflowPunct w:val="true"/>
              <w:spacing w:before="0" w:after="0"/>
              <w:ind w:left="644"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</w:r>
          </w:p>
        </w:tc>
        <w:tc>
          <w:tcPr>
            <w:tcW w:w="44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Р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езинотканевая транспортерная лента 2Ш-1000-4-ТК-200-4,5/3,5-Г1-РБ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Пог. м.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3880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даты подписания договора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течении 15 календарных дней</w:t>
            </w:r>
          </w:p>
        </w:tc>
      </w:tr>
      <w:tr>
        <w:trPr>
          <w:trHeight w:val="20" w:hRule="atLeast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tabs>
                <w:tab w:val="clear" w:pos="708"/>
                <w:tab w:val="left" w:pos="445" w:leader="none"/>
              </w:tabs>
              <w:suppressAutoHyphens w:val="true"/>
              <w:overflowPunct w:val="true"/>
              <w:spacing w:before="0" w:after="0"/>
              <w:ind w:left="644" w:hanging="644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</w:r>
          </w:p>
        </w:tc>
        <w:tc>
          <w:tcPr>
            <w:tcW w:w="440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/>
                <w:sz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Р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езинотканевая транспортерная лента 2Ш-1200-4-ТК-200-4,5/3,5-Г1-РБ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Пог. м.</w:t>
            </w:r>
          </w:p>
        </w:tc>
        <w:tc>
          <w:tcPr>
            <w:tcW w:w="1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600</w:t>
            </w:r>
          </w:p>
        </w:tc>
        <w:tc>
          <w:tcPr>
            <w:tcW w:w="12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overflowPunct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ind w:left="0" w:hanging="0"/>
        <w:jc w:val="both"/>
        <w:outlineLvl w:val="0"/>
        <w:rPr>
          <w:b/>
          <w:i/>
          <w:i/>
        </w:rPr>
      </w:pPr>
      <w:r>
        <w:rPr>
          <w:b/>
          <w:i/>
        </w:rPr>
        <w:t>Поставка осуществляется одной партией. Допускается поставка несколькими партиями</w:t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both"/>
        <w:outlineLvl w:val="0"/>
        <w:rPr>
          <w:rFonts w:eastAsia="Calibri"/>
          <w:b/>
        </w:rPr>
      </w:pPr>
      <w:r>
        <w:rPr>
          <w:b/>
          <w:i/>
        </w:rPr>
        <w:t xml:space="preserve"> </w:t>
      </w:r>
      <w:r>
        <w:rPr>
          <w:b/>
          <w:i/>
        </w:rPr>
        <w:t>при отсутствии складских запасов указанного количества. При необходимости поставки продукции несколькими партиями, в ТКП необходимо указывать срок поставки каждой партии.</w:t>
      </w:r>
    </w:p>
    <w:p>
      <w:pPr>
        <w:pStyle w:val="Normal"/>
        <w:widowControl w:val="false"/>
        <w:numPr>
          <w:ilvl w:val="0"/>
          <w:numId w:val="0"/>
        </w:numPr>
        <w:ind w:left="0" w:hanging="0"/>
        <w:jc w:val="both"/>
        <w:outlineLvl w:val="0"/>
        <w:rPr>
          <w:rFonts w:eastAsia="Calibri"/>
          <w:b/>
        </w:rPr>
      </w:pPr>
      <w:r>
        <w:rPr>
          <w:rFonts w:eastAsia="Calibri"/>
          <w:b/>
        </w:rPr>
      </w:r>
    </w:p>
    <w:p>
      <w:pPr>
        <w:sectPr>
          <w:footerReference w:type="default" r:id="rId2"/>
          <w:type w:val="nextPage"/>
          <w:pgSz w:w="11906" w:h="16838"/>
          <w:pgMar w:left="851" w:right="425" w:gutter="0" w:header="0" w:top="1134" w:footer="709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widowControl w:val="false"/>
        <w:spacing w:lineRule="auto" w:line="276" w:before="0" w:after="200"/>
        <w:rPr>
          <w:b/>
        </w:rPr>
      </w:pPr>
      <w:bookmarkStart w:id="3" w:name="_Toc75446582"/>
      <w:r>
        <w:rPr>
          <w:b/>
        </w:rPr>
        <w:t xml:space="preserve">2.2. </w:t>
      </w:r>
      <w:r>
        <w:rPr>
          <w:b/>
          <w:color w:val="000000"/>
        </w:rPr>
        <w:t>Требования к качеству продук</w:t>
      </w:r>
      <w:bookmarkEnd w:id="3"/>
      <w:r>
        <w:rPr>
          <w:b/>
          <w:color w:val="000000"/>
        </w:rPr>
        <w:t>ции Резинотканевая транспортерная лента 2Ш-1000-4-ТК-200-4,5/3,5-Г1-РБ</w:t>
      </w:r>
    </w:p>
    <w:p>
      <w:pPr>
        <w:pStyle w:val="Normal"/>
        <w:widowControl w:val="false"/>
        <w:spacing w:before="0" w:after="0"/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Таблица 3. Требования к продукции</w:t>
      </w:r>
    </w:p>
    <w:p>
      <w:pPr>
        <w:pStyle w:val="Normal"/>
        <w:widowControl w:val="false"/>
        <w:spacing w:before="0" w:after="0"/>
        <w:contextualSpacing/>
        <w:rPr>
          <w:bCs/>
          <w:color w:val="000000" w:themeColor="text1"/>
          <w:szCs w:val="20"/>
        </w:rPr>
      </w:pPr>
      <w:r>
        <w:rPr>
          <w:bCs/>
          <w:color w:val="000000" w:themeColor="text1"/>
          <w:szCs w:val="20"/>
        </w:rPr>
        <w:t>«ОКПД2 [22.19.40.110] Поставка резинотканевой транспортерной ленты</w:t>
      </w:r>
      <w:r>
        <w:rPr>
          <w:b w:val="false"/>
          <w:bCs w:val="false"/>
          <w:color w:val="000000" w:themeColor="text1"/>
          <w:sz w:val="24"/>
          <w:szCs w:val="24"/>
        </w:rPr>
        <w:t xml:space="preserve"> </w:t>
      </w:r>
      <w:r>
        <w:rPr>
          <w:rFonts w:eastAsia="Calibri"/>
          <w:b w:val="false"/>
          <w:bCs w:val="false"/>
          <w:i w:val="false"/>
          <w:iCs w:val="false"/>
          <w:color w:val="000000" w:themeColor="text1"/>
          <w:sz w:val="24"/>
          <w:szCs w:val="24"/>
        </w:rPr>
        <w:t>для нужд Филиала ПАО «РусГидро»- «Жигулевская ГЭС»</w:t>
      </w:r>
    </w:p>
    <w:tbl>
      <w:tblPr>
        <w:tblW w:w="1534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13"/>
        <w:gridCol w:w="1647"/>
        <w:gridCol w:w="3833"/>
        <w:gridCol w:w="3537"/>
        <w:gridCol w:w="1416"/>
        <w:gridCol w:w="1995"/>
        <w:gridCol w:w="2156"/>
        <w:gridCol w:w="146"/>
      </w:tblGrid>
      <w:tr>
        <w:trPr>
          <w:trHeight w:val="53" w:hRule="atLeast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r>
              <w:rPr>
                <w:rFonts w:eastAsia="Calibr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продукции</w:t>
            </w:r>
          </w:p>
        </w:tc>
        <w:tc>
          <w:tcPr>
            <w:tcW w:w="3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</w:rPr>
              <w:t>Наименование параметра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</w:rPr>
              <w:t>Требование заказчика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Соответствие стандартам</w:t>
            </w:r>
          </w:p>
        </w:tc>
        <w:tc>
          <w:tcPr>
            <w:tcW w:w="4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rFonts w:eastAsia="Calibri"/>
                <w:b/>
                <w:sz w:val="20"/>
                <w:szCs w:val="20"/>
                <w:lang w:eastAsia="ar-SA"/>
              </w:rPr>
            </w:pPr>
            <w:r>
              <w:rPr>
                <w:b/>
                <w:bCs/>
                <w:color w:val="000000" w:themeColor="text1"/>
                <w:sz w:val="20"/>
              </w:rPr>
              <w:t>Способ подтверждения участником соответствия требованиям</w:t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77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</w:tc>
        <w:tc>
          <w:tcPr>
            <w:tcW w:w="38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35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Согласие с требованием/ указание характеристик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DotumChe"/>
                <w:b/>
                <w:sz w:val="20"/>
                <w:szCs w:val="20"/>
                <w:lang w:eastAsia="en-US"/>
              </w:rPr>
            </w:pPr>
            <w:r>
              <w:rPr>
                <w:rFonts w:eastAsia="DotumChe"/>
                <w:b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153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DotumChe"/>
                <w:sz w:val="20"/>
                <w:szCs w:val="20"/>
                <w:lang w:eastAsia="en-US"/>
              </w:rPr>
            </w:pPr>
            <w:r>
              <w:rPr>
                <w:rFonts w:eastAsia="DotumChe"/>
                <w:sz w:val="20"/>
                <w:szCs w:val="20"/>
                <w:lang w:eastAsia="en-US"/>
              </w:rPr>
            </w:r>
          </w:p>
        </w:tc>
      </w:tr>
      <w:tr>
        <w:trPr>
          <w:trHeight w:val="104" w:hRule="atLeast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1.1.</w:t>
            </w:r>
          </w:p>
        </w:tc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Р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езинотканевая транспортерная лента 2Ш-1000-4-ТК-200-4,5/3,5-Г1-РБ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ленты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0"/>
                <w:szCs w:val="20"/>
                <w:lang w:val="ru-RU" w:eastAsia="ru-RU" w:bidi="ar-SA"/>
              </w:rPr>
              <w:t>для средних условий эксплуатации, шахтная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ГОСТ</w:t>
            </w:r>
          </w:p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20 -</w:t>
            </w:r>
          </w:p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  <w:t>Участник дол-жен предста-вить в заявке со-гласие поста-вить продукцию, полностью соответствующую настоящим тех-ническим требо-ваниям, по форме Технического предложения, установленной в Документации о закупке</w:t>
            </w:r>
          </w:p>
        </w:tc>
        <w:tc>
          <w:tcPr>
            <w:tcW w:w="21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ленты, мм</w:t>
              <w:tab/>
              <w:t>1000 (±1%)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ru-RU" w:eastAsia="ru-RU" w:bidi="ar-SA"/>
              </w:rPr>
              <w:t>К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оличество тканевых прокладок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Тип ткани тяговой прокладки (синтетическая, на основе полиамидных нитей)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ТК-200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Толщина рабочей (4,5 мм) и нерабочей (3,5 мм) резиновых обкладок в мм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4,5/3,5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Класс резины (трудновоспламеняющаяся)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Г1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Тип борта (резиновый)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РБ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Номинальная прочность ткани на разрыв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200 Н/мм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Прочность тягового каркаса на разрыв</w:t>
            </w: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800 Н/мм (4 прокладки × 200 Н/мм)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Рабочая температура</w:t>
            </w: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от –45 °C до +60 °C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Относительное удлинение по основе при нагрузке 10% от номинальной прочности</w:t>
            </w: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не более 2,0%.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Удлинение при рабочих нагрузках</w:t>
            </w: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1,5–2,0%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Прочность связи между рабочей обкладкой и каркасом</w:t>
            </w: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1"/>
              </w:numPr>
              <w:tabs>
                <w:tab w:val="clear" w:pos="708"/>
                <w:tab w:val="left" w:pos="0" w:leader="none"/>
              </w:tabs>
              <w:spacing w:lineRule="auto" w:line="240" w:before="0" w:after="0"/>
              <w:ind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не менее 4,0 Н/мм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Прочность связи между прокладками</w:t>
            </w: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1"/>
              </w:numPr>
              <w:tabs>
                <w:tab w:val="clear" w:pos="708"/>
                <w:tab w:val="left" w:pos="0" w:leader="none"/>
              </w:tabs>
              <w:spacing w:lineRule="auto" w:line="240" w:before="0" w:after="12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не менее 4,5 мм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Вес 1 погонного метра</w:t>
            </w: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15 кг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04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171" w:leader="none"/>
              </w:tabs>
              <w:ind w:left="0" w:hanging="0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Толщина ленты</w:t>
            </w: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13 мм (±1 мм)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Cs/>
                <w:color w:val="000000" w:themeColor="text1"/>
                <w:sz w:val="20"/>
                <w:szCs w:val="20"/>
              </w:rPr>
            </w:pPr>
            <w:r>
              <w:rPr>
                <w:bCs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1.2.</w:t>
            </w:r>
          </w:p>
        </w:tc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szCs w:val="22"/>
                <w:u w:val="none"/>
                <w:em w:val="none"/>
              </w:rPr>
              <w:t>Р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2"/>
                <w:u w:val="none"/>
                <w:em w:val="none"/>
              </w:rPr>
              <w:t>езинотканевая транспортерная лента 2Ш-1000-4-ТК-200-4,5/3,5-Г1-РБ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Ширина ленты, мм</w:t>
              <w:tab/>
              <w:t>1200 (±1%)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0"/>
                <w:szCs w:val="20"/>
              </w:rPr>
              <w:t>1200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ГОСТ</w:t>
            </w:r>
          </w:p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20 -</w:t>
            </w:r>
          </w:p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2018</w:t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333333"/>
                <w:spacing w:val="0"/>
                <w:kern w:val="0"/>
                <w:sz w:val="20"/>
                <w:szCs w:val="20"/>
                <w:lang w:val="ru-RU" w:eastAsia="ru-RU" w:bidi="ar-SA"/>
              </w:rPr>
              <w:t>К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оличество тканевых прокладок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Тип ткани тяговой прокладки (синтетическая, на основе полиамидных нитей)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ТК-200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Толщина рабочей (4,5 мм) и нерабочей (3,5 мм) резиновых обкладок в мм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4,5/3,5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Класс резины (трудновоспламеняющаяся)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Г1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Тип борта (резиновый)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РБ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Номинальная прочность ткани на разрыв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200 Н/мм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Прочность тягового каркаса на разрыв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800 Н/мм (4 прокладки × 200 Н/мм)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Рабочая температура</w:t>
            </w: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от –45 °C до +60 °C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Относительное удлинение по основе при нагрузке 10% от номинальной прочности</w:t>
            </w: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не более 2,0%.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Удлинение при рабочих нагрузках</w:t>
            </w: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1,5–2,0%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Прочность связи между рабочей обкладкой и каркасом</w:t>
            </w: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1"/>
              </w:numPr>
              <w:tabs>
                <w:tab w:val="clear" w:pos="708"/>
                <w:tab w:val="left" w:pos="0" w:leader="none"/>
              </w:tabs>
              <w:spacing w:lineRule="auto" w:line="240" w:before="0" w:after="0"/>
              <w:ind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не менее 4,0 Н/мм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Прочность связи между прокладками</w:t>
            </w: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1"/>
              </w:numPr>
              <w:tabs>
                <w:tab w:val="clear" w:pos="708"/>
                <w:tab w:val="left" w:pos="0" w:leader="none"/>
              </w:tabs>
              <w:spacing w:lineRule="auto" w:line="240" w:before="0" w:after="12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 xml:space="preserve"> </w:t>
            </w: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не менее 4,5 мм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Вес 1 погонного метра</w:t>
            </w: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15 кг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88" w:hRule="atLeast"/>
        </w:trPr>
        <w:tc>
          <w:tcPr>
            <w:tcW w:w="6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64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W w:w="3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rPr/>
            </w:pPr>
            <w:r>
              <w:rPr>
                <w:rStyle w:val="Strong"/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Толщина ленты</w:t>
            </w:r>
          </w:p>
        </w:tc>
        <w:tc>
          <w:tcPr>
            <w:tcW w:w="3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BodyText"/>
              <w:widowControl w:val="false"/>
              <w:numPr>
                <w:ilvl w:val="0"/>
              </w:numPr>
              <w:spacing w:lineRule="auto" w:line="240" w:before="0" w:after="120"/>
              <w:ind w:left="0" w:right="0" w:hanging="0"/>
              <w:jc w:val="left"/>
              <w:rPr/>
            </w:pPr>
            <w:r>
              <w:rPr>
                <w:b w:val="false"/>
                <w:i w:val="false"/>
                <w:caps w:val="false"/>
                <w:smallCaps w:val="false"/>
                <w:color w:val="333333"/>
                <w:spacing w:val="0"/>
                <w:sz w:val="20"/>
                <w:szCs w:val="20"/>
              </w:rPr>
              <w:t>13 мм (±1 мм)</w:t>
            </w:r>
          </w:p>
        </w:tc>
        <w:tc>
          <w:tcPr>
            <w:tcW w:w="141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tcW w:w="19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i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bCs/>
                <w:i/>
                <w:iCs/>
                <w:color w:val="000000" w:themeColor="text1"/>
                <w:sz w:val="22"/>
                <w:szCs w:val="22"/>
              </w:rPr>
            </w:r>
          </w:p>
        </w:tc>
        <w:tc>
          <w:tcPr>
            <w:tcW w:w="21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</w:r>
          </w:p>
        </w:tc>
        <w:tc>
          <w:tcPr>
            <w:tcW w:w="14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sectPr>
          <w:footerReference w:type="default" r:id="rId3"/>
          <w:footerReference w:type="first" r:id="rId4"/>
          <w:type w:val="nextPage"/>
          <w:pgSz w:orient="landscape" w:w="16838" w:h="11906"/>
          <w:pgMar w:left="1134" w:right="1134" w:gutter="0" w:header="0" w:top="851" w:footer="709" w:bottom="766"/>
          <w:pgNumType w:fmt="decimal"/>
          <w:formProt w:val="false"/>
          <w:textDirection w:val="lrTb"/>
          <w:docGrid w:type="default" w:linePitch="360" w:charSpace="0"/>
        </w:sectPr>
      </w:pPr>
    </w:p>
    <w:tbl>
      <w:tblPr>
        <w:tblW w:w="1516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9"/>
        <w:gridCol w:w="1703"/>
        <w:gridCol w:w="8787"/>
        <w:gridCol w:w="1986"/>
        <w:gridCol w:w="2128"/>
      </w:tblGrid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</w:t>
            </w:r>
            <w:r>
              <w:rPr>
                <w:b/>
                <w:bCs/>
                <w:color w:val="000000"/>
                <w:sz w:val="20"/>
                <w:szCs w:val="20"/>
              </w:rPr>
              <w:t>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Место поставки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color w:val="000000"/>
                <w:sz w:val="20"/>
                <w:szCs w:val="20"/>
              </w:rPr>
              <w:t>РФ, 445351, Самарская область, г. Жигулевск, территория Жигулевская ГЭС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>
          <w:trHeight w:val="60" w:hRule="atLeast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2.2.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rFonts w:eastAsia="Calibri"/>
                <w:sz w:val="20"/>
              </w:rPr>
              <w:t>Допуск на территорию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3.1.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Сроки гарантии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Не менее 12 месяцев с даты подписания сторонами ТОРГ-12 (УПД), но не менее гарантии завода изготовителя.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4.1.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Документы, передаваемые вместе с продукцией</w:t>
            </w:r>
          </w:p>
        </w:tc>
        <w:tc>
          <w:tcPr>
            <w:tcW w:w="8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14" w:leader="none"/>
              </w:tabs>
              <w:ind w:left="320"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сертификаты качества;</w:t>
            </w:r>
          </w:p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08"/>
                <w:tab w:val="left" w:pos="314" w:leader="none"/>
              </w:tabs>
              <w:ind w:left="320" w:hanging="0"/>
              <w:rPr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товарную накладную унифицированной формы ТОРГ-12(УПД) в 2 экз.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sz w:val="20"/>
                <w:szCs w:val="20"/>
              </w:rPr>
              <w:t>Прочие (дополнительные) требования к продукции</w:t>
            </w:r>
          </w:p>
        </w:tc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5.1.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Продукция должна быть новой, ранее не использовавшейся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  <w:tr>
        <w:trPr/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-109" w:right="-113" w:hanging="0"/>
              <w:jc w:val="center"/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5.2.</w:t>
            </w:r>
          </w:p>
        </w:tc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  <w:tc>
          <w:tcPr>
            <w:tcW w:w="19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color w:val="000000" w:themeColor="text1"/>
                <w:sz w:val="20"/>
              </w:rPr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before="120" w:after="60"/>
        <w:ind w:left="1276" w:hanging="357"/>
        <w:outlineLvl w:val="0"/>
        <w:rPr>
          <w:rFonts w:eastAsia="Calibri"/>
          <w:b/>
        </w:rPr>
      </w:pPr>
      <w:r>
        <w:rPr>
          <w:rFonts w:eastAsia="Calibri"/>
          <w:b/>
        </w:rPr>
        <w:t>3.</w:t>
        <w:tab/>
        <w:t>Требования к документации по ценообразованию на этапе закупки</w:t>
      </w:r>
    </w:p>
    <w:p>
      <w:pPr>
        <w:pStyle w:val="Normal"/>
        <w:widowControl w:val="false"/>
        <w:numPr>
          <w:ilvl w:val="0"/>
          <w:numId w:val="0"/>
        </w:numPr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3.1.</w:t>
        <w:tab/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numPr>
          <w:ilvl w:val="0"/>
          <w:numId w:val="0"/>
        </w:numPr>
        <w:spacing w:before="120" w:after="60"/>
        <w:ind w:left="1276" w:hanging="357"/>
        <w:outlineLvl w:val="0"/>
        <w:rPr>
          <w:rFonts w:eastAsia="Calibri"/>
        </w:rPr>
      </w:pPr>
      <w:r>
        <w:rPr>
          <w:rFonts w:eastAsia="Calibri"/>
        </w:rPr>
        <w:t>3.2.</w:t>
        <w:tab/>
        <w:t>Дополнительные документы по ценообразованию в состав заявки не включаются.</w:t>
      </w:r>
    </w:p>
    <w:p>
      <w:pPr>
        <w:pStyle w:val="Normal"/>
        <w:widowControl w:val="false"/>
        <w:numPr>
          <w:ilvl w:val="0"/>
          <w:numId w:val="0"/>
        </w:numPr>
        <w:spacing w:before="120" w:after="60"/>
        <w:ind w:left="357" w:hanging="357"/>
        <w:jc w:val="center"/>
        <w:outlineLvl w:val="0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widowControl w:val="false"/>
        <w:numPr>
          <w:ilvl w:val="0"/>
          <w:numId w:val="0"/>
        </w:numPr>
        <w:spacing w:before="120" w:after="60"/>
        <w:ind w:left="357" w:hanging="357"/>
        <w:jc w:val="center"/>
        <w:outlineLvl w:val="0"/>
        <w:rPr>
          <w:rFonts w:eastAsia="Calibri"/>
          <w:b/>
        </w:rPr>
      </w:pPr>
      <w:r>
        <w:rPr>
          <w:rFonts w:eastAsia="Calibri"/>
          <w:b/>
        </w:rPr>
      </w:r>
    </w:p>
    <w:p>
      <w:pPr>
        <w:pStyle w:val="Normal"/>
        <w:widowControl w:val="false"/>
        <w:numPr>
          <w:ilvl w:val="0"/>
          <w:numId w:val="0"/>
        </w:numPr>
        <w:spacing w:before="120" w:after="60"/>
        <w:ind w:left="357" w:hanging="357"/>
        <w:jc w:val="center"/>
        <w:outlineLvl w:val="0"/>
        <w:rPr>
          <w:rFonts w:eastAsia="Calibri"/>
          <w:b/>
        </w:rPr>
      </w:pPr>
      <w:r>
        <w:rPr/>
      </w:r>
    </w:p>
    <w:sectPr>
      <w:type w:val="continuous"/>
      <w:pgSz w:orient="landscape" w:w="16838" w:h="11906"/>
      <w:pgMar w:left="1134" w:right="1134" w:gutter="0" w:header="0" w:top="851" w:footer="709" w:bottom="766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OST Type BU"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2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5</w:t>
    </w:r>
    <w:r>
      <w:rPr>
        <w:sz w:val="24"/>
        <w:b/>
        <w:szCs w:val="24"/>
        <w:bCs/>
      </w:rPr>
      <w:fldChar w:fldCharType="end"/>
    </w:r>
  </w:p>
  <w:p>
    <w:pPr>
      <w:pStyle w:val="Footer"/>
      <w:rPr>
        <w:sz w:val="24"/>
        <w:szCs w:val="24"/>
      </w:rPr>
    </w:pPr>
    <w:r>
      <w:rPr>
        <w:sz w:val="24"/>
        <w:szCs w:val="24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5</w:t>
    </w:r>
    <w:r>
      <w:rPr>
        <w:sz w:val="24"/>
        <w:b/>
        <w:szCs w:val="24"/>
        <w:bCs/>
      </w:rPr>
      <w:fldChar w:fldCharType="end"/>
    </w:r>
    <w:r>
      <w:rPr/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5</w:t>
    </w:r>
    <w:r>
      <w:rPr>
        <w:sz w:val="24"/>
        <w:b/>
        <w:szCs w:val="24"/>
        <w:bCs/>
      </w:rPr>
      <w:fldChar w:fldCharType="end"/>
    </w:r>
  </w:p>
  <w:p>
    <w:pPr>
      <w:pStyle w:val="Footer"/>
      <w:rPr>
        <w:sz w:val="24"/>
        <w:szCs w:val="24"/>
      </w:rPr>
    </w:pPr>
    <w:r>
      <w:rPr>
        <w:sz w:val="24"/>
        <w:szCs w:val="2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GOST Type BU" w:hAnsi="GOST Type BU" w:cs="GOST Type BU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1.%1."/>
      <w:lvlJc w:val="left"/>
      <w:pPr>
        <w:tabs>
          <w:tab w:val="num" w:pos="0"/>
        </w:tabs>
        <w:ind w:left="644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d5095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611ac1"/>
    <w:pPr>
      <w:keepNext w:val="true"/>
      <w:outlineLvl w:val="0"/>
    </w:pPr>
    <w:rPr>
      <w:sz w:val="28"/>
      <w:szCs w:val="20"/>
      <w:lang w:eastAsia="en-US"/>
    </w:rPr>
  </w:style>
  <w:style w:type="paragraph" w:styleId="Heading2">
    <w:name w:val="Heading 2"/>
    <w:basedOn w:val="Normal"/>
    <w:next w:val="Normal"/>
    <w:link w:val="2"/>
    <w:qFormat/>
    <w:rsid w:val="00611ac1"/>
    <w:pPr>
      <w:keepNext w:val="true"/>
      <w:jc w:val="center"/>
      <w:outlineLvl w:val="1"/>
    </w:pPr>
    <w:rPr>
      <w:sz w:val="28"/>
      <w:szCs w:val="20"/>
      <w:lang w:val="en-US" w:eastAsia="en-US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9b7eec"/>
    <w:pPr>
      <w:keepNext w:val="true"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Текст выноски Знак"/>
    <w:link w:val="BalloonText"/>
    <w:uiPriority w:val="99"/>
    <w:semiHidden/>
    <w:qFormat/>
    <w:rsid w:val="007436d2"/>
    <w:rPr>
      <w:rFonts w:ascii="Tahoma" w:hAnsi="Tahoma" w:eastAsia="Times New Roman" w:cs="Tahoma"/>
      <w:sz w:val="16"/>
      <w:szCs w:val="16"/>
      <w:lang w:eastAsia="ru-RU"/>
    </w:rPr>
  </w:style>
  <w:style w:type="character" w:styleId="1" w:customStyle="1">
    <w:name w:val="Заголовок 1 Знак"/>
    <w:qFormat/>
    <w:rsid w:val="00611ac1"/>
    <w:rPr>
      <w:rFonts w:ascii="Times New Roman" w:hAnsi="Times New Roman" w:eastAsia="Times New Roman" w:cs="Times New Roman"/>
      <w:sz w:val="28"/>
      <w:szCs w:val="20"/>
    </w:rPr>
  </w:style>
  <w:style w:type="character" w:styleId="2" w:customStyle="1">
    <w:name w:val="Заголовок 2 Знак"/>
    <w:qFormat/>
    <w:rsid w:val="00611ac1"/>
    <w:rPr>
      <w:rFonts w:ascii="Times New Roman" w:hAnsi="Times New Roman" w:eastAsia="Times New Roman" w:cs="Times New Roman"/>
      <w:sz w:val="28"/>
      <w:szCs w:val="20"/>
      <w:lang w:val="en-US"/>
    </w:rPr>
  </w:style>
  <w:style w:type="character" w:styleId="Hyperlink">
    <w:name w:val="Hyperlink"/>
    <w:uiPriority w:val="99"/>
    <w:unhideWhenUsed/>
    <w:rsid w:val="00b405e7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qFormat/>
    <w:rsid w:val="00543cd6"/>
    <w:rPr/>
  </w:style>
  <w:style w:type="character" w:styleId="4" w:customStyle="1">
    <w:name w:val="Заголовок 4 Знак"/>
    <w:uiPriority w:val="9"/>
    <w:semiHidden/>
    <w:qFormat/>
    <w:rsid w:val="009b7eec"/>
    <w:rPr>
      <w:rFonts w:ascii="Cambria" w:hAnsi="Cambria" w:eastAsia="Times New Roman" w:cs="Times New Roman"/>
      <w:i/>
      <w:iCs/>
      <w:color w:val="365F91"/>
      <w:sz w:val="24"/>
      <w:szCs w:val="24"/>
      <w:lang w:eastAsia="ru-RU"/>
    </w:rPr>
  </w:style>
  <w:style w:type="character" w:styleId="Style7" w:customStyle="1">
    <w:name w:val="Основной текст_"/>
    <w:link w:val="12"/>
    <w:uiPriority w:val="99"/>
    <w:qFormat/>
    <w:locked/>
    <w:rsid w:val="000d3ef6"/>
    <w:rPr>
      <w:rFonts w:cs="Times New Roman"/>
      <w:sz w:val="28"/>
      <w:szCs w:val="28"/>
      <w:shd w:fill="FFFFFF" w:val="clear"/>
    </w:rPr>
  </w:style>
  <w:style w:type="character" w:styleId="Style8" w:customStyle="1">
    <w:name w:val="Основной текст + Малые прописные"/>
    <w:uiPriority w:val="99"/>
    <w:qFormat/>
    <w:rsid w:val="000d3ef6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character" w:styleId="Jss379" w:customStyle="1">
    <w:name w:val="jss379"/>
    <w:basedOn w:val="DefaultParagraphFont"/>
    <w:qFormat/>
    <w:rsid w:val="00ae0099"/>
    <w:rPr/>
  </w:style>
  <w:style w:type="character" w:styleId="Jss368" w:customStyle="1">
    <w:name w:val="jss368"/>
    <w:basedOn w:val="DefaultParagraphFont"/>
    <w:qFormat/>
    <w:rsid w:val="00002f3b"/>
    <w:rPr/>
  </w:style>
  <w:style w:type="character" w:styleId="Jss416" w:customStyle="1">
    <w:name w:val="jss416"/>
    <w:basedOn w:val="DefaultParagraphFont"/>
    <w:qFormat/>
    <w:rsid w:val="00506353"/>
    <w:rPr/>
  </w:style>
  <w:style w:type="character" w:styleId="Jss398" w:customStyle="1">
    <w:name w:val="jss398"/>
    <w:basedOn w:val="DefaultParagraphFont"/>
    <w:qFormat/>
    <w:rsid w:val="003353e6"/>
    <w:rPr/>
  </w:style>
  <w:style w:type="character" w:styleId="Jss981" w:customStyle="1">
    <w:name w:val="jss981"/>
    <w:basedOn w:val="DefaultParagraphFont"/>
    <w:qFormat/>
    <w:rsid w:val="00f36596"/>
    <w:rPr/>
  </w:style>
  <w:style w:type="character" w:styleId="Jss387" w:customStyle="1">
    <w:name w:val="jss387"/>
    <w:basedOn w:val="DefaultParagraphFont"/>
    <w:qFormat/>
    <w:rsid w:val="001e0335"/>
    <w:rPr/>
  </w:style>
  <w:style w:type="character" w:styleId="Ff-dinpro" w:customStyle="1">
    <w:name w:val="ff-dinpro"/>
    <w:basedOn w:val="DefaultParagraphFont"/>
    <w:qFormat/>
    <w:rsid w:val="00d11037"/>
    <w:rPr/>
  </w:style>
  <w:style w:type="character" w:styleId="Jss637" w:customStyle="1">
    <w:name w:val="jss637"/>
    <w:basedOn w:val="DefaultParagraphFont"/>
    <w:qFormat/>
    <w:rsid w:val="00b81c57"/>
    <w:rPr/>
  </w:style>
  <w:style w:type="character" w:styleId="Jss382" w:customStyle="1">
    <w:name w:val="jss382"/>
    <w:basedOn w:val="DefaultParagraphFont"/>
    <w:qFormat/>
    <w:rsid w:val="00e31b01"/>
    <w:rPr/>
  </w:style>
  <w:style w:type="character" w:styleId="Typography" w:customStyle="1">
    <w:name w:val="typography"/>
    <w:basedOn w:val="DefaultParagraphFont"/>
    <w:qFormat/>
    <w:rsid w:val="00e672a1"/>
    <w:rPr/>
  </w:style>
  <w:style w:type="character" w:styleId="Style9" w:customStyle="1">
    <w:name w:val="Абзац списка Знак"/>
    <w:link w:val="ListParagraph"/>
    <w:qFormat/>
    <w:locked/>
    <w:rsid w:val="0067358f"/>
    <w:rPr>
      <w:rFonts w:ascii="Symbol" w:hAnsi="Symbol" w:eastAsia="Times New Roman" w:cs="Times New Roman"/>
      <w:sz w:val="26"/>
      <w:szCs w:val="26"/>
      <w:lang w:eastAsia="ru-RU"/>
    </w:rPr>
  </w:style>
  <w:style w:type="character" w:styleId="Style10" w:customStyle="1">
    <w:name w:val="Нижний колонтитул Знак"/>
    <w:uiPriority w:val="99"/>
    <w:qFormat/>
    <w:rsid w:val="00c80925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" w:customStyle="1">
    <w:name w:val="Нижний колонтитул Знак1"/>
    <w:uiPriority w:val="99"/>
    <w:semiHidden/>
    <w:qFormat/>
    <w:rsid w:val="00c80925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1" w:customStyle="1">
    <w:name w:val="Верхний колонтитул Знак"/>
    <w:uiPriority w:val="99"/>
    <w:qFormat/>
    <w:rsid w:val="008b043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Info-blockchars-list-item-value" w:customStyle="1">
    <w:name w:val="info-block__chars-list-item-value"/>
    <w:basedOn w:val="DefaultParagraphFont"/>
    <w:qFormat/>
    <w:rsid w:val="00db053e"/>
    <w:rPr/>
  </w:style>
  <w:style w:type="character" w:styleId="Style12" w:customStyle="1">
    <w:name w:val="комментарий"/>
    <w:qFormat/>
    <w:rsid w:val="00ae2a8f"/>
    <w:rPr>
      <w:b/>
      <w:i/>
      <w:shd w:fill="FFFF99" w:val="clear"/>
    </w:rPr>
  </w:style>
  <w:style w:type="character" w:styleId="Annotationreference">
    <w:name w:val="annotation reference"/>
    <w:uiPriority w:val="99"/>
    <w:semiHidden/>
    <w:unhideWhenUsed/>
    <w:qFormat/>
    <w:rsid w:val="00c0442a"/>
    <w:rPr>
      <w:sz w:val="16"/>
      <w:szCs w:val="16"/>
    </w:rPr>
  </w:style>
  <w:style w:type="character" w:styleId="Style13" w:customStyle="1">
    <w:name w:val="Текст примечания Знак"/>
    <w:link w:val="Annotationtext"/>
    <w:uiPriority w:val="99"/>
    <w:semiHidden/>
    <w:qFormat/>
    <w:rsid w:val="00c0442a"/>
    <w:rPr>
      <w:rFonts w:ascii="Times New Roman" w:hAnsi="Times New Roman" w:eastAsia="Times New Roman"/>
    </w:rPr>
  </w:style>
  <w:style w:type="character" w:styleId="Style14" w:customStyle="1">
    <w:name w:val="Тема примечания Знак"/>
    <w:link w:val="Annotationsubject"/>
    <w:uiPriority w:val="99"/>
    <w:semiHidden/>
    <w:qFormat/>
    <w:rsid w:val="00c0442a"/>
    <w:rPr>
      <w:rFonts w:ascii="Times New Roman" w:hAnsi="Times New Roman" w:eastAsia="Times New Roman"/>
      <w:b/>
      <w:bCs/>
    </w:rPr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NormalWeb">
    <w:name w:val="Normal (Web)"/>
    <w:basedOn w:val="Normal"/>
    <w:uiPriority w:val="99"/>
    <w:unhideWhenUsed/>
    <w:qFormat/>
    <w:rsid w:val="00c82289"/>
    <w:pPr>
      <w:spacing w:beforeAutospacing="1" w:afterAutospacing="1"/>
    </w:pPr>
    <w:rPr/>
  </w:style>
  <w:style w:type="paragraph" w:styleId="ListParagraph">
    <w:name w:val="List Paragraph"/>
    <w:basedOn w:val="Normal"/>
    <w:link w:val="Style9"/>
    <w:qFormat/>
    <w:rsid w:val="00c82289"/>
    <w:pPr>
      <w:numPr>
        <w:ilvl w:val="0"/>
        <w:numId w:val="2"/>
      </w:numPr>
      <w:spacing w:before="0" w:after="0"/>
      <w:contextualSpacing/>
      <w:jc w:val="both"/>
    </w:pPr>
    <w:rPr>
      <w:rFonts w:ascii="Symbol" w:hAnsi="Symbol"/>
      <w:sz w:val="26"/>
      <w:szCs w:val="26"/>
    </w:rPr>
  </w:style>
  <w:style w:type="paragraph" w:styleId="BalloonText">
    <w:name w:val="Balloon Text"/>
    <w:basedOn w:val="Normal"/>
    <w:link w:val="Style6"/>
    <w:uiPriority w:val="99"/>
    <w:semiHidden/>
    <w:unhideWhenUsed/>
    <w:qFormat/>
    <w:rsid w:val="007436d2"/>
    <w:pPr/>
    <w:rPr>
      <w:rFonts w:ascii="Tahoma" w:hAnsi="Tahoma" w:cs="Tahoma"/>
      <w:sz w:val="16"/>
      <w:szCs w:val="16"/>
    </w:rPr>
  </w:style>
  <w:style w:type="paragraph" w:styleId="12" w:customStyle="1">
    <w:name w:val="Основной текст1"/>
    <w:basedOn w:val="Normal"/>
    <w:link w:val="Style7"/>
    <w:uiPriority w:val="99"/>
    <w:qFormat/>
    <w:rsid w:val="000d3ef6"/>
    <w:pPr>
      <w:widowControl w:val="false"/>
      <w:shd w:val="clear" w:color="auto" w:fill="FFFFFF"/>
      <w:spacing w:lineRule="exact" w:line="302"/>
    </w:pPr>
    <w:rPr>
      <w:rFonts w:ascii="Calibri" w:hAnsi="Calibri" w:eastAsia="Calibri"/>
      <w:sz w:val="28"/>
      <w:szCs w:val="28"/>
      <w:lang w:eastAsia="en-US"/>
    </w:rPr>
  </w:style>
  <w:style w:type="paragraph" w:styleId="Jss384" w:customStyle="1">
    <w:name w:val="jss384"/>
    <w:basedOn w:val="Normal"/>
    <w:qFormat/>
    <w:rsid w:val="00ae0099"/>
    <w:pPr>
      <w:spacing w:beforeAutospacing="1" w:afterAutospacing="1"/>
    </w:pPr>
    <w:rPr/>
  </w:style>
  <w:style w:type="paragraph" w:styleId="Jss373" w:customStyle="1">
    <w:name w:val="jss373"/>
    <w:basedOn w:val="Normal"/>
    <w:qFormat/>
    <w:rsid w:val="00002f3b"/>
    <w:pPr>
      <w:spacing w:beforeAutospacing="1" w:afterAutospacing="1"/>
    </w:pPr>
    <w:rPr/>
  </w:style>
  <w:style w:type="paragraph" w:styleId="Jss403" w:customStyle="1">
    <w:name w:val="jss403"/>
    <w:basedOn w:val="Normal"/>
    <w:qFormat/>
    <w:rsid w:val="00a55b77"/>
    <w:pPr>
      <w:spacing w:beforeAutospacing="1" w:afterAutospacing="1"/>
    </w:pPr>
    <w:rPr/>
  </w:style>
  <w:style w:type="paragraph" w:styleId="Jss986" w:customStyle="1">
    <w:name w:val="jss986"/>
    <w:basedOn w:val="Normal"/>
    <w:qFormat/>
    <w:rsid w:val="00f36596"/>
    <w:pPr>
      <w:spacing w:beforeAutospacing="1" w:afterAutospacing="1"/>
    </w:pPr>
    <w:rPr/>
  </w:style>
  <w:style w:type="paragraph" w:styleId="Style17">
    <w:name w:val="Колонтитул"/>
    <w:basedOn w:val="Normal"/>
    <w:qFormat/>
    <w:pPr/>
    <w:rPr/>
  </w:style>
  <w:style w:type="paragraph" w:styleId="Footer">
    <w:name w:val="Footer"/>
    <w:basedOn w:val="Normal"/>
    <w:link w:val="Style10"/>
    <w:uiPriority w:val="99"/>
    <w:rsid w:val="00c80925"/>
    <w:pPr>
      <w:tabs>
        <w:tab w:val="clear" w:pos="708"/>
        <w:tab w:val="center" w:pos="4677" w:leader="none"/>
        <w:tab w:val="right" w:pos="9355" w:leader="none"/>
      </w:tabs>
      <w:suppressAutoHyphens w:val="true"/>
    </w:pPr>
    <w:rPr>
      <w:sz w:val="28"/>
      <w:szCs w:val="28"/>
    </w:rPr>
  </w:style>
  <w:style w:type="paragraph" w:styleId="Header">
    <w:name w:val="Header"/>
    <w:basedOn w:val="Normal"/>
    <w:link w:val="Style11"/>
    <w:uiPriority w:val="99"/>
    <w:unhideWhenUsed/>
    <w:rsid w:val="008b0436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link w:val="Style13"/>
    <w:uiPriority w:val="99"/>
    <w:semiHidden/>
    <w:unhideWhenUsed/>
    <w:qFormat/>
    <w:rsid w:val="00c0442a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4"/>
    <w:uiPriority w:val="99"/>
    <w:semiHidden/>
    <w:unhideWhenUsed/>
    <w:qFormat/>
    <w:rsid w:val="00c0442a"/>
    <w:pPr/>
    <w:rPr>
      <w:b/>
      <w:bCs/>
    </w:rPr>
  </w:style>
  <w:style w:type="paragraph" w:styleId="Msonormalmrcssattr" w:customStyle="1">
    <w:name w:val="msonormalmrcssattr"/>
    <w:basedOn w:val="Normal"/>
    <w:qFormat/>
    <w:rsid w:val="002656c1"/>
    <w:pPr>
      <w:spacing w:beforeAutospacing="1" w:afterAutospacing="1"/>
    </w:pPr>
    <w:rPr>
      <w:rFonts w:eastAsia="Calibri" w:eastAsiaTheme="minorHAnsi"/>
    </w:rPr>
  </w:style>
  <w:style w:type="paragraph" w:styleId="Style18">
    <w:name w:val="Содержимое таблицы"/>
    <w:basedOn w:val="Normal"/>
    <w:qFormat/>
    <w:pPr>
      <w:widowControl w:val="false"/>
      <w:suppressLineNumbers/>
    </w:pPr>
    <w:rPr/>
  </w:style>
  <w:style w:type="paragraph" w:styleId="Style19">
    <w:name w:val="Заголовок таблицы"/>
    <w:basedOn w:val="Style1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3" w:customStyle="1">
    <w:name w:val="Стиль1"/>
    <w:uiPriority w:val="99"/>
    <w:qFormat/>
    <w:rsid w:val="00f2287e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2"/>
    <w:rsid w:val="0047700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E26A7-4A7E-468F-97BF-887D93025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Application>AlterOffice/3.4.0.9$Linux_X86_64 LibreOffice_project/b8daf9e823b1a5463a2f48435ddc2e8696e7d4fc</Application>
  <AppVersion>15.0000</AppVersion>
  <Pages>5</Pages>
  <Words>769</Words>
  <Characters>5211</Characters>
  <CharactersWithSpaces>5797</CharactersWithSpaces>
  <Paragraphs>182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2026-08-04T06:15:00Z</dcterms:created>
  <dc:creator>Егорушкин Яков Игоревич</dc:creator>
  <dc:description/>
  <dc:language>ru-RU</dc:language>
  <cp:lastModifiedBy>kashinds@corp.gidroogk.com</cp:lastModifiedBy>
  <cp:lastPrinted>2025-01-30T12:36:00Z</cp:lastPrinted>
  <dcterms:modified xsi:type="dcterms:W3CDTF">2026-08-13T13:39:06Z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