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color w:val="332E2D"/>
          <w:spacing w:val="2"/>
        </w:rPr>
        <w:t>УТВЕРЖДАЮ</w:t>
      </w:r>
    </w:p>
    <w:p>
      <w:pPr>
        <w:pStyle w:val="111"/>
        <w:spacing w:lineRule="auto" w:line="264"/>
        <w:ind w:left="9020" w:hanging="3350"/>
        <w:rPr>
          <w:color w:val="332E2D"/>
          <w:spacing w:val="2"/>
        </w:rPr>
      </w:pPr>
      <w:r>
        <w:rPr>
          <w:color w:val="332E2D"/>
          <w:spacing w:val="2"/>
        </w:rPr>
        <w:t>Заместитель директора филиала-</w:t>
      </w:r>
    </w:p>
    <w:p>
      <w:pPr>
        <w:pStyle w:val="111"/>
        <w:spacing w:lineRule="auto" w:line="264"/>
        <w:ind w:left="9020" w:hanging="3350"/>
        <w:rPr>
          <w:color w:val="332E2D"/>
          <w:spacing w:val="2"/>
        </w:rPr>
      </w:pPr>
      <w:r>
        <w:rPr>
          <w:color w:val="332E2D"/>
          <w:spacing w:val="2"/>
        </w:rPr>
        <w:t>Главный инженер</w:t>
      </w:r>
    </w:p>
    <w:p>
      <w:pPr>
        <w:pStyle w:val="111"/>
        <w:spacing w:lineRule="auto" w:line="264"/>
        <w:ind w:left="9020" w:hanging="3350"/>
        <w:rPr>
          <w:color w:val="332E2D"/>
          <w:spacing w:val="2"/>
        </w:rPr>
      </w:pPr>
      <w:r>
        <w:rPr>
          <w:color w:val="332E2D"/>
          <w:spacing w:val="2"/>
        </w:rPr>
        <w:t>Волжского филиала</w:t>
      </w:r>
    </w:p>
    <w:p>
      <w:pPr>
        <w:pStyle w:val="111"/>
        <w:spacing w:lineRule="auto" w:line="264"/>
        <w:ind w:left="9020" w:hanging="3350"/>
        <w:rPr>
          <w:color w:val="332E2D"/>
          <w:spacing w:val="2"/>
        </w:rPr>
      </w:pPr>
      <w:r>
        <w:rPr>
          <w:color w:val="332E2D"/>
          <w:spacing w:val="2"/>
        </w:rPr>
        <w:t xml:space="preserve"> </w:t>
      </w:r>
      <w:r>
        <w:rPr>
          <w:color w:val="332E2D"/>
          <w:spacing w:val="2"/>
        </w:rPr>
        <w:t>АО «Гидроремонт-ВКК»</w:t>
      </w:r>
    </w:p>
    <w:p>
      <w:pPr>
        <w:pStyle w:val="111"/>
        <w:spacing w:lineRule="auto" w:line="264"/>
        <w:ind w:left="9020" w:hanging="3350"/>
        <w:rPr>
          <w:color w:val="332E2D"/>
          <w:spacing w:val="2"/>
        </w:rPr>
      </w:pPr>
      <w:r>
        <w:rPr>
          <w:color w:val="332E2D"/>
          <w:spacing w:val="2"/>
        </w:rPr>
        <w:t>в г. Волжский</w:t>
      </w:r>
    </w:p>
    <w:p>
      <w:pPr>
        <w:pStyle w:val="111"/>
        <w:spacing w:lineRule="auto" w:line="264"/>
        <w:ind w:left="9020" w:hanging="3350"/>
        <w:rPr>
          <w:color w:val="332E2D"/>
          <w:spacing w:val="2"/>
        </w:rPr>
      </w:pPr>
      <w:r>
        <w:rPr>
          <w:color w:val="332E2D"/>
          <w:spacing w:val="2"/>
        </w:rPr>
        <w:t>___________________</w:t>
      </w:r>
    </w:p>
    <w:p>
      <w:pPr>
        <w:pStyle w:val="111"/>
        <w:spacing w:lineRule="auto" w:line="264"/>
        <w:ind w:left="9020" w:hanging="3350"/>
        <w:rPr>
          <w:color w:val="332E2D"/>
          <w:spacing w:val="2"/>
        </w:rPr>
      </w:pPr>
      <w:r>
        <w:rPr>
          <w:color w:val="332E2D"/>
          <w:spacing w:val="2"/>
        </w:rPr>
      </w:r>
    </w:p>
    <w:p>
      <w:pPr>
        <w:pStyle w:val="111"/>
        <w:spacing w:lineRule="auto" w:line="264"/>
        <w:ind w:left="9020" w:hanging="5192"/>
        <w:rPr>
          <w:color w:val="332E2D"/>
          <w:spacing w:val="2"/>
        </w:rPr>
      </w:pPr>
      <w:r>
        <w:rPr>
          <w:color w:val="332E2D"/>
          <w:spacing w:val="2"/>
        </w:rPr>
      </w:r>
    </w:p>
    <w:p>
      <w:pPr>
        <w:pStyle w:val="111"/>
        <w:shd w:val="clear" w:color="auto" w:fill="auto"/>
        <w:spacing w:lineRule="auto" w:line="264"/>
        <w:ind w:left="9020" w:hanging="5192"/>
        <w:jc w:val="right"/>
        <w:rPr>
          <w:spacing w:val="2"/>
        </w:rPr>
      </w:pPr>
      <w:r>
        <w:rPr>
          <w:bCs/>
          <w:spacing w:val="2"/>
          <w:sz w:val="24"/>
          <w:szCs w:val="24"/>
        </w:rPr>
        <w:t xml:space="preserve">                              </w:t>
      </w:r>
      <w:r>
        <w:rPr>
          <w:bCs/>
          <w:spacing w:val="2"/>
          <w:sz w:val="24"/>
          <w:szCs w:val="24"/>
        </w:rPr>
        <w:t>«12»  августа 2026 г.</w:t>
      </w:r>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37554584"/>
      <w:bookmarkStart w:id="1" w:name="_Toc141696704"/>
      <w:bookmarkStart w:id="2" w:name="_Toc139856287"/>
      <w:bookmarkStart w:id="3" w:name="_Toc137554584"/>
      <w:bookmarkStart w:id="4" w:name="_Toc141696704"/>
      <w:bookmarkStart w:id="5" w:name="_Toc139856287"/>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8"/>
          <w:rFonts w:eastAsia="Calibri"/>
          <w:bCs/>
          <w:i w:val="false"/>
          <w:i w:val="false"/>
          <w:sz w:val="26"/>
          <w:szCs w:val="26"/>
          <w:shd w:fill="auto" w:val="clear"/>
        </w:rPr>
      </w:pPr>
      <w:r>
        <w:rPr>
          <w:rStyle w:val="Style8"/>
          <w:rFonts w:eastAsia="Calibri"/>
          <w:bCs/>
          <w:i w:val="false"/>
          <w:sz w:val="26"/>
          <w:szCs w:val="26"/>
          <w:shd w:fill="auto" w:val="clear"/>
        </w:rPr>
        <w:t xml:space="preserve">ОКПД2 </w:t>
      </w:r>
      <w:r>
        <w:rPr>
          <w:rStyle w:val="Style8"/>
          <w:rFonts w:eastAsia="Calibri" w:cs="Times New Roman"/>
          <w:bCs/>
          <w:i w:val="false"/>
          <w:color w:val="000000"/>
          <w:kern w:val="0"/>
          <w:sz w:val="26"/>
          <w:szCs w:val="26"/>
          <w:shd w:fill="auto" w:val="clear"/>
          <w:lang w:val="ru-RU" w:eastAsia="ru-RU" w:bidi="ar-SA"/>
        </w:rPr>
        <w:t>26.30.50.110</w:t>
      </w:r>
    </w:p>
    <w:p>
      <w:pPr>
        <w:pStyle w:val="Normal"/>
        <w:widowControl w:val="false"/>
        <w:tabs>
          <w:tab w:val="clear" w:pos="708"/>
          <w:tab w:val="left" w:pos="426" w:leader="none"/>
        </w:tabs>
        <w:spacing w:before="120" w:after="120"/>
        <w:jc w:val="center"/>
        <w:rPr/>
      </w:pPr>
      <w:r>
        <w:rPr>
          <w:rStyle w:val="Style8"/>
          <w:rFonts w:eastAsia="Calibri"/>
          <w:bCs/>
          <w:i w:val="false"/>
          <w:sz w:val="26"/>
          <w:szCs w:val="26"/>
          <w:shd w:fill="auto" w:val="clear"/>
        </w:rPr>
        <w:t>«Поставка</w:t>
      </w:r>
      <w:r>
        <w:rPr>
          <w:rStyle w:val="Style8"/>
          <w:rFonts w:eastAsia="Calibri" w:cs="Times New Roman"/>
          <w:bCs/>
          <w:i w:val="false"/>
          <w:color w:val="000000"/>
          <w:kern w:val="0"/>
          <w:sz w:val="26"/>
          <w:szCs w:val="26"/>
          <w:shd w:fill="auto" w:val="clear"/>
          <w:lang w:val="ru-RU" w:eastAsia="ru-RU" w:bidi="ar-SA"/>
        </w:rPr>
        <w:t xml:space="preserve"> сетевых контроллеров</w:t>
      </w:r>
      <w:r>
        <w:rPr>
          <w:rFonts w:eastAsia="Calibri"/>
          <w:b/>
          <w:bCs/>
          <w:sz w:val="26"/>
          <w:szCs w:val="26"/>
        </w:rPr>
        <w:t>»</w:t>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Heading4"/>
        <w:numPr>
          <w:ilvl w:val="0"/>
          <w:numId w:val="0"/>
        </w:numPr>
        <w:ind w:left="432" w:hanging="0"/>
        <w:rPr/>
      </w:pPr>
      <w:r>
        <w:rPr/>
      </w:r>
    </w:p>
    <w:p>
      <w:pPr>
        <w:pStyle w:val="Heading4"/>
        <w:numPr>
          <w:ilvl w:val="1"/>
          <w:numId w:val="3"/>
        </w:numPr>
        <w:rPr/>
      </w:pPr>
      <w:bookmarkStart w:id="12" w:name="_Toc46743506"/>
      <w:bookmarkStart w:id="13" w:name="_Toc184220612"/>
      <w:r>
        <w:rPr/>
        <w:t>Наименование закупаемой продукции</w:t>
      </w:r>
      <w:bookmarkEnd w:id="12"/>
      <w:bookmarkEnd w:id="13"/>
    </w:p>
    <w:p>
      <w:pPr>
        <w:pStyle w:val="Normal"/>
        <w:widowControl w:val="false"/>
        <w:tabs>
          <w:tab w:val="clear" w:pos="708"/>
          <w:tab w:val="left" w:pos="426" w:leader="none"/>
        </w:tabs>
        <w:spacing w:before="120" w:after="120"/>
        <w:jc w:val="both"/>
        <w:rPr/>
      </w:pPr>
      <w:r>
        <w:rPr>
          <w:rStyle w:val="Style8"/>
          <w:rFonts w:eastAsia="Calibri" w:ascii="Times New Roman" w:hAnsi="Times New Roman"/>
          <w:b w:val="false"/>
          <w:bCs w:val="false"/>
          <w:i w:val="false"/>
          <w:sz w:val="24"/>
          <w:szCs w:val="24"/>
          <w:shd w:fill="auto" w:val="clear"/>
        </w:rPr>
        <w:tab/>
        <w:t xml:space="preserve">ОКПД2 </w:t>
      </w:r>
      <w:r>
        <w:rPr>
          <w:rStyle w:val="Style8"/>
          <w:rFonts w:eastAsia="Calibri" w:cs="Times New Roman" w:ascii="Times New Roman" w:hAnsi="Times New Roman"/>
          <w:b w:val="false"/>
          <w:bCs w:val="false"/>
          <w:i w:val="false"/>
          <w:color w:val="000000"/>
          <w:kern w:val="0"/>
          <w:sz w:val="24"/>
          <w:szCs w:val="24"/>
          <w:shd w:fill="auto" w:val="clear"/>
          <w:lang w:val="ru-RU" w:eastAsia="ru-RU" w:bidi="ar-SA"/>
        </w:rPr>
        <w:t xml:space="preserve">26.30.50.110 </w:t>
      </w:r>
      <w:r>
        <w:rPr>
          <w:rStyle w:val="Style8"/>
          <w:rFonts w:eastAsia="Calibri" w:cs="Times New Roman" w:ascii="Times New Roman" w:hAnsi="Times New Roman"/>
          <w:b w:val="false"/>
          <w:bCs w:val="false"/>
          <w:i w:val="false"/>
          <w:color w:val="000000"/>
          <w:kern w:val="0"/>
          <w:sz w:val="24"/>
          <w:szCs w:val="24"/>
          <w:shd w:fill="auto" w:val="clear"/>
          <w:lang w:val="ru-RU" w:eastAsia="ru-RU" w:bidi="ar-SA"/>
        </w:rPr>
        <w:t>Поставка</w:t>
      </w:r>
      <w:r>
        <w:rPr>
          <w:rStyle w:val="Style8"/>
          <w:rFonts w:eastAsia="Calibri" w:cs="Times New Roman" w:ascii="Times New Roman" w:hAnsi="Times New Roman"/>
          <w:b w:val="false"/>
          <w:bCs w:val="false"/>
          <w:i w:val="false"/>
          <w:color w:val="000000"/>
          <w:kern w:val="0"/>
          <w:sz w:val="24"/>
          <w:szCs w:val="24"/>
          <w:shd w:fill="auto" w:val="clear"/>
          <w:lang w:val="ru-RU" w:eastAsia="ru-RU" w:bidi="ar-SA"/>
        </w:rPr>
        <w:t xml:space="preserve"> сетевых контроллеров</w:t>
      </w:r>
      <w:r>
        <w:rPr>
          <w:rFonts w:eastAsia="Times New Roman" w:cs="Times New Roman"/>
          <w:b w:val="false"/>
          <w:bCs w:val="false"/>
          <w:color w:val="auto"/>
          <w:kern w:val="0"/>
          <w:sz w:val="24"/>
          <w:szCs w:val="24"/>
          <w:lang w:val="ru-RU" w:eastAsia="ru-RU" w:bidi="ar-SA"/>
        </w:rPr>
        <w:t xml:space="preserve"> </w:t>
      </w:r>
      <w:r>
        <w:rPr>
          <w:rFonts w:eastAsia="Calibri"/>
          <w:b w:val="false"/>
          <w:bCs w:val="false"/>
          <w:sz w:val="24"/>
          <w:szCs w:val="24"/>
          <w:lang w:eastAsia="x-none"/>
        </w:rPr>
        <w:t xml:space="preserve">для </w:t>
      </w:r>
      <w:r>
        <w:rPr>
          <w:rFonts w:eastAsia="Calibri"/>
          <w:sz w:val="24"/>
          <w:szCs w:val="24"/>
          <w:lang w:eastAsia="x-none"/>
        </w:rPr>
        <w:t>нужд Волжского филиала (далее —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lineRule="auto" w:line="276" w:before="240" w:after="60"/>
        <w:ind w:left="0" w:hanging="0"/>
        <w:jc w:val="both"/>
        <w:rPr/>
      </w:pPr>
      <w:r>
        <w:rPr>
          <w:rStyle w:val="Style8"/>
          <w:b w:val="false"/>
          <w:bCs w:val="false"/>
          <w:i w:val="false"/>
          <w:shd w:fill="auto" w:val="clear"/>
          <w:lang w:val="ru-RU"/>
        </w:rPr>
        <w:tab/>
      </w:r>
      <w:bookmarkStart w:id="16" w:name="_Toc184220614"/>
      <w:r>
        <w:rPr>
          <w:rStyle w:val="Style8"/>
          <w:b w:val="false"/>
          <w:bCs w:val="false"/>
          <w:i w:val="false"/>
          <w:shd w:fill="auto" w:val="clear"/>
          <w:lang w:val="ru-RU"/>
        </w:rPr>
        <w:t>Закупаемая продукция предназначена для выполнения работ на Волжской ГЭС для исполнения Договора</w:t>
      </w:r>
      <w:bookmarkEnd w:id="16"/>
      <w:r>
        <w:rPr>
          <w:rStyle w:val="Style8"/>
          <w:b w:val="false"/>
          <w:bCs w:val="false"/>
          <w:i w:val="false"/>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подряда</w:t>
      </w:r>
      <w:r>
        <w:rPr>
          <w:rStyle w:val="Style8"/>
          <w:rFonts w:ascii="Arial;Tahoma;Verdana;sans-serif" w:hAnsi="Arial;Tahoma;Verdana;sans-serif"/>
          <w:b w:val="false"/>
          <w:bCs w:val="false"/>
          <w:i w:val="false"/>
          <w:caps w:val="false"/>
          <w:smallCaps w:val="false"/>
          <w:color w:val="2C2D2E"/>
          <w:spacing w:val="0"/>
          <w:sz w:val="24"/>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 1050-71-2024/9-ТпиР-БЕЗ-2024 от 22.08.2024г. «Разработка рабочей документации по созданию комплекса инженерно-технических средств защиты КРУЭ-</w:t>
      </w:r>
    </w:p>
    <w:p>
      <w:pPr>
        <w:pStyle w:val="BodyText"/>
        <w:widowControl/>
        <w:spacing w:lineRule="auto" w:line="276"/>
        <w:ind w:left="0" w:right="0" w:hanging="0"/>
        <w:rPr/>
      </w:pPr>
      <w:r>
        <w:rPr>
          <w:rStyle w:val="Style8"/>
          <w:rFonts w:eastAsia="Calibri" w:cs="Times New Roman"/>
          <w:b w:val="false"/>
          <w:bCs w:val="false"/>
          <w:i w:val="false"/>
          <w:color w:val="000000"/>
          <w:kern w:val="0"/>
          <w:sz w:val="24"/>
          <w:szCs w:val="24"/>
          <w:shd w:fill="auto" w:val="clear"/>
          <w:lang w:val="ru-RU" w:eastAsia="x-none" w:bidi="ar-SA"/>
        </w:rPr>
        <w:t>500 кВ, монтаж и наладка систем безопасности КРУЭ-500 кВ Волжской ГЭС», заключенный между ПАО «РусГидро» и АО «Гидроремонт-ВКК».</w:t>
      </w:r>
    </w:p>
    <w:p>
      <w:pPr>
        <w:pStyle w:val="BodyText"/>
        <w:widowControl/>
        <w:ind w:left="0" w:right="0" w:hanging="0"/>
        <w:rPr>
          <w:rStyle w:val="Style8"/>
          <w:rFonts w:ascii="Times New Roman" w:hAnsi="Times New Roman" w:eastAsia="Calibri" w:cs="Times New Roman"/>
          <w:b/>
          <w:bCs w:val="false"/>
          <w:i w:val="false"/>
          <w:i w:val="false"/>
          <w:color w:val="000000"/>
          <w:kern w:val="0"/>
          <w:sz w:val="24"/>
          <w:szCs w:val="24"/>
          <w:shd w:fill="auto" w:val="clear"/>
          <w:lang w:val="ru-RU" w:eastAsia="x-none" w:bidi="ar-SA"/>
        </w:rPr>
      </w:pPr>
      <w:r>
        <w:rPr>
          <w:rFonts w:eastAsia="Calibri" w:cs="Times New Roman"/>
          <w:b/>
          <w:bCs w:val="false"/>
          <w:i w:val="false"/>
          <w:color w:val="000000"/>
          <w:kern w:val="0"/>
          <w:sz w:val="24"/>
          <w:szCs w:val="24"/>
          <w:shd w:fill="auto" w:val="clear"/>
          <w:lang w:val="ru-RU" w:eastAsia="x-none" w:bidi="ar-SA"/>
        </w:rPr>
      </w:r>
    </w:p>
    <w:p>
      <w:pPr>
        <w:pStyle w:val="Heading1"/>
        <w:keepLines/>
        <w:numPr>
          <w:ilvl w:val="0"/>
          <w:numId w:val="3"/>
        </w:numPr>
        <w:ind w:left="357" w:hanging="357"/>
        <w:jc w:val="center"/>
        <w:rPr>
          <w:color w:val="000000"/>
        </w:rPr>
      </w:pPr>
      <w:bookmarkStart w:id="17" w:name="_Toc184220615"/>
      <w:bookmarkStart w:id="18" w:name="_Toc51339693"/>
      <w:bookmarkStart w:id="19" w:name="_Toc46743510"/>
      <w:bookmarkStart w:id="20" w:name="_Toc50125126"/>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5"/>
        <w:gridCol w:w="1365"/>
        <w:gridCol w:w="1318"/>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1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rHeight w:val="200" w:hRule="atLeast"/>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БЦП "Р-08" исп,5 lP65</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2</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2</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Модуль NM7010А*</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2</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3</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ПУ_02</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2</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4</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БИС 0,1</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2</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5</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СКШС- 04 lP65</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7</w:t>
            </w:r>
          </w:p>
        </w:tc>
      </w:tr>
      <w:tr>
        <w:trPr/>
        <w:tc>
          <w:tcPr>
            <w:tcW w:w="778" w:type="dxa"/>
            <w:tcBorders>
              <w:left w:val="single" w:sz="4" w:space="0" w:color="000000"/>
              <w:bottom w:val="single" w:sz="4" w:space="0" w:color="000000"/>
              <w:right w:val="single" w:sz="4" w:space="0" w:color="000000"/>
            </w:tcBorders>
          </w:tcPr>
          <w:p>
            <w:pPr>
              <w:pStyle w:val="ListParagraph"/>
              <w:widowControl w:val="false"/>
              <w:ind w:left="0" w:hanging="0"/>
              <w:jc w:val="center"/>
              <w:rPr/>
            </w:pPr>
            <w:r>
              <w:rPr/>
              <w:t>6</w:t>
            </w:r>
          </w:p>
        </w:tc>
        <w:tc>
          <w:tcPr>
            <w:tcW w:w="6545" w:type="dxa"/>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СКИУ-02 lP65</w:t>
            </w:r>
          </w:p>
        </w:tc>
        <w:tc>
          <w:tcPr>
            <w:tcW w:w="1365"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sz w:val="24"/>
                <w:szCs w:val="24"/>
              </w:rPr>
              <w:t>шт.</w:t>
            </w:r>
          </w:p>
        </w:tc>
        <w:tc>
          <w:tcPr>
            <w:tcW w:w="1318" w:type="dxa"/>
            <w:tcBorders>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rPr>
              <w:t>10</w:t>
            </w:r>
          </w:p>
        </w:tc>
      </w:tr>
      <w:tr>
        <w:trPr/>
        <w:tc>
          <w:tcPr>
            <w:tcW w:w="10006" w:type="dxa"/>
            <w:gridSpan w:val="4"/>
            <w:tcBorders>
              <w:left w:val="single" w:sz="4" w:space="0" w:color="000000"/>
              <w:bottom w:val="single" w:sz="4" w:space="0" w:color="000000"/>
              <w:right w:val="single" w:sz="4" w:space="0" w:color="000000"/>
            </w:tcBorders>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*допускается предложение оборудования с обновленными техническими характеристиками, совместимого с текущими моделями.</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1339697"/>
      <w:bookmarkStart w:id="30" w:name="_Toc5012512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61"/>
        <w:gridCol w:w="1992"/>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Сетевые контроллеры</w:t>
            </w:r>
          </w:p>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661" w:type="dxa"/>
            <w:tcBorders>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С даты подписания договора</w:t>
            </w:r>
          </w:p>
        </w:tc>
        <w:tc>
          <w:tcPr>
            <w:tcW w:w="199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w:t>
            </w:r>
            <w:r>
              <w:rPr>
                <w:color w:val="000000"/>
                <w:sz w:val="24"/>
                <w:szCs w:val="24"/>
                <w:shd w:fill="auto" w:val="clear"/>
              </w:rPr>
              <w:t>31.10.2026г.</w:t>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1"/>
        <w:tabs>
          <w:tab w:val="clear" w:pos="0"/>
        </w:tabs>
        <w:spacing w:before="240" w:after="60"/>
        <w:ind w:left="0" w:hanging="0"/>
        <w:rPr>
          <w:sz w:val="24"/>
          <w:szCs w:val="24"/>
        </w:rPr>
      </w:pPr>
      <w:r>
        <w:rPr>
          <w:sz w:val="24"/>
          <w:szCs w:val="24"/>
        </w:rPr>
      </w:r>
    </w:p>
    <w:p>
      <w:pPr>
        <w:pStyle w:val="Heading1"/>
        <w:tabs>
          <w:tab w:val="clear" w:pos="0"/>
        </w:tabs>
        <w:spacing w:before="240" w:after="60"/>
        <w:ind w:left="0" w:hanging="0"/>
        <w:rPr>
          <w:sz w:val="24"/>
          <w:szCs w:val="24"/>
        </w:rPr>
      </w:pPr>
      <w:r>
        <w:rPr>
          <w:sz w:val="24"/>
          <w:szCs w:val="24"/>
        </w:rPr>
        <w:t xml:space="preserve"> </w:t>
      </w:r>
      <w:bookmarkStart w:id="33"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3"/>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w:t>
      </w:r>
      <w:r>
        <w:rPr>
          <w:rStyle w:val="Style8"/>
          <w:b w:val="false"/>
          <w:bCs/>
          <w:i w:val="false"/>
          <w:sz w:val="24"/>
          <w:szCs w:val="24"/>
          <w:shd w:fill="auto" w:val="clear"/>
        </w:rPr>
        <w:t xml:space="preserve"> </w:t>
      </w:r>
      <w:r>
        <w:rPr>
          <w:b/>
          <w:bCs/>
          <w:sz w:val="24"/>
          <w:szCs w:val="24"/>
        </w:rPr>
        <w:t xml:space="preserve">Таблицы 1.1: </w:t>
      </w:r>
    </w:p>
    <w:p>
      <w:pPr>
        <w:pStyle w:val="Normal"/>
        <w:widowControl w:val="false"/>
        <w:suppressAutoHyphens w:val="true"/>
        <w:spacing w:before="0" w:after="0"/>
        <w:jc w:val="both"/>
        <w:rPr>
          <w:b/>
          <w:sz w:val="24"/>
          <w:szCs w:val="24"/>
          <w:lang w:val="en-US"/>
        </w:rPr>
      </w:pPr>
      <w:r>
        <w:rPr>
          <w:b/>
          <w:sz w:val="24"/>
          <w:szCs w:val="24"/>
          <w:lang w:val="en-US"/>
        </w:rPr>
      </w:r>
    </w:p>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b/>
          <w:bCs/>
          <w:color w:val="auto"/>
          <w:kern w:val="0"/>
          <w:sz w:val="24"/>
          <w:szCs w:val="24"/>
          <w:lang w:val="ru-RU" w:eastAsia="ru-RU" w:bidi="ar-SA"/>
        </w:rPr>
        <w:t>БЦП "Р-08" исп,5 lP65</w:t>
      </w:r>
    </w:p>
    <w:p>
      <w:pPr>
        <w:pStyle w:val="Normal"/>
        <w:widowControl w:val="false"/>
        <w:bidi w:val="0"/>
        <w:jc w:val="left"/>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3"/>
        <w:gridCol w:w="5103"/>
        <w:gridCol w:w="4099"/>
      </w:tblGrid>
      <w:tr>
        <w:trPr/>
        <w:tc>
          <w:tcPr>
            <w:tcW w:w="83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099"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3"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099"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bCs/>
              </w:rPr>
            </w:pPr>
            <w:r>
              <w:rPr>
                <w:rFonts w:eastAsia="Times New Roman" w:cs="Times New Roman"/>
                <w:b/>
                <w:bCs/>
                <w:kern w:val="0"/>
                <w:sz w:val="24"/>
                <w:szCs w:val="24"/>
                <w:lang w:val="en-US" w:eastAsia="ru-RU" w:bidi="ar-SA"/>
              </w:rPr>
              <w:t>1.</w:t>
            </w:r>
            <w:r>
              <w:rPr>
                <w:rFonts w:eastAsia="Times New Roman" w:cs="Times New Roman"/>
                <w:b/>
                <w:bCs/>
                <w:kern w:val="0"/>
                <w:lang w:val="en-US" w:eastAsia="ru-RU" w:bidi="ar-SA"/>
              </w:rPr>
              <w:t xml:space="preserve"> </w:t>
            </w:r>
            <w:r>
              <w:rPr>
                <w:rFonts w:eastAsia="Times New Roman" w:cs="Times New Roman"/>
                <w:b/>
                <w:bCs/>
                <w:color w:val="auto"/>
                <w:kern w:val="0"/>
                <w:sz w:val="24"/>
                <w:szCs w:val="24"/>
                <w:lang w:val="ru-RU" w:eastAsia="ru-RU" w:bidi="ar-SA"/>
              </w:rPr>
              <w:t>БЦП "Р-08" исп,5 Lp65</w:t>
            </w:r>
          </w:p>
        </w:tc>
      </w:tr>
      <w:tr>
        <w:trPr/>
        <w:tc>
          <w:tcPr>
            <w:tcW w:w="833"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Normal"/>
              <w:widowControl w:val="false"/>
              <w:tabs>
                <w:tab w:val="clear" w:pos="708"/>
                <w:tab w:val="left" w:pos="1125" w:leader="none"/>
              </w:tabs>
              <w:jc w:val="left"/>
              <w:rPr>
                <w:rFonts w:ascii="Times New Roman" w:hAnsi="Times New Roman"/>
                <w:sz w:val="24"/>
                <w:szCs w:val="24"/>
              </w:rPr>
            </w:pPr>
            <w:r>
              <w:rPr>
                <w:sz w:val="24"/>
                <w:szCs w:val="24"/>
              </w:rPr>
              <w:t>информационная емкость</w:t>
            </w:r>
          </w:p>
        </w:tc>
        <w:tc>
          <w:tcPr>
            <w:tcW w:w="4099" w:type="dxa"/>
            <w:tcBorders/>
            <w:shd w:color="auto" w:fill="auto" w:val="clear"/>
          </w:tcPr>
          <w:p>
            <w:pPr>
              <w:pStyle w:val="Normal"/>
              <w:widowControl w:val="false"/>
              <w:tabs>
                <w:tab w:val="clear" w:pos="708"/>
                <w:tab w:val="left" w:pos="1125" w:leader="none"/>
              </w:tabs>
              <w:jc w:val="left"/>
              <w:rPr>
                <w:rFonts w:ascii="Times New Roman" w:hAnsi="Times New Roman"/>
                <w:sz w:val="24"/>
                <w:szCs w:val="24"/>
              </w:rPr>
            </w:pPr>
            <w:r>
              <w:rPr>
                <w:sz w:val="24"/>
                <w:szCs w:val="24"/>
              </w:rPr>
              <w:t>1000, R2-232,2xRS-485</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1.11</w:t>
            </w:r>
          </w:p>
        </w:tc>
        <w:tc>
          <w:tcPr>
            <w:tcW w:w="5103" w:type="dxa"/>
            <w:tcBorders>
              <w:top w:val="nil"/>
            </w:tcBorders>
            <w:shd w:color="auto" w:fill="auto" w:val="clear"/>
          </w:tcPr>
          <w:p>
            <w:pPr>
              <w:pStyle w:val="Normal"/>
              <w:widowControl w:val="false"/>
              <w:tabs>
                <w:tab w:val="clear" w:pos="708"/>
                <w:tab w:val="left" w:pos="1125" w:leader="none"/>
              </w:tabs>
              <w:jc w:val="left"/>
              <w:rPr>
                <w:rFonts w:ascii="Times New Roman" w:hAnsi="Times New Roman"/>
                <w:sz w:val="24"/>
                <w:szCs w:val="24"/>
              </w:rPr>
            </w:pPr>
            <w:r>
              <w:rPr>
                <w:sz w:val="24"/>
                <w:szCs w:val="24"/>
              </w:rPr>
              <w:t>корпус</w:t>
            </w:r>
          </w:p>
        </w:tc>
        <w:tc>
          <w:tcPr>
            <w:tcW w:w="4099" w:type="dxa"/>
            <w:tcBorders>
              <w:top w:val="nil"/>
            </w:tcBorders>
            <w:shd w:color="auto" w:fill="auto" w:val="clear"/>
          </w:tcPr>
          <w:p>
            <w:pPr>
              <w:pStyle w:val="Normal"/>
              <w:widowControl w:val="false"/>
              <w:tabs>
                <w:tab w:val="clear" w:pos="708"/>
                <w:tab w:val="left" w:pos="1125" w:leader="none"/>
              </w:tabs>
              <w:jc w:val="left"/>
              <w:rPr>
                <w:rFonts w:ascii="Times New Roman" w:hAnsi="Times New Roman"/>
                <w:sz w:val="24"/>
                <w:szCs w:val="24"/>
              </w:rPr>
            </w:pPr>
            <w:r>
              <w:rPr>
                <w:sz w:val="24"/>
                <w:szCs w:val="24"/>
              </w:rPr>
              <w:t>lP65</w:t>
            </w:r>
          </w:p>
        </w:tc>
      </w:tr>
      <w:tr>
        <w:trPr/>
        <w:tc>
          <w:tcPr>
            <w:tcW w:w="10035" w:type="dxa"/>
            <w:gridSpan w:val="3"/>
            <w:tcBorders>
              <w:top w:val="nil"/>
            </w:tcBorders>
            <w:vAlign w:val="center"/>
          </w:tcPr>
          <w:p>
            <w:pPr>
              <w:pStyle w:val="Normal"/>
              <w:widowControl w:val="false"/>
              <w:suppressAutoHyphens w:val="true"/>
              <w:spacing w:before="0" w:after="200"/>
              <w:jc w:val="both"/>
              <w:rPr>
                <w:b/>
                <w:bCs/>
                <w:sz w:val="24"/>
                <w:szCs w:val="24"/>
              </w:rPr>
            </w:pPr>
            <w:r>
              <w:rPr>
                <w:b/>
                <w:bCs/>
                <w:sz w:val="24"/>
                <w:szCs w:val="24"/>
              </w:rPr>
              <w:t>2. Модуль NM7010 А</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2.1</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Ethernet адаптер для БЦП "Р-08"</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исп, 5</w:t>
            </w:r>
          </w:p>
        </w:tc>
      </w:tr>
      <w:tr>
        <w:trPr/>
        <w:tc>
          <w:tcPr>
            <w:tcW w:w="10035" w:type="dxa"/>
            <w:gridSpan w:val="3"/>
            <w:tcBorders>
              <w:top w:val="nil"/>
            </w:tcBorders>
            <w:vAlign w:val="center"/>
          </w:tcPr>
          <w:p>
            <w:pPr>
              <w:pStyle w:val="Normal"/>
              <w:widowControl w:val="false"/>
              <w:suppressAutoHyphens w:val="true"/>
              <w:spacing w:before="0" w:after="200"/>
              <w:jc w:val="both"/>
              <w:rPr>
                <w:b/>
                <w:bCs/>
                <w:sz w:val="24"/>
                <w:szCs w:val="24"/>
              </w:rPr>
            </w:pPr>
            <w:r>
              <w:rPr>
                <w:b/>
                <w:bCs/>
                <w:sz w:val="24"/>
                <w:szCs w:val="24"/>
              </w:rPr>
              <w:t xml:space="preserve">3. </w:t>
            </w:r>
            <w:r>
              <w:rPr>
                <w:rFonts w:eastAsia="Times New Roman" w:cs="Times New Roman"/>
                <w:b/>
                <w:bCs/>
                <w:color w:val="auto"/>
                <w:kern w:val="0"/>
                <w:sz w:val="24"/>
                <w:szCs w:val="24"/>
                <w:lang w:val="ru-RU" w:eastAsia="ru-RU" w:bidi="ar-SA"/>
              </w:rPr>
              <w:t>ПУ_02</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3.1</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Пульт управления оператора,</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полнофункциональная консоль БЦП,</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3.2.</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подключение</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по RS-485,</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3.3</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исполнение</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накладное</w:t>
            </w:r>
          </w:p>
        </w:tc>
      </w:tr>
      <w:tr>
        <w:trPr/>
        <w:tc>
          <w:tcPr>
            <w:tcW w:w="10035" w:type="dxa"/>
            <w:gridSpan w:val="3"/>
            <w:tcBorders>
              <w:top w:val="nil"/>
            </w:tcBorders>
            <w:vAlign w:val="center"/>
          </w:tcPr>
          <w:p>
            <w:pPr>
              <w:pStyle w:val="Normal"/>
              <w:widowControl w:val="false"/>
              <w:suppressAutoHyphens w:val="true"/>
              <w:spacing w:before="0" w:after="200"/>
              <w:jc w:val="both"/>
              <w:rPr>
                <w:b/>
                <w:bCs/>
                <w:sz w:val="24"/>
                <w:szCs w:val="24"/>
              </w:rPr>
            </w:pPr>
            <w:r>
              <w:rPr>
                <w:b/>
                <w:bCs/>
                <w:sz w:val="24"/>
                <w:szCs w:val="24"/>
              </w:rPr>
              <w:t>4. Бис-0,1</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4,1</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Блок индикации состояний</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64 двухцветных индикатора</w:t>
            </w:r>
          </w:p>
        </w:tc>
      </w:tr>
      <w:tr>
        <w:trPr/>
        <w:tc>
          <w:tcPr>
            <w:tcW w:w="10035" w:type="dxa"/>
            <w:gridSpan w:val="3"/>
            <w:tcBorders>
              <w:top w:val="nil"/>
            </w:tcBorders>
            <w:vAlign w:val="center"/>
          </w:tcPr>
          <w:p>
            <w:pPr>
              <w:pStyle w:val="Normal"/>
              <w:widowControl w:val="false"/>
              <w:suppressAutoHyphens w:val="true"/>
              <w:spacing w:before="0" w:after="200"/>
              <w:jc w:val="both"/>
              <w:rPr>
                <w:b/>
                <w:bCs/>
                <w:sz w:val="24"/>
                <w:szCs w:val="24"/>
              </w:rPr>
            </w:pPr>
            <w:r>
              <w:rPr>
                <w:b/>
                <w:bCs/>
                <w:sz w:val="24"/>
                <w:szCs w:val="24"/>
              </w:rPr>
              <w:t>5. СКШС- 04 lP65</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5.1</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Сетевой контроллер</w:t>
            </w:r>
          </w:p>
          <w:p>
            <w:pPr>
              <w:pStyle w:val="Normal"/>
              <w:widowControl w:val="false"/>
              <w:suppressAutoHyphens w:val="true"/>
              <w:spacing w:before="0" w:after="200"/>
              <w:jc w:val="both"/>
              <w:rPr>
                <w:sz w:val="24"/>
                <w:szCs w:val="24"/>
              </w:rPr>
            </w:pPr>
            <w:r>
              <w:rPr>
                <w:sz w:val="24"/>
                <w:szCs w:val="24"/>
              </w:rPr>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шлейфов сигнализации,</w:t>
            </w:r>
          </w:p>
          <w:p>
            <w:pPr>
              <w:pStyle w:val="Normal"/>
              <w:widowControl w:val="false"/>
              <w:suppressAutoHyphens w:val="true"/>
              <w:spacing w:before="0" w:after="200"/>
              <w:jc w:val="both"/>
              <w:rPr>
                <w:sz w:val="24"/>
                <w:szCs w:val="24"/>
              </w:rPr>
            </w:pPr>
            <w:r>
              <w:rPr>
                <w:sz w:val="24"/>
                <w:szCs w:val="24"/>
              </w:rPr>
              <w:t>охранных шлейфов</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5.2</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корпус</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lP65</w:t>
            </w:r>
          </w:p>
        </w:tc>
      </w:tr>
      <w:tr>
        <w:trPr/>
        <w:tc>
          <w:tcPr>
            <w:tcW w:w="10035" w:type="dxa"/>
            <w:gridSpan w:val="3"/>
            <w:tcBorders>
              <w:top w:val="nil"/>
            </w:tcBorders>
            <w:vAlign w:val="center"/>
          </w:tcPr>
          <w:p>
            <w:pPr>
              <w:pStyle w:val="Normal"/>
              <w:widowControl w:val="false"/>
              <w:suppressAutoHyphens w:val="true"/>
              <w:spacing w:before="0" w:after="200"/>
              <w:jc w:val="both"/>
              <w:rPr>
                <w:b/>
                <w:bCs/>
                <w:sz w:val="24"/>
                <w:szCs w:val="24"/>
              </w:rPr>
            </w:pPr>
            <w:r>
              <w:rPr>
                <w:b/>
                <w:bCs/>
                <w:sz w:val="24"/>
                <w:szCs w:val="24"/>
              </w:rPr>
              <w:t>6. СКИУ-02 lP65</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6.1</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Сетевой контроллер исполнительных устройств</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с контролем цепей управления 4 реле Fогm А, 30В, 2А,</w:t>
            </w:r>
          </w:p>
        </w:tc>
      </w:tr>
      <w:tr>
        <w:trPr/>
        <w:tc>
          <w:tcPr>
            <w:tcW w:w="833" w:type="dxa"/>
            <w:tcBorders>
              <w:top w:val="nil"/>
            </w:tcBorders>
            <w:vAlign w:val="center"/>
          </w:tcPr>
          <w:p>
            <w:pPr>
              <w:pStyle w:val="Normal"/>
              <w:widowControl w:val="false"/>
              <w:suppressAutoHyphens w:val="true"/>
              <w:spacing w:before="0" w:after="200"/>
              <w:jc w:val="both"/>
              <w:rPr>
                <w:sz w:val="24"/>
                <w:szCs w:val="24"/>
              </w:rPr>
            </w:pPr>
            <w:r>
              <w:rPr>
                <w:sz w:val="24"/>
                <w:szCs w:val="24"/>
              </w:rPr>
              <w:t>6,2</w:t>
            </w:r>
          </w:p>
        </w:tc>
        <w:tc>
          <w:tcPr>
            <w:tcW w:w="5103"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корпус</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sz w:val="24"/>
                <w:szCs w:val="24"/>
              </w:rPr>
              <w:t>lP65</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7.</w:t>
            </w:r>
          </w:p>
        </w:tc>
        <w:tc>
          <w:tcPr>
            <w:tcW w:w="9202"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7.1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099"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8</w:t>
            </w:r>
            <w:r>
              <w:rPr>
                <w:rFonts w:cs="Times New Roman"/>
                <w:b/>
                <w:bCs/>
                <w:kern w:val="0"/>
                <w:lang w:val="en-US" w:eastAsia="ru-RU" w:bidi="ar-SA"/>
              </w:rPr>
              <w:t>.</w:t>
            </w:r>
          </w:p>
        </w:tc>
        <w:tc>
          <w:tcPr>
            <w:tcW w:w="9202"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3"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8.1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099"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3"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9</w:t>
            </w:r>
            <w:r>
              <w:rPr>
                <w:rFonts w:eastAsia="Times New Roman" w:cs="Times New Roman"/>
                <w:b/>
                <w:bCs/>
                <w:kern w:val="0"/>
                <w:sz w:val="24"/>
                <w:szCs w:val="24"/>
                <w:lang w:val="en-US" w:eastAsia="x-none" w:bidi="ar-SA"/>
              </w:rPr>
              <w:t>.</w:t>
            </w:r>
          </w:p>
        </w:tc>
        <w:tc>
          <w:tcPr>
            <w:tcW w:w="9202"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9.1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099"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9.2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099"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3"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9.3</w:t>
            </w:r>
          </w:p>
        </w:tc>
        <w:tc>
          <w:tcPr>
            <w:tcW w:w="9202"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3"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10</w:t>
            </w:r>
            <w:r>
              <w:rPr>
                <w:rFonts w:eastAsia="Times New Roman" w:cs="Times New Roman"/>
                <w:b/>
                <w:bCs/>
                <w:kern w:val="0"/>
                <w:sz w:val="24"/>
                <w:szCs w:val="24"/>
                <w:lang w:val="en-US" w:eastAsia="x-none" w:bidi="ar-SA"/>
              </w:rPr>
              <w:t>.</w:t>
            </w:r>
          </w:p>
        </w:tc>
        <w:tc>
          <w:tcPr>
            <w:tcW w:w="9202"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3"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10.1</w:t>
            </w:r>
          </w:p>
        </w:tc>
        <w:tc>
          <w:tcPr>
            <w:tcW w:w="9202"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Normal"/>
        <w:spacing w:before="120" w:after="60"/>
        <w:ind w:hanging="0"/>
        <w:rPr/>
      </w:pPr>
      <w:r>
        <w:rPr/>
      </w:r>
    </w:p>
    <w:p>
      <w:pPr>
        <w:pStyle w:val="Normal"/>
        <w:spacing w:before="120" w:after="60"/>
        <w:ind w:left="1224" w:hanging="0"/>
        <w:rPr/>
      </w:pPr>
      <w:r>
        <w:rPr/>
      </w:r>
    </w:p>
    <w:p>
      <w:pPr>
        <w:pStyle w:val="Normal"/>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Arial">
    <w:altName w:val="Tahoma"/>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1">
    <w:name w:val="Strong1"/>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character" w:styleId="Strong">
    <w:name w:val="Strong"/>
    <w:qFormat/>
    <w:rPr>
      <w:b/>
      <w:bCs/>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Application>AlterOffice/3.4.0.9$Linux_X86_64 LibreOffice_project/b8daf9e823b1a5463a2f48435ddc2e8696e7d4fc</Application>
  <AppVersion>15.0000</AppVersion>
  <DocSecurity>4</DocSecurity>
  <Pages>4</Pages>
  <Words>574</Words>
  <Characters>3781</Characters>
  <CharactersWithSpaces>4253</CharactersWithSpaces>
  <Paragraphs>143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filatovasm@corp.gidroogk.com</cp:lastModifiedBy>
  <dcterms:modified xsi:type="dcterms:W3CDTF">2026-08-13T14:15:43Z</dcterms:modified>
  <cp:revision>50</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