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jc w:val="center"/>
        <w:rPr>
          <w:sz w:val="24"/>
          <w:szCs w:val="24"/>
        </w:rPr>
      </w:pPr>
      <w:r>
        <w:rPr>
          <w:sz w:val="24"/>
          <w:szCs w:val="24"/>
        </w:rPr>
        <w:t>Договор поставки №-Куб/пос-</w:t>
      </w:r>
    </w:p>
    <w:p>
      <w:pPr>
        <w:pStyle w:val="Normal"/>
        <w:shd w:val="clear" w:color="auto" w:fill="FFFFFF"/>
        <w:spacing w:before="0" w:after="120"/>
        <w:rPr>
          <w:sz w:val="24"/>
          <w:szCs w:val="24"/>
        </w:rPr>
      </w:pPr>
      <w:r>
        <w:rPr>
          <w:sz w:val="24"/>
          <w:szCs w:val="24"/>
        </w:rPr>
        <w:t>г. Невинномысск</w:t>
        <w:tab/>
        <w:tab/>
        <w:tab/>
        <w:tab/>
        <w:tab/>
        <w:tab/>
        <w:tab/>
        <w:t>«»_______2024 г.</w:t>
      </w:r>
    </w:p>
    <w:p>
      <w:pPr>
        <w:pStyle w:val="Normal"/>
        <w:spacing w:before="0" w:after="120"/>
        <w:ind w:firstLine="567"/>
        <w:jc w:val="both"/>
        <w:rPr>
          <w:sz w:val="24"/>
          <w:szCs w:val="24"/>
        </w:rPr>
      </w:pPr>
      <w:r>
        <w:rPr>
          <w:b/>
          <w:sz w:val="24"/>
          <w:szCs w:val="24"/>
        </w:rPr>
        <w:t xml:space="preserve">____________________________(____________________________), </w:t>
      </w:r>
      <w:r>
        <w:rPr>
          <w:sz w:val="24"/>
          <w:szCs w:val="24"/>
        </w:rPr>
        <w:t>именуемое в дальнейшем «</w:t>
      </w:r>
      <w:r>
        <w:rPr>
          <w:b/>
          <w:sz w:val="24"/>
          <w:szCs w:val="24"/>
        </w:rPr>
        <w:t>Покупатель</w:t>
      </w:r>
      <w:r>
        <w:rPr>
          <w:sz w:val="24"/>
          <w:szCs w:val="24"/>
        </w:rPr>
        <w:t>», в лице _______________________________________________, действующего на основании доверенности № _________ от ______ года, с одной стороны, и</w:t>
      </w:r>
    </w:p>
    <w:p>
      <w:pPr>
        <w:pStyle w:val="Normal"/>
        <w:spacing w:before="0" w:after="120"/>
        <w:ind w:firstLine="567"/>
        <w:jc w:val="both"/>
        <w:rPr>
          <w:sz w:val="24"/>
          <w:szCs w:val="24"/>
        </w:rPr>
      </w:pPr>
      <w:r>
        <w:rPr>
          <w:b/>
          <w:sz w:val="24"/>
          <w:szCs w:val="24"/>
        </w:rPr>
        <w:t>________________,</w:t>
      </w:r>
      <w:r>
        <w:rPr>
          <w:sz w:val="24"/>
          <w:szCs w:val="24"/>
        </w:rPr>
        <w:t>именуемо</w:t>
      </w:r>
      <w:r>
        <w:rPr>
          <w:sz w:val="24"/>
          <w:szCs w:val="24"/>
          <w:shd w:fill="FFFFFF" w:val="clear"/>
        </w:rPr>
        <w:t>е в дальнейшем «</w:t>
      </w:r>
      <w:r>
        <w:rPr>
          <w:b/>
          <w:sz w:val="24"/>
          <w:szCs w:val="24"/>
          <w:shd w:fill="FFFFFF" w:val="clear"/>
        </w:rPr>
        <w:t>Поставщик</w:t>
      </w:r>
      <w:r>
        <w:rPr>
          <w:sz w:val="24"/>
          <w:szCs w:val="24"/>
          <w:shd w:fill="FFFFFF" w:val="clear"/>
        </w:rPr>
        <w:t xml:space="preserve">», в лице ________________, действующего на основании 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highlight w:val="none"/>
          <w:shd w:fill="FFFFFF" w:val="clear"/>
        </w:rPr>
      </w:pPr>
      <w:r>
        <w:rPr>
          <w:sz w:val="24"/>
          <w:szCs w:val="24"/>
          <w:shd w:fill="FFFFFF" w:val="clear"/>
        </w:rPr>
        <w:t>на основании проводимой нерегламентированной закупки на поставку ___________________________, что подтверждается Аналитической запиской от «____» ______________ 20__ г. (______________________)</w:t>
      </w:r>
      <w:r>
        <w:rPr>
          <w:bCs/>
          <w:sz w:val="24"/>
          <w:szCs w:val="24"/>
          <w:shd w:fill="FFFFFF" w:val="clear"/>
        </w:rPr>
        <w:t>,</w:t>
      </w:r>
    </w:p>
    <w:p>
      <w:pPr>
        <w:pStyle w:val="Normal"/>
        <w:spacing w:before="0" w:after="120"/>
        <w:ind w:firstLine="567"/>
        <w:jc w:val="both"/>
        <w:rPr>
          <w:highlight w:val="none"/>
          <w:shd w:fill="FFFFFF" w:val="clear"/>
        </w:rPr>
      </w:pPr>
      <w:r>
        <w:rPr>
          <w:sz w:val="24"/>
          <w:szCs w:val="24"/>
          <w:shd w:fill="FFFFFF" w:val="clear"/>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bCs/>
          <w:sz w:val="24"/>
          <w:szCs w:val="24"/>
          <w:shd w:fill="FFFFFF" w:val="clear"/>
        </w:rPr>
        <w:t>Предмет Договора</w:t>
      </w:r>
    </w:p>
    <w:p>
      <w:pPr>
        <w:pStyle w:val="Title"/>
        <w:numPr>
          <w:ilvl w:val="1"/>
          <w:numId w:val="6"/>
        </w:numPr>
        <w:tabs>
          <w:tab w:val="clear" w:pos="720"/>
          <w:tab w:val="left" w:pos="142" w:leader="none"/>
        </w:tabs>
        <w:spacing w:before="0" w:after="120"/>
        <w:ind w:left="0" w:firstLine="567"/>
        <w:jc w:val="both"/>
        <w:rPr>
          <w:highlight w:val="none"/>
          <w:shd w:fill="FFFFFF" w:val="clear"/>
        </w:rPr>
      </w:pPr>
      <w:r>
        <w:rPr>
          <w:b w:val="false"/>
          <w:sz w:val="24"/>
          <w:shd w:fill="FFFFFF" w:val="clear"/>
        </w:rPr>
        <w:t xml:space="preserve">Поставщик обязуется передать Покупателю </w:t>
      </w:r>
      <w:r>
        <w:rPr>
          <w:sz w:val="24"/>
          <w:shd w:fill="FFFFFF" w:val="clear"/>
        </w:rPr>
        <w:t>_____________________</w:t>
      </w:r>
      <w:r>
        <w:rPr>
          <w:b w:val="false"/>
          <w:sz w:val="24"/>
          <w:shd w:fill="FFFFFF" w:val="clear"/>
        </w:rPr>
        <w:t>(далее – «Продукция») на условиях, согласованных Сторонами в Договоре, в соответствии соСпецификацией(</w:t>
      </w:r>
      <w:r>
        <w:rPr>
          <w:sz w:val="24"/>
          <w:shd w:fill="FFFFFF" w:val="clear"/>
        </w:rPr>
        <w:t>Приложение № 1</w:t>
      </w:r>
      <w:r>
        <w:rPr>
          <w:b w:val="false"/>
          <w:sz w:val="24"/>
          <w:shd w:fill="FFFFFF" w:val="clear"/>
        </w:rPr>
        <w:t>)и техническими требованиями (</w:t>
      </w:r>
      <w:r>
        <w:rPr>
          <w:sz w:val="24"/>
          <w:shd w:fill="FFFFFF" w:val="clear"/>
        </w:rPr>
        <w:t>Приложение №2</w:t>
      </w:r>
      <w:r>
        <w:rPr>
          <w:b w:val="false"/>
          <w:sz w:val="24"/>
          <w:shd w:fill="FFFFFF" w:val="clear"/>
        </w:rPr>
        <w:t>), а Покупатель обязуется принять и оплатить Продукцию в установленном Договоромпорядке.</w:t>
      </w:r>
    </w:p>
    <w:p>
      <w:pPr>
        <w:pStyle w:val="ListParagraph"/>
        <w:numPr>
          <w:ilvl w:val="1"/>
          <w:numId w:val="6"/>
        </w:numPr>
        <w:shd w:val="clear" w:color="auto" w:fill="FFFFFF"/>
        <w:tabs>
          <w:tab w:val="clear" w:pos="720"/>
          <w:tab w:val="left" w:pos="540" w:leader="none"/>
        </w:tabs>
        <w:spacing w:before="0" w:after="120"/>
        <w:contextualSpacing w:val="false"/>
        <w:jc w:val="both"/>
        <w:rPr>
          <w:highlight w:val="none"/>
          <w:shd w:fill="FFFFFF" w:val="clear"/>
        </w:rPr>
      </w:pPr>
      <w:r>
        <w:rPr>
          <w:sz w:val="24"/>
          <w:szCs w:val="24"/>
          <w:shd w:fill="FFFFFF" w:val="clear"/>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426"/>
        <w:contextualSpacing w:val="false"/>
        <w:jc w:val="both"/>
        <w:rPr>
          <w:highlight w:val="none"/>
          <w:shd w:fill="FFFFFF" w:val="clear"/>
        </w:rPr>
      </w:pPr>
      <w:r>
        <w:rPr>
          <w:sz w:val="24"/>
          <w:szCs w:val="24"/>
          <w:shd w:fill="FFFFFF" w:val="clear"/>
        </w:rPr>
        <w:t>Поставка по Договору выполняется для нужд Кубанского филиала АО «Гидроремонт-ВКК» в г. Невинномысск.</w:t>
      </w:r>
    </w:p>
    <w:p>
      <w:pPr>
        <w:pStyle w:val="ListParagraph"/>
        <w:tabs>
          <w:tab w:val="clear" w:pos="720"/>
          <w:tab w:val="left" w:pos="0" w:leader="none"/>
        </w:tabs>
        <w:spacing w:before="240" w:after="0"/>
        <w:ind w:left="0" w:firstLine="426"/>
        <w:contextualSpacing/>
        <w:jc w:val="both"/>
        <w:rPr>
          <w:highlight w:val="none"/>
          <w:shd w:fill="FFFFFF" w:val="clear"/>
        </w:rPr>
      </w:pPr>
      <w:r>
        <w:rPr>
          <w:sz w:val="24"/>
          <w:szCs w:val="24"/>
          <w:shd w:fill="FFFFFF" w:val="clear"/>
        </w:rPr>
        <w:t>1.4 Места поставки:</w:t>
      </w:r>
      <w:r>
        <w:rPr>
          <w:rFonts w:eastAsia="Calibri"/>
          <w:sz w:val="24"/>
          <w:szCs w:val="24"/>
          <w:shd w:fill="FFFFFF" w:val="clear"/>
          <w:lang w:eastAsia="en-US"/>
        </w:rPr>
        <w:t>357007, Ставропольский край, Кочубеевский р-н, с. Кочубеевское, АВТОДОРОГА «КАВКАЗ» 246КМ+1200М(СПРАВА).</w:t>
      </w:r>
    </w:p>
    <w:p>
      <w:pPr>
        <w:pStyle w:val="ListParagraph"/>
        <w:shd w:val="clear" w:color="auto" w:fill="FFFFFF"/>
        <w:tabs>
          <w:tab w:val="clear" w:pos="720"/>
          <w:tab w:val="left" w:pos="858" w:leader="none"/>
        </w:tabs>
        <w:spacing w:before="240" w:after="120"/>
        <w:ind w:left="0" w:firstLine="426"/>
        <w:contextualSpacing w:val="false"/>
        <w:jc w:val="both"/>
        <w:rPr>
          <w:highlight w:val="none"/>
          <w:shd w:fill="FFFFFF" w:val="clear"/>
        </w:rPr>
      </w:pPr>
      <w:r>
        <w:rPr>
          <w:sz w:val="24"/>
          <w:szCs w:val="24"/>
          <w:shd w:fill="FFFFFF" w:val="clear"/>
        </w:rPr>
        <w:t>1.5. Конечный срок поставки Продукции по договору:в течение 30 рабочих дней с даты подписания договора.</w:t>
      </w:r>
    </w:p>
    <w:p>
      <w:pPr>
        <w:pStyle w:val="ListParagraph"/>
        <w:numPr>
          <w:ilvl w:val="0"/>
          <w:numId w:val="6"/>
        </w:numPr>
        <w:shd w:val="clear" w:color="auto" w:fill="FFFFFF"/>
        <w:spacing w:before="0" w:after="120"/>
        <w:contextualSpacing/>
        <w:jc w:val="center"/>
        <w:rPr>
          <w:highlight w:val="none"/>
          <w:shd w:fill="FFFFFF" w:val="clear"/>
        </w:rPr>
      </w:pPr>
      <w:r>
        <w:rPr>
          <w:b/>
          <w:sz w:val="24"/>
          <w:szCs w:val="24"/>
          <w:shd w:fill="FFFFFF" w:val="clear"/>
        </w:rPr>
        <w:t>Цена Договора и порядок оплаты</w:t>
      </w:r>
    </w:p>
    <w:p>
      <w:pPr>
        <w:pStyle w:val="ListParagraph"/>
        <w:numPr>
          <w:ilvl w:val="1"/>
          <w:numId w:val="6"/>
        </w:numPr>
        <w:shd w:val="clear" w:color="auto" w:fill="FFFFFF"/>
        <w:tabs>
          <w:tab w:val="clear" w:pos="720"/>
          <w:tab w:val="left" w:pos="142" w:leader="none"/>
          <w:tab w:val="left" w:pos="540" w:leader="none"/>
          <w:tab w:val="left" w:pos="1134" w:leader="none"/>
        </w:tabs>
        <w:spacing w:before="0" w:after="120"/>
        <w:ind w:left="0" w:firstLine="567"/>
        <w:contextualSpacing w:val="false"/>
        <w:jc w:val="both"/>
        <w:rPr>
          <w:highlight w:val="none"/>
          <w:shd w:fill="FFFFFF" w:val="clear"/>
        </w:rPr>
      </w:pPr>
      <w:r>
        <w:rPr>
          <w:sz w:val="24"/>
          <w:szCs w:val="24"/>
          <w:shd w:fill="FFFFFF" w:val="clear"/>
        </w:rPr>
        <w:t>Общая стоимость Продукции (далее – «Цена Договора») по Договору составляет:</w:t>
      </w:r>
      <w:r>
        <w:rPr>
          <w:b/>
          <w:sz w:val="24"/>
          <w:szCs w:val="24"/>
          <w:shd w:fill="FFFFFF" w:val="clear"/>
        </w:rPr>
        <w:t>____________ рублей 00 копеек, включая НДС (2</w:t>
      </w:r>
      <w:r>
        <w:rPr>
          <w:b/>
          <w:sz w:val="24"/>
          <w:szCs w:val="24"/>
          <w:shd w:fill="FFFFFF" w:val="clear"/>
        </w:rPr>
        <w:t>2</w:t>
      </w:r>
      <w:r>
        <w:rPr>
          <w:b/>
          <w:sz w:val="24"/>
          <w:szCs w:val="24"/>
          <w:shd w:fill="FFFFFF" w:val="clear"/>
        </w:rPr>
        <w:t>%)_______________.</w:t>
      </w:r>
    </w:p>
    <w:p>
      <w:pPr>
        <w:pStyle w:val="ListParagraph"/>
        <w:numPr>
          <w:ilvl w:val="1"/>
          <w:numId w:val="6"/>
        </w:numPr>
        <w:shd w:val="clear" w:color="auto" w:fill="FFFFFF"/>
        <w:tabs>
          <w:tab w:val="clear" w:pos="720"/>
          <w:tab w:val="left" w:pos="142" w:leader="none"/>
          <w:tab w:val="left" w:pos="540" w:leader="none"/>
          <w:tab w:val="left" w:pos="1134" w:leader="none"/>
        </w:tabs>
        <w:spacing w:before="0" w:after="120"/>
        <w:ind w:left="0" w:firstLine="567"/>
        <w:contextualSpacing w:val="false"/>
        <w:jc w:val="both"/>
        <w:rPr>
          <w:highlight w:val="none"/>
          <w:shd w:fill="FFFFFF" w:val="clear"/>
        </w:rPr>
      </w:pPr>
      <w:r>
        <w:rPr>
          <w:sz w:val="24"/>
          <w:szCs w:val="24"/>
          <w:shd w:fill="FFFFFF" w:val="clear"/>
        </w:rPr>
        <w:t xml:space="preserve">Цена Договора включает в себя: </w:t>
      </w:r>
    </w:p>
    <w:p>
      <w:pPr>
        <w:pStyle w:val="Normal"/>
        <w:widowControl w:val="false"/>
        <w:shd w:val="clear" w:color="auto" w:fill="FFFFFF"/>
        <w:tabs>
          <w:tab w:val="clear" w:pos="720"/>
          <w:tab w:val="left" w:pos="540" w:leader="none"/>
          <w:tab w:val="left" w:pos="1134" w:leader="none"/>
        </w:tabs>
        <w:spacing w:before="0" w:after="120"/>
        <w:ind w:left="567" w:hanging="0"/>
        <w:jc w:val="both"/>
        <w:rPr>
          <w:highlight w:val="none"/>
          <w:shd w:fill="FFFFFF" w:val="clear"/>
        </w:rPr>
      </w:pPr>
      <w:r>
        <w:rPr>
          <w:sz w:val="24"/>
          <w:szCs w:val="24"/>
          <w:shd w:fill="FFFFFF" w:val="clear"/>
        </w:rPr>
        <w:t>2.2.1. Стоимость Продукции;</w:t>
      </w:r>
    </w:p>
    <w:p>
      <w:pPr>
        <w:pStyle w:val="Normal"/>
        <w:widowControl w:val="false"/>
        <w:shd w:val="clear" w:color="auto" w:fill="FFFFFF"/>
        <w:tabs>
          <w:tab w:val="clear" w:pos="720"/>
          <w:tab w:val="left" w:pos="540" w:leader="none"/>
          <w:tab w:val="left" w:pos="1134" w:leader="none"/>
        </w:tabs>
        <w:spacing w:before="0" w:after="120"/>
        <w:jc w:val="both"/>
        <w:rPr>
          <w:highlight w:val="none"/>
          <w:shd w:fill="FFFFFF" w:val="clear"/>
        </w:rPr>
      </w:pPr>
      <w:r>
        <w:rPr>
          <w:sz w:val="24"/>
          <w:szCs w:val="24"/>
          <w:shd w:fill="FFFFFF" w:val="clear"/>
        </w:rPr>
        <w:t xml:space="preserve">         </w:t>
      </w:r>
      <w:r>
        <w:rPr>
          <w:sz w:val="24"/>
          <w:szCs w:val="24"/>
          <w:shd w:fill="FFFFFF" w:val="clear"/>
        </w:rPr>
        <w:t>2.2.2. Транспортные расходы по доставке Продукции в Место поставки.</w:t>
      </w:r>
    </w:p>
    <w:p>
      <w:pPr>
        <w:pStyle w:val="Normal"/>
        <w:tabs>
          <w:tab w:val="clear" w:pos="720"/>
          <w:tab w:val="left" w:pos="0" w:leader="none"/>
          <w:tab w:val="left" w:pos="851" w:leader="none"/>
        </w:tabs>
        <w:spacing w:before="0" w:after="120"/>
        <w:ind w:firstLine="567"/>
        <w:jc w:val="both"/>
        <w:rPr>
          <w:highlight w:val="none"/>
          <w:shd w:fill="FFFFFF" w:val="clear"/>
        </w:rPr>
      </w:pPr>
      <w:r>
        <w:rPr>
          <w:bCs/>
          <w:sz w:val="24"/>
          <w:szCs w:val="24"/>
          <w:shd w:fill="FFFFFF" w:val="clear"/>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FFFFFF" w:val="clear"/>
        </w:rPr>
        <w:t xml:space="preserve">подлежащие уплате налоги, сборы и пошлины (в т.ч. по таможенному оформлению, если применимо), </w:t>
      </w:r>
      <w:r>
        <w:rPr>
          <w:bCs/>
          <w:sz w:val="24"/>
          <w:szCs w:val="24"/>
          <w:shd w:fill="FFFFFF" w:val="clear"/>
        </w:rPr>
        <w:t xml:space="preserve">а также </w:t>
      </w:r>
      <w:r>
        <w:rPr>
          <w:sz w:val="24"/>
          <w:szCs w:val="24"/>
          <w:shd w:fill="FFFFFF" w:val="clear"/>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Normal"/>
        <w:widowControl w:val="false"/>
        <w:numPr>
          <w:ilvl w:val="1"/>
          <w:numId w:val="6"/>
        </w:numPr>
        <w:shd w:val="clear" w:color="auto" w:fill="FFFFFF"/>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Стоимость Продукции является фиксированной и не подлежит изменению.</w:t>
      </w:r>
    </w:p>
    <w:p>
      <w:pPr>
        <w:pStyle w:val="Normal"/>
        <w:widowControl w:val="false"/>
        <w:numPr>
          <w:ilvl w:val="1"/>
          <w:numId w:val="6"/>
        </w:numPr>
        <w:shd w:val="clear" w:color="auto" w:fill="FFFFFF"/>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 xml:space="preserve">Стоимость единицы Продукции определяется Спецификацией (Приложение № 1). </w:t>
      </w:r>
    </w:p>
    <w:p>
      <w:pPr>
        <w:pStyle w:val="Normal"/>
        <w:widowControl w:val="false"/>
        <w:numPr>
          <w:ilvl w:val="1"/>
          <w:numId w:val="6"/>
        </w:numPr>
        <w:shd w:val="clear" w:color="auto" w:fill="FFFFFF"/>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Оплата в соответствии с Договором осуществляется следующим образом:</w:t>
      </w:r>
    </w:p>
    <w:p>
      <w:pPr>
        <w:pStyle w:val="Normal"/>
        <w:numPr>
          <w:ilvl w:val="2"/>
          <w:numId w:val="6"/>
        </w:numPr>
        <w:shd w:val="clear" w:color="auto" w:fill="FFFFFF"/>
        <w:tabs>
          <w:tab w:val="clear" w:pos="720"/>
          <w:tab w:val="left" w:pos="567" w:leader="none"/>
          <w:tab w:val="left" w:pos="1146" w:leader="none"/>
        </w:tabs>
        <w:spacing w:before="0" w:after="120"/>
        <w:ind w:left="0" w:firstLine="567"/>
        <w:jc w:val="both"/>
        <w:rPr>
          <w:highlight w:val="none"/>
          <w:shd w:fill="FFFFFF" w:val="clear"/>
        </w:rPr>
      </w:pPr>
      <w:r>
        <w:rPr>
          <w:sz w:val="24"/>
          <w:szCs w:val="24"/>
          <w:shd w:fill="FFFFFF" w:val="clear"/>
        </w:rPr>
        <w:t xml:space="preserve">Платеж </w:t>
      </w:r>
      <w:r>
        <w:rPr>
          <w:b/>
          <w:sz w:val="24"/>
          <w:szCs w:val="24"/>
          <w:shd w:fill="FFFFFF" w:val="clear"/>
        </w:rPr>
        <w:t>в размере 100 (сто) % от стоимости поставленной Продукции, согласно Спецификации, производится Покупателем в срок не более 7 (семи) рабочих дней с даты подписания Товарной накладной</w:t>
      </w:r>
      <w:r>
        <w:rPr>
          <w:sz w:val="24"/>
          <w:szCs w:val="24"/>
          <w:shd w:fill="FFFFFF" w:val="clear"/>
        </w:rPr>
        <w:t xml:space="preserve"> по форме ТОРГ-12 или Универсального передаточного документа (УПД) на соответствующую Продукцию, при условии получении счета, выставленного Поставщиком с учетом п. 2.5.2 Договора. </w:t>
      </w:r>
    </w:p>
    <w:p>
      <w:pPr>
        <w:pStyle w:val="Normal"/>
        <w:numPr>
          <w:ilvl w:val="2"/>
          <w:numId w:val="6"/>
        </w:numPr>
        <w:shd w:val="clear" w:color="auto" w:fill="FFFFFF"/>
        <w:tabs>
          <w:tab w:val="clear" w:pos="720"/>
          <w:tab w:val="left" w:pos="567" w:leader="none"/>
          <w:tab w:val="left" w:pos="1146" w:leader="none"/>
        </w:tabs>
        <w:spacing w:before="0" w:after="120"/>
        <w:ind w:left="0" w:firstLine="567"/>
        <w:jc w:val="both"/>
        <w:rPr>
          <w:highlight w:val="none"/>
          <w:shd w:fill="FFFFFF" w:val="clear"/>
        </w:rPr>
      </w:pPr>
      <w:r>
        <w:rPr>
          <w:sz w:val="24"/>
          <w:szCs w:val="24"/>
          <w:shd w:fill="FFFFFF" w:val="clear"/>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FFFFFF" w:val="clear"/>
        </w:rPr>
      </w:pPr>
      <w:r>
        <w:rPr>
          <w:sz w:val="24"/>
          <w:szCs w:val="24"/>
          <w:shd w:fill="FFFFFF" w:val="clear"/>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6"/>
        </w:numPr>
        <w:shd w:val="clear" w:color="auto" w:fill="FFFFFF"/>
        <w:tabs>
          <w:tab w:val="clear" w:pos="720"/>
          <w:tab w:val="left" w:pos="0" w:leader="none"/>
          <w:tab w:val="left" w:pos="480" w:leader="none"/>
          <w:tab w:val="left" w:pos="851" w:leader="none"/>
          <w:tab w:val="left" w:pos="1134" w:leader="none"/>
        </w:tabs>
        <w:spacing w:before="0" w:after="120"/>
        <w:ind w:left="0" w:firstLine="567"/>
        <w:jc w:val="both"/>
        <w:rPr>
          <w:highlight w:val="none"/>
          <w:shd w:fill="FFFFFF" w:val="clear"/>
        </w:rPr>
      </w:pPr>
      <w:r>
        <w:rPr>
          <w:sz w:val="24"/>
          <w:szCs w:val="24"/>
          <w:shd w:fill="FFFFFF" w:val="clear"/>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FFFFFF" w:val="clear"/>
        </w:rPr>
      </w:pPr>
      <w:r>
        <w:rPr>
          <w:sz w:val="24"/>
          <w:szCs w:val="24"/>
          <w:shd w:fill="FFFFFF" w:val="clear"/>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6"/>
        </w:numPr>
        <w:tabs>
          <w:tab w:val="clear" w:pos="720"/>
          <w:tab w:val="left" w:pos="0" w:leader="none"/>
          <w:tab w:val="left" w:pos="851" w:leader="none"/>
          <w:tab w:val="left" w:pos="1134" w:leader="none"/>
        </w:tabs>
        <w:spacing w:before="0" w:after="120"/>
        <w:ind w:left="0" w:firstLine="567"/>
        <w:jc w:val="both"/>
        <w:rPr>
          <w:highlight w:val="none"/>
          <w:shd w:fill="FFFFFF" w:val="clear"/>
        </w:rPr>
      </w:pPr>
      <w:r>
        <w:rPr>
          <w:sz w:val="24"/>
          <w:szCs w:val="24"/>
          <w:shd w:fill="FFFFFF" w:val="clear"/>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widowControl w:val="false"/>
        <w:numPr>
          <w:ilvl w:val="1"/>
          <w:numId w:val="6"/>
        </w:numPr>
        <w:tabs>
          <w:tab w:val="clear" w:pos="720"/>
          <w:tab w:val="left" w:pos="0" w:leader="none"/>
          <w:tab w:val="left" w:pos="851" w:leader="none"/>
          <w:tab w:val="left" w:pos="1134" w:leader="none"/>
        </w:tabs>
        <w:spacing w:before="0" w:after="120"/>
        <w:ind w:left="0" w:firstLine="567"/>
        <w:jc w:val="both"/>
        <w:rPr>
          <w:highlight w:val="none"/>
          <w:shd w:fill="FFFFFF" w:val="clear"/>
        </w:rPr>
      </w:pPr>
      <w:r>
        <w:rPr>
          <w:sz w:val="24"/>
          <w:szCs w:val="24"/>
          <w:shd w:fill="FFFFFF" w:val="clear"/>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highlight w:val="none"/>
          <w:shd w:fill="FFFFFF" w:val="clear"/>
        </w:rPr>
      </w:pPr>
      <w:r>
        <w:rPr>
          <w:sz w:val="24"/>
          <w:szCs w:val="24"/>
          <w:shd w:fill="FFFFFF" w:val="clear"/>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обязательство Покупателя, по которому произошла задержка, не является денежным.</w:t>
      </w:r>
    </w:p>
    <w:p>
      <w:pPr>
        <w:pStyle w:val="Normal"/>
        <w:widowControl w:val="false"/>
        <w:numPr>
          <w:ilvl w:val="1"/>
          <w:numId w:val="6"/>
        </w:numPr>
        <w:tabs>
          <w:tab w:val="clear" w:pos="720"/>
          <w:tab w:val="left" w:pos="0" w:leader="none"/>
          <w:tab w:val="left" w:pos="851" w:leader="none"/>
          <w:tab w:val="left" w:pos="1134" w:leader="none"/>
        </w:tabs>
        <w:spacing w:before="0" w:after="120"/>
        <w:ind w:left="0" w:firstLine="567"/>
        <w:jc w:val="both"/>
        <w:rPr>
          <w:highlight w:val="none"/>
          <w:shd w:fill="FFFFFF" w:val="clear"/>
        </w:rPr>
      </w:pPr>
      <w:r>
        <w:rPr>
          <w:sz w:val="24"/>
          <w:szCs w:val="24"/>
          <w:shd w:fill="FFFFFF" w:val="clear"/>
        </w:rPr>
        <w:t>Индексация Цены Договора не допускается.</w:t>
      </w:r>
    </w:p>
    <w:p>
      <w:pPr>
        <w:pStyle w:val="Normal"/>
        <w:widowControl w:val="false"/>
        <w:numPr>
          <w:ilvl w:val="0"/>
          <w:numId w:val="6"/>
        </w:numPr>
        <w:shd w:val="clear" w:color="auto" w:fill="FFFFFF"/>
        <w:spacing w:before="0" w:after="120"/>
        <w:ind w:left="0" w:hanging="0"/>
        <w:jc w:val="center"/>
        <w:rPr>
          <w:highlight w:val="none"/>
          <w:shd w:fill="FFFFFF" w:val="clear"/>
        </w:rPr>
      </w:pPr>
      <w:r>
        <w:rPr>
          <w:b/>
          <w:sz w:val="24"/>
          <w:szCs w:val="24"/>
          <w:shd w:fill="FFFFFF" w:val="clear"/>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Сертификат страны происхождения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Технический паспорт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Инструкция по эксплуатации (монтажу и т.п.)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Упаковочный лист на Продукцию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Товарную накладную по форме ТОРГ-12 или Универсальный передаточный документ (УПД) с обязательным указанием номера и даты Заявки-Спецификациив 2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 xml:space="preserve">Приемка Товара по количеству тар и упаковок, в которых осуществлялась его отгрузка,производится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FFFFFF" w:val="clear"/>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FFFFFF" w:val="clear"/>
        </w:rPr>
        <w:t>товарно-транспортной накладной по форме №1-Т</w:t>
      </w:r>
      <w:r>
        <w:rPr>
          <w:sz w:val="24"/>
          <w:szCs w:val="24"/>
          <w:shd w:fill="FFFFFF" w:val="clear"/>
        </w:rPr>
        <w:t xml:space="preserve">. В случае отсутствия замечаний Покупатель подписывает </w:t>
      </w:r>
      <w:r>
        <w:rPr>
          <w:color w:val="000000"/>
          <w:sz w:val="24"/>
          <w:szCs w:val="24"/>
          <w:shd w:fill="FFFFFF" w:val="clear"/>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Поставщик обязан установить на продукцию гарантийный срок не менее 12 месяцев, со дня подписания Товарной накладной по форме ТОРГ-12 или Универсального передаточного документа (УПД) на Товар,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shd w:fill="FFFFFF" w:val="clear"/>
        </w:rPr>
        <w:t>Покупателем в соответствии с п. 3.14. Договора</w:t>
      </w:r>
      <w:bookmarkEnd w:id="0"/>
      <w:bookmarkEnd w:id="1"/>
      <w:r>
        <w:rPr>
          <w:sz w:val="24"/>
          <w:szCs w:val="24"/>
          <w:shd w:fill="FFFFFF" w:val="clear"/>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spacing w:before="0" w:after="120"/>
        <w:ind w:left="0" w:hanging="0"/>
        <w:jc w:val="center"/>
        <w:rPr>
          <w:highlight w:val="none"/>
          <w:shd w:fill="FFFFFF" w:val="clear"/>
        </w:rPr>
      </w:pPr>
      <w:r>
        <w:rPr>
          <w:b/>
          <w:sz w:val="24"/>
          <w:szCs w:val="24"/>
          <w:shd w:fill="FFFFFF" w:val="clear"/>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spacing w:before="0" w:after="120"/>
        <w:ind w:left="0" w:hanging="0"/>
        <w:jc w:val="center"/>
        <w:rPr>
          <w:highlight w:val="none"/>
          <w:shd w:fill="FFFFFF" w:val="clear"/>
        </w:rPr>
      </w:pPr>
      <w:r>
        <w:rPr>
          <w:b/>
          <w:sz w:val="24"/>
          <w:szCs w:val="24"/>
          <w:shd w:fill="FFFFFF" w:val="clear"/>
        </w:rPr>
        <w:t>Сроки, порядок и условия поставки, переход права собственности</w:t>
      </w:r>
    </w:p>
    <w:p>
      <w:pPr>
        <w:pStyle w:val="ListParagraph"/>
        <w:numPr>
          <w:ilvl w:val="1"/>
          <w:numId w:val="6"/>
        </w:numPr>
        <w:tabs>
          <w:tab w:val="clear" w:pos="720"/>
          <w:tab w:val="left" w:pos="1276" w:leader="none"/>
        </w:tabs>
        <w:spacing w:before="0" w:after="120"/>
        <w:ind w:left="0" w:firstLine="567"/>
        <w:contextualSpacing w:val="false"/>
        <w:jc w:val="both"/>
        <w:rPr>
          <w:highlight w:val="none"/>
          <w:shd w:fill="FFFFFF" w:val="clear"/>
        </w:rPr>
      </w:pPr>
      <w:r>
        <w:rPr>
          <w:sz w:val="24"/>
          <w:szCs w:val="24"/>
          <w:shd w:fill="FFFFFF" w:val="clear"/>
        </w:rPr>
        <w:t>Поставка Продукции по Договору осуществляется Поставщиком в соответствии с Заявками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Поставщик обязан уведомить Покупателя о дате поставки Продукции не позднее, чем за 3 (три) календарных дня/дней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6"/>
        </w:numPr>
        <w:shd w:val="clear" w:color="auto" w:fill="FFFFFF"/>
        <w:spacing w:before="0" w:after="120"/>
        <w:ind w:left="0" w:hanging="0"/>
        <w:jc w:val="center"/>
        <w:rPr>
          <w:highlight w:val="none"/>
          <w:shd w:fill="FFFFFF" w:val="clear"/>
        </w:rPr>
      </w:pPr>
      <w:r>
        <w:rPr>
          <w:b/>
          <w:sz w:val="24"/>
          <w:szCs w:val="24"/>
          <w:shd w:fill="FFFFFF" w:val="clear"/>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 от суммы, в отношении которой допущена просрочка оплаты, за каждый день просрочки, но несмотря на любые иные условия, не более 5% несвоевременно оплаченной суммы.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В случае просрочки Поставщиком обязательств по поставке Продукции, а также в случае несвоевременного устранения выявленных недостатков Продукции согласно п.3.14 Договора, Покупатель вправе потребовать уплаты Поставщиком неустойки в размере 0,1 % от Цены Договора, за каждый день просрочки. </w:t>
      </w:r>
    </w:p>
    <w:p>
      <w:pPr>
        <w:pStyle w:val="Normal"/>
        <w:widowControl w:val="false"/>
        <w:shd w:val="clear" w:color="auto" w:fill="FFFFFF"/>
        <w:tabs>
          <w:tab w:val="clear" w:pos="720"/>
          <w:tab w:val="left" w:pos="1276" w:leader="none"/>
        </w:tabs>
        <w:spacing w:before="0" w:after="120"/>
        <w:jc w:val="both"/>
        <w:rPr>
          <w:highlight w:val="none"/>
          <w:shd w:fill="FFFFFF" w:val="clear"/>
        </w:rPr>
      </w:pPr>
      <w:r>
        <w:rPr>
          <w:sz w:val="24"/>
          <w:szCs w:val="24"/>
          <w:shd w:fill="FFFFFF"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highlight w:val="none"/>
          <w:shd w:fill="FFFFFF" w:val="clear"/>
        </w:rPr>
      </w:pPr>
      <w:r>
        <w:rPr>
          <w:sz w:val="24"/>
          <w:szCs w:val="24"/>
          <w:shd w:fill="FFFFFF" w:val="clear"/>
        </w:rPr>
        <w:t>выписка из Единого государственного реестра юридических лиц, после изменений, указанных в п. 6.11Договора,а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highlight w:val="none"/>
          <w:shd w:fill="FFFFFF" w:val="clear"/>
        </w:rPr>
      </w:pPr>
      <w:r>
        <w:rPr>
          <w:sz w:val="24"/>
          <w:szCs w:val="24"/>
          <w:shd w:fill="FFFFFF" w:val="clear"/>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highlight w:val="none"/>
          <w:shd w:fill="FFFFFF" w:val="clear"/>
        </w:rPr>
      </w:pPr>
      <w:r>
        <w:rPr>
          <w:sz w:val="24"/>
          <w:szCs w:val="24"/>
          <w:shd w:fill="FFFFFF" w:val="clear"/>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highlight w:val="none"/>
          <w:shd w:fill="FFFFFF" w:val="clear"/>
        </w:rPr>
      </w:pPr>
      <w:r>
        <w:rPr>
          <w:sz w:val="24"/>
          <w:szCs w:val="24"/>
          <w:shd w:fill="FFFFFF" w:val="clear"/>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highlight w:val="none"/>
          <w:shd w:fill="FFFFFF" w:val="clear"/>
        </w:rPr>
      </w:pPr>
      <w:r>
        <w:rPr>
          <w:sz w:val="24"/>
          <w:szCs w:val="24"/>
          <w:shd w:fill="FFFFFF" w:val="clear"/>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highlight w:val="none"/>
          <w:shd w:fill="FFFFFF" w:val="clear"/>
        </w:rPr>
      </w:pPr>
      <w:r>
        <w:rPr>
          <w:sz w:val="24"/>
          <w:szCs w:val="24"/>
          <w:shd w:fill="FFFFFF" w:val="clear"/>
        </w:rPr>
        <w:t>выписка из торгового реестра страны инкорпорации;</w:t>
      </w:r>
    </w:p>
    <w:p>
      <w:pPr>
        <w:pStyle w:val="Normal"/>
        <w:numPr>
          <w:ilvl w:val="0"/>
          <w:numId w:val="9"/>
        </w:numPr>
        <w:spacing w:before="0" w:after="120"/>
        <w:ind w:left="709" w:hanging="283"/>
        <w:outlineLvl w:val="0"/>
        <w:rPr>
          <w:highlight w:val="none"/>
          <w:shd w:fill="FFFFFF" w:val="clear"/>
        </w:rPr>
      </w:pPr>
      <w:r>
        <w:rPr>
          <w:sz w:val="24"/>
          <w:szCs w:val="24"/>
          <w:shd w:fill="FFFFFF" w:val="clear"/>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numPr>
          <w:ilvl w:val="1"/>
          <w:numId w:val="6"/>
        </w:numPr>
        <w:tabs>
          <w:tab w:val="clear" w:pos="720"/>
          <w:tab w:val="left" w:pos="-142" w:leader="none"/>
          <w:tab w:val="left" w:pos="0" w:leader="none"/>
          <w:tab w:val="left" w:pos="1276" w:leader="none"/>
        </w:tabs>
        <w:spacing w:before="0" w:after="120"/>
        <w:ind w:left="0" w:firstLine="567"/>
        <w:contextualSpacing w:val="false"/>
        <w:jc w:val="both"/>
        <w:outlineLvl w:val="0"/>
        <w:rPr>
          <w:highlight w:val="none"/>
          <w:shd w:fill="FFFFFF" w:val="clear"/>
        </w:rPr>
      </w:pPr>
      <w:r>
        <w:rPr>
          <w:sz w:val="24"/>
          <w:szCs w:val="24"/>
          <w:shd w:fill="FFFFFF" w:val="clear"/>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0"/>
          <w:numId w:val="0"/>
        </w:numPr>
        <w:tabs>
          <w:tab w:val="clear" w:pos="720"/>
          <w:tab w:val="left" w:pos="0" w:leader="none"/>
          <w:tab w:val="left" w:pos="1276" w:leader="none"/>
        </w:tabs>
        <w:spacing w:before="0" w:after="120"/>
        <w:ind w:left="0" w:hanging="0"/>
        <w:contextualSpacing w:val="false"/>
        <w:jc w:val="both"/>
        <w:outlineLvl w:val="0"/>
        <w:rPr>
          <w:highlight w:val="none"/>
          <w:shd w:fill="FFFFFF" w:val="clear"/>
        </w:rPr>
      </w:pPr>
      <w:r>
        <w:rPr>
          <w:sz w:val="24"/>
          <w:szCs w:val="24"/>
          <w:shd w:fill="FFFFFF"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highlight w:val="none"/>
          <w:shd w:fill="FFFFFF" w:val="clear"/>
        </w:rPr>
      </w:pPr>
      <w:r>
        <w:rPr>
          <w:sz w:val="24"/>
          <w:szCs w:val="24"/>
          <w:shd w:fill="FFFFFF"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highlight w:val="none"/>
          <w:shd w:fill="FFFFFF" w:val="clear"/>
        </w:rPr>
      </w:pPr>
      <w:r>
        <w:rPr>
          <w:sz w:val="24"/>
          <w:szCs w:val="24"/>
          <w:shd w:fill="FFFFFF"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highlight w:val="none"/>
          <w:shd w:fill="FFFFFF" w:val="clear"/>
        </w:rPr>
      </w:pPr>
      <w:r>
        <w:rPr>
          <w:sz w:val="24"/>
          <w:szCs w:val="24"/>
          <w:shd w:fill="FFFFFF"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highlight w:val="none"/>
          <w:shd w:fill="FFFFFF" w:val="clear"/>
        </w:rPr>
      </w:pPr>
      <w:r>
        <w:rPr>
          <w:sz w:val="24"/>
          <w:szCs w:val="24"/>
          <w:shd w:fill="FFFFFF"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highlight w:val="none"/>
          <w:shd w:fill="FFFFFF" w:val="clear"/>
        </w:rPr>
      </w:pPr>
      <w:r>
        <w:rPr>
          <w:sz w:val="24"/>
          <w:szCs w:val="24"/>
          <w:shd w:fill="FFFFFF" w:val="clear"/>
        </w:rPr>
        <w:t xml:space="preserve">Каналы связи Линия доверия Группы РусГидро: </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highlight w:val="none"/>
          <w:shd w:fill="FFFFFF" w:val="clear"/>
        </w:rPr>
      </w:pPr>
      <w:r>
        <w:rPr>
          <w:sz w:val="24"/>
          <w:szCs w:val="24"/>
          <w:shd w:fill="FFFFFF" w:val="clear"/>
        </w:rPr>
        <w:t>Электронная почта: ld@rushydro.ru.</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highlight w:val="none"/>
          <w:shd w:fill="FFFFFF" w:val="clear"/>
        </w:rPr>
      </w:pPr>
      <w:r>
        <w:rPr>
          <w:sz w:val="24"/>
          <w:szCs w:val="24"/>
          <w:shd w:fill="FFFFFF"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000" w:leader="none"/>
          <w:tab w:val="left" w:pos="1134" w:leader="none"/>
          <w:tab w:val="left" w:pos="2276" w:leader="none"/>
        </w:tabs>
        <w:spacing w:before="0" w:after="120"/>
        <w:jc w:val="both"/>
        <w:rPr>
          <w:highlight w:val="none"/>
          <w:shd w:fill="FFFFFF" w:val="clear"/>
        </w:rPr>
      </w:pPr>
      <w:r>
        <w:rPr>
          <w:sz w:val="24"/>
          <w:szCs w:val="24"/>
          <w:shd w:fill="FFFFFF"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1276" w:leader="none"/>
        </w:tabs>
        <w:spacing w:before="0" w:after="120"/>
        <w:ind w:left="0" w:hanging="0"/>
        <w:jc w:val="center"/>
        <w:rPr>
          <w:highlight w:val="none"/>
          <w:shd w:fill="FFFFFF" w:val="clear"/>
        </w:rPr>
      </w:pPr>
      <w:r>
        <w:rPr>
          <w:b/>
          <w:bCs/>
          <w:sz w:val="24"/>
          <w:szCs w:val="24"/>
          <w:shd w:fill="FFFFFF"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shd w:fill="FFFFFF" w:val="clear"/>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shd w:fill="FFFFFF" w:val="clear"/>
          </w:rPr>
          <w:t>№ 18162/09</w:t>
        </w:r>
      </w:hyperlink>
      <w:r>
        <w:rPr>
          <w:sz w:val="24"/>
          <w:szCs w:val="24"/>
          <w:shd w:fill="FFFFFF" w:val="clear"/>
        </w:rPr>
        <w:t xml:space="preserve"> и от 25.05.2010 </w:t>
      </w:r>
      <w:hyperlink r:id="rId3">
        <w:r>
          <w:rPr>
            <w:sz w:val="24"/>
            <w:szCs w:val="24"/>
            <w:shd w:fill="FFFFFF" w:val="clear"/>
          </w:rPr>
          <w:t>№ 15658/09</w:t>
        </w:r>
      </w:hyperlink>
      <w:r>
        <w:rPr>
          <w:sz w:val="24"/>
          <w:szCs w:val="24"/>
          <w:shd w:fill="FFFFFF"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shd w:fill="FFFFFF" w:val="clear"/>
          </w:rPr>
          <w:t>Критери</w:t>
        </w:r>
      </w:hyperlink>
      <w:r>
        <w:rPr>
          <w:sz w:val="24"/>
          <w:szCs w:val="24"/>
          <w:shd w:fill="FFFFFF" w:val="clear"/>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highlight w:val="none"/>
          <w:shd w:fill="FFFFFF" w:val="clear"/>
        </w:rPr>
      </w:pPr>
      <w:r>
        <w:rPr>
          <w:sz w:val="24"/>
          <w:szCs w:val="24"/>
          <w:shd w:fill="FFFFFF" w:val="clear"/>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spacing w:before="0" w:after="120"/>
        <w:ind w:left="0" w:hanging="0"/>
        <w:jc w:val="center"/>
        <w:rPr>
          <w:highlight w:val="none"/>
          <w:shd w:fill="FFFFFF" w:val="clear"/>
        </w:rPr>
      </w:pPr>
      <w:r>
        <w:rPr>
          <w:b/>
          <w:sz w:val="24"/>
          <w:szCs w:val="24"/>
          <w:shd w:fill="FFFFFF" w:val="clear"/>
        </w:rPr>
        <w:t>Форс</w:t>
      </w:r>
      <w:r>
        <w:rPr>
          <w:b/>
          <w:bCs/>
          <w:sz w:val="24"/>
          <w:szCs w:val="24"/>
          <w:shd w:fill="FFFFFF" w:val="clear"/>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spacing w:before="0" w:after="120"/>
        <w:ind w:left="0" w:hanging="0"/>
        <w:jc w:val="center"/>
        <w:rPr>
          <w:highlight w:val="none"/>
          <w:shd w:fill="FFFFFF" w:val="clear"/>
        </w:rPr>
      </w:pPr>
      <w:r>
        <w:rPr>
          <w:b/>
          <w:sz w:val="24"/>
          <w:szCs w:val="24"/>
          <w:shd w:fill="FFFFFF" w:val="clear"/>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highlight w:val="none"/>
          <w:shd w:fill="FFFFFF" w:val="clear"/>
        </w:rPr>
      </w:pPr>
      <w:r>
        <w:rPr>
          <w:bCs/>
          <w:sz w:val="24"/>
          <w:szCs w:val="24"/>
          <w:shd w:fill="FFFFFF" w:val="clear"/>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highlight w:val="none"/>
          <w:shd w:fill="FFFFFF" w:val="clear"/>
        </w:rPr>
      </w:pPr>
      <w:r>
        <w:rPr>
          <w:bCs/>
          <w:sz w:val="24"/>
          <w:szCs w:val="24"/>
          <w:shd w:fill="FFFFFF" w:val="clear"/>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финансовую отчетность;</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бизнес-планы;</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spacing w:before="0" w:after="120"/>
        <w:ind w:left="0" w:hanging="0"/>
        <w:jc w:val="center"/>
        <w:rPr>
          <w:highlight w:val="none"/>
          <w:shd w:fill="FFFFFF" w:val="clear"/>
        </w:rPr>
      </w:pPr>
      <w:r>
        <w:rPr>
          <w:b/>
          <w:sz w:val="24"/>
          <w:szCs w:val="24"/>
          <w:shd w:fill="FFFFFF" w:val="clear"/>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Поставщик также обязуется:</w:t>
      </w:r>
    </w:p>
    <w:p>
      <w:pPr>
        <w:pStyle w:val="ListParagraph"/>
        <w:numPr>
          <w:ilvl w:val="2"/>
          <w:numId w:val="6"/>
        </w:numPr>
        <w:shd w:val="clear" w:color="auto" w:fill="FFFFFF"/>
        <w:spacing w:before="0" w:after="120"/>
        <w:ind w:left="0" w:firstLine="567"/>
        <w:contextualSpacing w:val="false"/>
        <w:jc w:val="both"/>
        <w:rPr>
          <w:highlight w:val="none"/>
          <w:shd w:fill="FFFFFF" w:val="clear"/>
        </w:rPr>
      </w:pPr>
      <w:r>
        <w:rPr>
          <w:sz w:val="24"/>
          <w:szCs w:val="24"/>
          <w:shd w:fill="FFFFFF" w:val="clear"/>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spacing w:before="0" w:after="120"/>
        <w:ind w:left="0" w:firstLine="567"/>
        <w:contextualSpacing w:val="false"/>
        <w:jc w:val="both"/>
        <w:rPr>
          <w:highlight w:val="none"/>
          <w:shd w:fill="FFFFFF" w:val="clear"/>
        </w:rPr>
      </w:pPr>
      <w:r>
        <w:rPr>
          <w:sz w:val="24"/>
          <w:szCs w:val="24"/>
          <w:shd w:fill="FFFFFF" w:val="clear"/>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spacing w:before="0" w:after="120"/>
        <w:ind w:left="0" w:hanging="0"/>
        <w:jc w:val="center"/>
        <w:rPr>
          <w:highlight w:val="none"/>
          <w:shd w:fill="FFFFFF" w:val="clear"/>
        </w:rPr>
      </w:pPr>
      <w:r>
        <w:rPr>
          <w:b/>
          <w:sz w:val="24"/>
          <w:szCs w:val="24"/>
          <w:shd w:fill="FFFFFF" w:val="clear"/>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 </w:t>
      </w:r>
      <w:r>
        <w:rPr>
          <w:sz w:val="24"/>
          <w:szCs w:val="24"/>
          <w:shd w:fill="FFFFFF" w:val="clear"/>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 </w:t>
      </w:r>
      <w:r>
        <w:rPr>
          <w:sz w:val="24"/>
          <w:szCs w:val="24"/>
          <w:shd w:fill="FFFFFF" w:val="clear"/>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5321" w:leader="none"/>
        </w:tabs>
        <w:spacing w:before="0" w:after="120"/>
        <w:ind w:left="0" w:hanging="0"/>
        <w:jc w:val="center"/>
        <w:rPr>
          <w:highlight w:val="none"/>
          <w:shd w:fill="FFFFFF" w:val="clear"/>
        </w:rPr>
      </w:pPr>
      <w:r>
        <w:rPr>
          <w:b/>
          <w:bCs/>
          <w:sz w:val="24"/>
          <w:szCs w:val="24"/>
          <w:shd w:fill="FFFFFF" w:val="clear"/>
        </w:rPr>
        <w:t>Прекращение (расторжение) Договора</w:t>
      </w:r>
    </w:p>
    <w:p>
      <w:pPr>
        <w:pStyle w:val="Normal"/>
        <w:widowControl w:val="false"/>
        <w:numPr>
          <w:ilvl w:val="1"/>
          <w:numId w:val="6"/>
        </w:numPr>
        <w:shd w:val="clear" w:color="auto" w:fill="FFFFFF"/>
        <w:spacing w:before="0" w:after="120"/>
        <w:ind w:left="0" w:firstLine="567"/>
        <w:jc w:val="both"/>
        <w:rPr>
          <w:highlight w:val="none"/>
          <w:shd w:fill="FFFFFF" w:val="clear"/>
        </w:rPr>
      </w:pPr>
      <w:r>
        <w:rPr>
          <w:sz w:val="24"/>
          <w:szCs w:val="24"/>
          <w:shd w:fill="FFFFFF"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hd w:fill="FFFFFF" w:val="clear"/>
        </w:rPr>
        <w:t>.</w:t>
      </w:r>
    </w:p>
    <w:p>
      <w:pPr>
        <w:pStyle w:val="Normal"/>
        <w:widowControl w:val="false"/>
        <w:numPr>
          <w:ilvl w:val="1"/>
          <w:numId w:val="6"/>
        </w:numPr>
        <w:shd w:val="clear" w:color="auto" w:fill="FFFFFF"/>
        <w:spacing w:before="0" w:after="120"/>
        <w:ind w:left="0" w:firstLine="567"/>
        <w:jc w:val="both"/>
        <w:rPr>
          <w:highlight w:val="none"/>
          <w:shd w:fill="FFFFFF" w:val="clear"/>
        </w:rPr>
      </w:pPr>
      <w:r>
        <w:rPr>
          <w:sz w:val="24"/>
          <w:szCs w:val="24"/>
          <w:shd w:fill="FFFFFF" w:val="clear"/>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highlight w:val="none"/>
          <w:shd w:fill="FFFFFF" w:val="clear"/>
        </w:rPr>
      </w:pPr>
      <w:r>
        <w:rPr>
          <w:sz w:val="24"/>
          <w:szCs w:val="24"/>
          <w:shd w:fill="FFFFFF" w:val="clear"/>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spacing w:before="0" w:after="120"/>
        <w:ind w:left="0" w:firstLine="567"/>
        <w:jc w:val="both"/>
        <w:rPr>
          <w:highlight w:val="none"/>
          <w:shd w:fill="FFFFFF" w:val="clear"/>
        </w:rPr>
      </w:pPr>
      <w:r>
        <w:rPr>
          <w:sz w:val="24"/>
          <w:szCs w:val="24"/>
          <w:shd w:fill="FFFFFF" w:val="clear"/>
        </w:rPr>
        <w:t>Стороны установили, что существенным нарушением Договора Поставщиком является</w:t>
      </w:r>
      <w:r>
        <w:rPr>
          <w:shd w:fill="FFFFFF" w:val="clear"/>
        </w:rPr>
        <w:t>:</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6"/>
        </w:numPr>
        <w:shd w:val="clear" w:color="auto" w:fill="FFFFFF"/>
        <w:spacing w:before="0" w:after="120"/>
        <w:ind w:left="0" w:firstLine="567"/>
        <w:jc w:val="both"/>
        <w:rPr>
          <w:highlight w:val="none"/>
          <w:shd w:fill="FFFFFF" w:val="clear"/>
        </w:rPr>
      </w:pPr>
      <w:r>
        <w:rPr>
          <w:sz w:val="24"/>
          <w:szCs w:val="24"/>
          <w:shd w:fill="FFFFFF" w:val="clear"/>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spacing w:before="0" w:after="120"/>
        <w:ind w:left="0" w:firstLine="567"/>
        <w:jc w:val="both"/>
        <w:rPr>
          <w:highlight w:val="none"/>
          <w:shd w:fill="FFFFFF" w:val="clear"/>
        </w:rPr>
      </w:pPr>
      <w:r>
        <w:rPr>
          <w:sz w:val="24"/>
          <w:szCs w:val="24"/>
          <w:shd w:fill="FFFFFF" w:val="clear"/>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highlight w:val="none"/>
          <w:shd w:fill="FFFFFF" w:val="clear"/>
        </w:rPr>
      </w:pPr>
      <w:r>
        <w:rPr>
          <w:sz w:val="24"/>
          <w:szCs w:val="24"/>
          <w:shd w:fill="FFFFFF" w:val="clear"/>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5321" w:leader="none"/>
        </w:tabs>
        <w:spacing w:before="0" w:after="120"/>
        <w:ind w:left="0" w:hanging="0"/>
        <w:jc w:val="center"/>
        <w:rPr>
          <w:highlight w:val="none"/>
          <w:shd w:fill="FFFFFF" w:val="clear"/>
        </w:rPr>
      </w:pPr>
      <w:r>
        <w:rPr>
          <w:b/>
          <w:bCs/>
          <w:sz w:val="24"/>
          <w:szCs w:val="24"/>
          <w:shd w:fill="FFFFFF" w:val="clear"/>
        </w:rPr>
        <w:t>Заверения</w:t>
      </w:r>
      <w:r>
        <w:rPr>
          <w:b/>
          <w:sz w:val="24"/>
          <w:szCs w:val="24"/>
          <w:shd w:fill="FFFFFF" w:val="clear"/>
        </w:rPr>
        <w:t xml:space="preserve"> Сторон</w:t>
      </w:r>
    </w:p>
    <w:p>
      <w:pPr>
        <w:pStyle w:val="ListParagraph"/>
        <w:numPr>
          <w:ilvl w:val="1"/>
          <w:numId w:val="6"/>
        </w:numPr>
        <w:shd w:val="clear" w:color="auto" w:fill="FFFFFF"/>
        <w:spacing w:before="0" w:after="120"/>
        <w:ind w:left="0" w:firstLine="567"/>
        <w:contextualSpacing w:val="false"/>
        <w:jc w:val="both"/>
        <w:rPr>
          <w:highlight w:val="none"/>
          <w:shd w:fill="FFFFFF" w:val="clear"/>
        </w:rPr>
      </w:pPr>
      <w:r>
        <w:rPr>
          <w:bCs/>
          <w:sz w:val="24"/>
          <w:szCs w:val="24"/>
          <w:shd w:fill="FFFFFF" w:val="clear"/>
        </w:rPr>
        <w:t>Каждая</w:t>
      </w:r>
      <w:r>
        <w:rPr>
          <w:sz w:val="24"/>
          <w:szCs w:val="24"/>
          <w:shd w:fill="FFFFFF" w:val="clear"/>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highlight w:val="none"/>
          <w:shd w:fill="FFFFFF" w:val="clear"/>
        </w:rPr>
      </w:pPr>
      <w:r>
        <w:rPr>
          <w:sz w:val="24"/>
          <w:szCs w:val="24"/>
          <w:shd w:fill="FFFFFF" w:val="clear"/>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FFFFFF" w:val="clear"/>
        </w:rPr>
      </w:pPr>
      <w:r>
        <w:rPr>
          <w:sz w:val="24"/>
          <w:szCs w:val="24"/>
          <w:shd w:fill="FFFFFF"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FFFFFF" w:val="clear"/>
        </w:rPr>
      </w:pPr>
      <w:r>
        <w:rPr>
          <w:sz w:val="24"/>
          <w:szCs w:val="24"/>
          <w:shd w:fill="FFFFFF" w:val="clear"/>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FFFFFF" w:val="clear"/>
        </w:rPr>
      </w:pPr>
      <w:r>
        <w:rPr>
          <w:sz w:val="24"/>
          <w:szCs w:val="24"/>
          <w:shd w:fill="FFFFFF" w:val="clear"/>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FFFFFF" w:val="clear"/>
        </w:rPr>
      </w:pPr>
      <w:r>
        <w:rPr>
          <w:sz w:val="24"/>
          <w:szCs w:val="24"/>
          <w:shd w:fill="FFFFFF"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FFFFFF" w:val="clear"/>
        </w:rPr>
      </w:pPr>
      <w:r>
        <w:rPr>
          <w:sz w:val="24"/>
          <w:szCs w:val="24"/>
          <w:shd w:fill="FFFFFF" w:val="clear"/>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highlight w:val="none"/>
          <w:shd w:fill="FFFFFF" w:val="clear"/>
        </w:rPr>
      </w:pPr>
      <w:r>
        <w:rPr>
          <w:sz w:val="24"/>
          <w:szCs w:val="24"/>
          <w:shd w:fill="FFFFFF"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highlight w:val="none"/>
          <w:shd w:fill="FFFFFF" w:val="clear"/>
        </w:rPr>
      </w:pPr>
      <w:r>
        <w:rPr>
          <w:sz w:val="24"/>
          <w:szCs w:val="24"/>
          <w:shd w:fill="FFFFFF" w:val="clear"/>
        </w:rPr>
        <w:t xml:space="preserve">В случае, если при заключении Договора Поставщик предоставил </w:t>
      </w:r>
      <w:r>
        <w:rPr>
          <w:bCs/>
          <w:sz w:val="24"/>
          <w:szCs w:val="24"/>
          <w:shd w:fill="FFFFFF" w:val="clear"/>
        </w:rPr>
        <w:t>Покупателю</w:t>
      </w:r>
      <w:r>
        <w:rPr>
          <w:sz w:val="24"/>
          <w:szCs w:val="24"/>
          <w:shd w:fill="FFFFFF" w:val="clear"/>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FFFFFF" w:val="clear"/>
        </w:rPr>
        <w:t>Поставщик</w:t>
      </w:r>
      <w:r>
        <w:rPr>
          <w:sz w:val="24"/>
          <w:szCs w:val="24"/>
          <w:shd w:fill="FFFFFF" w:val="clear"/>
        </w:rPr>
        <w:t xml:space="preserve">обязан по требованию </w:t>
      </w:r>
      <w:r>
        <w:rPr>
          <w:bCs/>
          <w:sz w:val="24"/>
          <w:szCs w:val="24"/>
          <w:shd w:fill="FFFFFF" w:val="clear"/>
        </w:rPr>
        <w:t>Покупателя</w:t>
      </w:r>
      <w:r>
        <w:rPr>
          <w:sz w:val="24"/>
          <w:szCs w:val="24"/>
          <w:shd w:fill="FFFFFF" w:val="clear"/>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highlight w:val="none"/>
          <w:shd w:fill="FFFFFF" w:val="clear"/>
        </w:rPr>
      </w:pPr>
      <w:r>
        <w:rPr>
          <w:sz w:val="24"/>
          <w:szCs w:val="24"/>
          <w:shd w:fill="FFFFFF"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spacing w:before="0" w:after="120"/>
        <w:ind w:left="0" w:hanging="0"/>
        <w:jc w:val="center"/>
        <w:rPr>
          <w:highlight w:val="none"/>
          <w:shd w:fill="FFFFFF" w:val="clear"/>
        </w:rPr>
      </w:pPr>
      <w:r>
        <w:rPr>
          <w:b/>
          <w:sz w:val="24"/>
          <w:szCs w:val="24"/>
          <w:shd w:fill="FFFFFF" w:val="clear"/>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Документ</w:t>
      </w:r>
      <w:r>
        <w:rPr>
          <w:bCs/>
          <w:sz w:val="24"/>
          <w:szCs w:val="24"/>
          <w:shd w:fill="FFFFFF" w:val="clear"/>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highlight w:val="none"/>
          <w:shd w:fill="FFFFFF" w:val="clear"/>
        </w:rPr>
      </w:pPr>
      <w:r>
        <w:rPr>
          <w:bCs/>
          <w:sz w:val="24"/>
          <w:szCs w:val="24"/>
          <w:shd w:fill="FFFFFF"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highlight w:val="none"/>
          <w:shd w:fill="FFFFFF" w:val="clear"/>
        </w:rPr>
      </w:pPr>
      <w:r>
        <w:rPr>
          <w:bCs/>
          <w:sz w:val="24"/>
          <w:szCs w:val="24"/>
          <w:shd w:fill="FFFFFF"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Поставщик не вправе передавать свои права и обязанности по Договору третьим  лицам без предварительного письменного согласия Покупателя.В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Договор</w:t>
      </w:r>
      <w:r>
        <w:rPr>
          <w:bCs/>
          <w:sz w:val="24"/>
          <w:szCs w:val="24"/>
          <w:shd w:fill="FFFFFF" w:val="clear"/>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spacing w:before="0" w:after="120"/>
        <w:ind w:left="0" w:hanging="0"/>
        <w:jc w:val="center"/>
        <w:rPr>
          <w:highlight w:val="none"/>
          <w:shd w:fill="FFFFFF" w:val="clear"/>
        </w:rPr>
      </w:pPr>
      <w:r>
        <w:rPr>
          <w:b/>
          <w:sz w:val="24"/>
          <w:szCs w:val="24"/>
          <w:shd w:fill="FFFFFF" w:val="clear"/>
        </w:rPr>
        <w:t>Приложения к Договору</w:t>
      </w:r>
    </w:p>
    <w:p>
      <w:pPr>
        <w:pStyle w:val="Heading3"/>
        <w:keepNext w:val="false"/>
        <w:tabs>
          <w:tab w:val="clear" w:pos="0"/>
        </w:tabs>
        <w:overflowPunct w:val="false"/>
        <w:ind w:left="567" w:hanging="0"/>
        <w:jc w:val="both"/>
        <w:textAlignment w:val="baseline"/>
        <w:rPr>
          <w:highlight w:val="none"/>
          <w:shd w:fill="FFFFFF" w:val="clear"/>
        </w:rPr>
      </w:pPr>
      <w:r>
        <w:rPr>
          <w:b w:val="false"/>
          <w:sz w:val="24"/>
          <w:szCs w:val="24"/>
          <w:shd w:fill="FFFFFF" w:val="clear"/>
        </w:rPr>
        <w:t>- Приложение №1 –Спецификация.</w:t>
      </w:r>
    </w:p>
    <w:p>
      <w:pPr>
        <w:pStyle w:val="Heading3"/>
        <w:keepNext w:val="false"/>
        <w:tabs>
          <w:tab w:val="clear" w:pos="0"/>
        </w:tabs>
        <w:overflowPunct w:val="false"/>
        <w:ind w:left="567" w:hanging="0"/>
        <w:jc w:val="both"/>
        <w:textAlignment w:val="baseline"/>
        <w:rPr>
          <w:highlight w:val="none"/>
          <w:shd w:fill="FFFFFF" w:val="clear"/>
        </w:rPr>
      </w:pPr>
      <w:r>
        <w:rPr>
          <w:b w:val="false"/>
          <w:sz w:val="24"/>
          <w:szCs w:val="24"/>
          <w:shd w:fill="FFFFFF" w:val="clear"/>
        </w:rPr>
        <w:t>- Приложение № 2 –Технические требования на поставку продукции.</w:t>
      </w:r>
    </w:p>
    <w:p>
      <w:pPr>
        <w:pStyle w:val="Normal"/>
        <w:ind w:left="567" w:hanging="567"/>
        <w:rPr>
          <w:highlight w:val="none"/>
          <w:shd w:fill="FFFFFF" w:val="clear"/>
        </w:rPr>
      </w:pPr>
      <w:bookmarkStart w:id="3" w:name="sub_1"/>
      <w:r>
        <w:rPr>
          <w:sz w:val="24"/>
          <w:szCs w:val="24"/>
          <w:shd w:fill="FFFFFF" w:val="clear"/>
        </w:rPr>
        <w:tab/>
      </w:r>
      <w:bookmarkEnd w:id="3"/>
    </w:p>
    <w:p>
      <w:pPr>
        <w:pStyle w:val="Normal"/>
        <w:widowControl w:val="false"/>
        <w:numPr>
          <w:ilvl w:val="0"/>
          <w:numId w:val="6"/>
        </w:numPr>
        <w:shd w:val="clear" w:color="auto" w:fill="FFFFFF"/>
        <w:spacing w:before="0" w:after="120"/>
        <w:ind w:left="0" w:hanging="0"/>
        <w:jc w:val="center"/>
        <w:rPr>
          <w:highlight w:val="none"/>
          <w:shd w:fill="FFFFFF" w:val="clear"/>
        </w:rPr>
      </w:pPr>
      <w:r>
        <w:rPr>
          <w:b/>
          <w:sz w:val="24"/>
          <w:szCs w:val="24"/>
          <w:shd w:fill="FFFFFF" w:val="clear"/>
        </w:rPr>
        <w:t>Адреса, реквизиты и подписи Сторон</w:t>
      </w:r>
    </w:p>
    <w:tbl>
      <w:tblPr>
        <w:tblW w:w="9606" w:type="dxa"/>
        <w:jc w:val="left"/>
        <w:tblInd w:w="108" w:type="dxa"/>
        <w:tblLayout w:type="fixed"/>
        <w:tblCellMar>
          <w:top w:w="0" w:type="dxa"/>
          <w:left w:w="108" w:type="dxa"/>
          <w:bottom w:w="0" w:type="dxa"/>
          <w:right w:w="108" w:type="dxa"/>
        </w:tblCellMar>
        <w:tblLook w:val="01e0"/>
      </w:tblPr>
      <w:tblGrid>
        <w:gridCol w:w="4643"/>
        <w:gridCol w:w="4962"/>
      </w:tblGrid>
      <w:tr>
        <w:trPr/>
        <w:tc>
          <w:tcPr>
            <w:tcW w:w="4643" w:type="dxa"/>
            <w:tcBorders/>
          </w:tcPr>
          <w:p>
            <w:pPr>
              <w:pStyle w:val="Normal"/>
              <w:widowControl w:val="false"/>
              <w:rPr>
                <w:highlight w:val="none"/>
                <w:shd w:fill="FFFFFF" w:val="clear"/>
              </w:rPr>
            </w:pPr>
            <w:r>
              <w:rPr>
                <w:b/>
                <w:sz w:val="22"/>
                <w:szCs w:val="22"/>
                <w:u w:val="single"/>
                <w:shd w:fill="FFFFFF" w:val="clear"/>
              </w:rPr>
              <w:t>Покупатель:</w:t>
            </w:r>
          </w:p>
          <w:p>
            <w:pPr>
              <w:pStyle w:val="Normal"/>
              <w:widowControl w:val="false"/>
              <w:rPr>
                <w:b/>
                <w:sz w:val="22"/>
                <w:szCs w:val="22"/>
                <w:highlight w:val="none"/>
                <w:u w:val="single"/>
                <w:shd w:fill="FFFFFF" w:val="clear"/>
              </w:rPr>
            </w:pPr>
            <w:r>
              <w:rPr>
                <w:b/>
                <w:sz w:val="22"/>
                <w:szCs w:val="22"/>
                <w:u w:val="single"/>
                <w:shd w:fill="FFFFFF" w:val="clear"/>
              </w:rPr>
            </w:r>
          </w:p>
          <w:p>
            <w:pPr>
              <w:pStyle w:val="Normal"/>
              <w:widowControl w:val="false"/>
              <w:rPr>
                <w:b/>
                <w:sz w:val="22"/>
                <w:szCs w:val="22"/>
                <w:highlight w:val="none"/>
                <w:u w:val="single"/>
                <w:shd w:fill="FFFFFF" w:val="clear"/>
              </w:rPr>
            </w:pPr>
            <w:r>
              <w:rPr>
                <w:b/>
                <w:sz w:val="22"/>
                <w:szCs w:val="22"/>
                <w:u w:val="single"/>
                <w:shd w:fill="FFFFFF" w:val="clear"/>
              </w:rPr>
            </w:r>
          </w:p>
        </w:tc>
        <w:tc>
          <w:tcPr>
            <w:tcW w:w="4962" w:type="dxa"/>
            <w:tcBorders/>
          </w:tcPr>
          <w:p>
            <w:pPr>
              <w:pStyle w:val="Normal"/>
              <w:widowControl w:val="false"/>
              <w:ind w:firstLine="317"/>
              <w:rPr>
                <w:highlight w:val="none"/>
                <w:shd w:fill="FFFFFF" w:val="clear"/>
              </w:rPr>
            </w:pPr>
            <w:r>
              <w:rPr>
                <w:b/>
                <w:sz w:val="22"/>
                <w:szCs w:val="22"/>
                <w:u w:val="single"/>
                <w:shd w:fill="FFFFFF" w:val="clear"/>
              </w:rPr>
              <w:t>Поставщик:</w:t>
            </w:r>
          </w:p>
          <w:p>
            <w:pPr>
              <w:pStyle w:val="Normal"/>
              <w:widowControl w:val="false"/>
              <w:ind w:firstLine="317"/>
              <w:rPr>
                <w:b/>
                <w:sz w:val="22"/>
                <w:szCs w:val="22"/>
                <w:highlight w:val="none"/>
                <w:u w:val="single"/>
                <w:shd w:fill="FFFFFF" w:val="clear"/>
              </w:rPr>
            </w:pPr>
            <w:r>
              <w:rPr>
                <w:b/>
                <w:sz w:val="22"/>
                <w:szCs w:val="22"/>
                <w:u w:val="single"/>
                <w:shd w:fill="FFFFFF" w:val="clear"/>
              </w:rPr>
            </w:r>
          </w:p>
        </w:tc>
      </w:tr>
      <w:tr>
        <w:trPr/>
        <w:tc>
          <w:tcPr>
            <w:tcW w:w="4643" w:type="dxa"/>
            <w:tcBorders/>
          </w:tcPr>
          <w:p>
            <w:pPr>
              <w:pStyle w:val="Normal"/>
              <w:widowControl w:val="false"/>
              <w:rPr>
                <w:highlight w:val="none"/>
                <w:shd w:fill="FFFFFF" w:val="clear"/>
              </w:rPr>
            </w:pPr>
            <w:r>
              <w:rPr>
                <w:shd w:fill="FFFFFF" w:val="clear"/>
              </w:rPr>
            </w:r>
          </w:p>
        </w:tc>
        <w:tc>
          <w:tcPr>
            <w:tcW w:w="4962" w:type="dxa"/>
            <w:tcBorders/>
          </w:tcPr>
          <w:p>
            <w:pPr>
              <w:pStyle w:val="Normal"/>
              <w:widowControl w:val="false"/>
              <w:rPr>
                <w:sz w:val="22"/>
                <w:szCs w:val="22"/>
                <w:highlight w:val="none"/>
                <w:shd w:fill="FFFFFF" w:val="clear"/>
              </w:rPr>
            </w:pPr>
            <w:r>
              <w:rPr>
                <w:sz w:val="22"/>
                <w:szCs w:val="22"/>
                <w:shd w:fill="FFFFFF" w:val="clear"/>
              </w:rPr>
            </w:r>
          </w:p>
        </w:tc>
      </w:tr>
      <w:tr>
        <w:trPr/>
        <w:tc>
          <w:tcPr>
            <w:tcW w:w="4643" w:type="dxa"/>
            <w:tcBorders/>
          </w:tcPr>
          <w:p>
            <w:pPr>
              <w:pStyle w:val="Normal"/>
              <w:widowControl w:val="false"/>
              <w:rPr>
                <w:sz w:val="22"/>
                <w:szCs w:val="22"/>
                <w:highlight w:val="none"/>
                <w:shd w:fill="FFFFFF" w:val="clear"/>
              </w:rPr>
            </w:pPr>
            <w:r>
              <w:rPr>
                <w:sz w:val="22"/>
                <w:szCs w:val="22"/>
                <w:shd w:fill="FFFFFF" w:val="clear"/>
              </w:rPr>
            </w:r>
          </w:p>
          <w:p>
            <w:pPr>
              <w:pStyle w:val="Normal"/>
              <w:widowControl w:val="false"/>
              <w:rPr>
                <w:sz w:val="22"/>
                <w:szCs w:val="22"/>
                <w:highlight w:val="none"/>
                <w:shd w:fill="FFFFFF" w:val="clear"/>
              </w:rPr>
            </w:pPr>
            <w:r>
              <w:rPr>
                <w:sz w:val="22"/>
                <w:szCs w:val="22"/>
                <w:shd w:fill="FFFFFF" w:val="clear"/>
              </w:rPr>
            </w:r>
          </w:p>
          <w:p>
            <w:pPr>
              <w:pStyle w:val="Normal"/>
              <w:widowControl w:val="false"/>
              <w:rPr>
                <w:sz w:val="22"/>
                <w:szCs w:val="22"/>
                <w:highlight w:val="none"/>
                <w:shd w:fill="FFFFFF" w:val="clear"/>
              </w:rPr>
            </w:pPr>
            <w:r>
              <w:rPr>
                <w:sz w:val="22"/>
                <w:szCs w:val="22"/>
                <w:shd w:fill="FFFFFF" w:val="clear"/>
              </w:rPr>
            </w:r>
          </w:p>
        </w:tc>
        <w:tc>
          <w:tcPr>
            <w:tcW w:w="4962" w:type="dxa"/>
            <w:tcBorders/>
          </w:tcPr>
          <w:p>
            <w:pPr>
              <w:pStyle w:val="Normal"/>
              <w:widowControl w:val="false"/>
              <w:rPr>
                <w:sz w:val="22"/>
                <w:szCs w:val="22"/>
                <w:highlight w:val="none"/>
                <w:shd w:fill="FFFFFF" w:val="clear"/>
              </w:rPr>
            </w:pPr>
            <w:r>
              <w:rPr>
                <w:sz w:val="22"/>
                <w:szCs w:val="22"/>
                <w:shd w:fill="FFFFFF" w:val="clear"/>
              </w:rPr>
            </w:r>
          </w:p>
        </w:tc>
      </w:tr>
    </w:tbl>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tblPr>
      <w:tblGrid>
        <w:gridCol w:w="4785"/>
        <w:gridCol w:w="4785"/>
      </w:tblGrid>
      <w:tr>
        <w:trPr/>
        <w:tc>
          <w:tcPr>
            <w:tcW w:w="4785" w:type="dxa"/>
            <w:tcBorders/>
            <w:shd w:color="auto" w:fill="FFFFFF" w:themeFill="background1" w:val="clear"/>
          </w:tcPr>
          <w:p>
            <w:pPr>
              <w:pStyle w:val="Normal"/>
              <w:widowControl w:val="false"/>
              <w:tabs>
                <w:tab w:val="clear" w:pos="720"/>
                <w:tab w:val="left" w:pos="2160" w:leader="none"/>
              </w:tabs>
              <w:rPr>
                <w:highlight w:val="none"/>
                <w:shd w:fill="FFFFFF" w:val="clear"/>
              </w:rPr>
            </w:pPr>
            <w:r>
              <w:rPr>
                <w:shd w:fill="FFFFFF" w:val="clear"/>
              </w:rPr>
            </w:r>
          </w:p>
          <w:p>
            <w:pPr>
              <w:pStyle w:val="Normal"/>
              <w:widowControl w:val="false"/>
              <w:tabs>
                <w:tab w:val="clear" w:pos="720"/>
                <w:tab w:val="left" w:pos="2160" w:leader="none"/>
              </w:tabs>
              <w:rPr>
                <w:sz w:val="22"/>
                <w:szCs w:val="22"/>
                <w:highlight w:val="none"/>
                <w:shd w:fill="FFFFFF" w:val="clear"/>
              </w:rPr>
            </w:pPr>
            <w:r>
              <w:rPr>
                <w:sz w:val="22"/>
                <w:szCs w:val="22"/>
                <w:shd w:fill="FFFFFF" w:val="clear"/>
              </w:rPr>
            </w:r>
          </w:p>
          <w:p>
            <w:pPr>
              <w:pStyle w:val="Normal"/>
              <w:widowControl w:val="false"/>
              <w:tabs>
                <w:tab w:val="clear" w:pos="720"/>
                <w:tab w:val="left" w:pos="2160" w:leader="none"/>
              </w:tabs>
              <w:rPr>
                <w:sz w:val="22"/>
                <w:szCs w:val="22"/>
                <w:highlight w:val="none"/>
                <w:shd w:fill="FFFFFF" w:val="clear"/>
              </w:rPr>
            </w:pPr>
            <w:r>
              <w:rPr>
                <w:sz w:val="22"/>
                <w:szCs w:val="22"/>
                <w:shd w:fill="FFFFFF" w:val="clear"/>
              </w:rPr>
            </w:r>
          </w:p>
          <w:p>
            <w:pPr>
              <w:pStyle w:val="Normal"/>
              <w:widowControl w:val="false"/>
              <w:tabs>
                <w:tab w:val="clear" w:pos="720"/>
                <w:tab w:val="left" w:pos="2160" w:leader="none"/>
              </w:tabs>
              <w:rPr>
                <w:sz w:val="22"/>
                <w:szCs w:val="22"/>
                <w:highlight w:val="none"/>
                <w:shd w:fill="FFFFFF" w:val="clear"/>
              </w:rPr>
            </w:pPr>
            <w:r>
              <w:rPr>
                <w:sz w:val="22"/>
                <w:szCs w:val="22"/>
                <w:shd w:fill="FFFFFF" w:val="clear"/>
              </w:rPr>
            </w:r>
          </w:p>
          <w:p>
            <w:pPr>
              <w:pStyle w:val="Normal"/>
              <w:widowControl w:val="false"/>
              <w:tabs>
                <w:tab w:val="clear" w:pos="720"/>
                <w:tab w:val="left" w:pos="2160" w:leader="none"/>
              </w:tabs>
              <w:rPr>
                <w:highlight w:val="none"/>
                <w:shd w:fill="FFFFFF" w:val="clear"/>
              </w:rPr>
            </w:pPr>
            <w:r>
              <w:rPr>
                <w:sz w:val="22"/>
                <w:szCs w:val="22"/>
                <w:shd w:fill="FFFFFF" w:val="clear"/>
              </w:rPr>
              <w:t>_____________________//</w:t>
            </w:r>
          </w:p>
          <w:p>
            <w:pPr>
              <w:pStyle w:val="Normal"/>
              <w:widowControl w:val="false"/>
              <w:tabs>
                <w:tab w:val="clear" w:pos="720"/>
                <w:tab w:val="left" w:pos="2160" w:leader="none"/>
              </w:tabs>
              <w:rPr>
                <w:highlight w:val="none"/>
                <w:shd w:fill="FFFFFF" w:val="clear"/>
              </w:rPr>
            </w:pPr>
            <w:r>
              <w:rPr>
                <w:sz w:val="22"/>
                <w:szCs w:val="22"/>
                <w:shd w:fill="FFFFFF" w:val="clear"/>
              </w:rPr>
              <w:t>м.п.</w:t>
            </w:r>
          </w:p>
          <w:p>
            <w:pPr>
              <w:pStyle w:val="Style20"/>
              <w:widowControl w:val="false"/>
              <w:spacing w:lineRule="auto" w:line="240" w:before="0" w:after="120"/>
              <w:ind w:firstLine="567"/>
              <w:jc w:val="left"/>
              <w:rPr>
                <w:rFonts w:ascii="Times New Roman" w:hAnsi="Times New Roman"/>
                <w:szCs w:val="22"/>
                <w:highlight w:val="none"/>
                <w:u w:val="single"/>
                <w:shd w:fill="FFFFFF" w:val="clear"/>
                <w:lang w:val="ru-RU"/>
              </w:rPr>
            </w:pPr>
            <w:r>
              <w:rPr>
                <w:rFonts w:ascii="Times New Roman" w:hAnsi="Times New Roman"/>
                <w:szCs w:val="22"/>
                <w:u w:val="single"/>
                <w:shd w:fill="FFFFFF" w:val="clear"/>
                <w:lang w:val="ru-RU"/>
              </w:rPr>
            </w:r>
          </w:p>
        </w:tc>
        <w:tc>
          <w:tcPr>
            <w:tcW w:w="4785" w:type="dxa"/>
            <w:tcBorders/>
            <w:shd w:color="auto" w:fill="FFFFFF" w:themeFill="background1" w:val="clear"/>
          </w:tcPr>
          <w:p>
            <w:pPr>
              <w:pStyle w:val="Style23"/>
              <w:widowControl w:val="false"/>
              <w:spacing w:before="40" w:after="40"/>
              <w:ind w:left="0" w:right="57" w:hanging="0"/>
              <w:rPr>
                <w:sz w:val="22"/>
                <w:szCs w:val="22"/>
                <w:highlight w:val="none"/>
                <w:shd w:fill="FFFFFF" w:val="clear"/>
              </w:rPr>
            </w:pPr>
            <w:r>
              <w:rPr>
                <w:sz w:val="22"/>
                <w:szCs w:val="22"/>
                <w:shd w:fill="FFFFFF" w:val="clear"/>
              </w:rPr>
            </w:r>
          </w:p>
          <w:p>
            <w:pPr>
              <w:pStyle w:val="Style23"/>
              <w:widowControl w:val="false"/>
              <w:ind w:left="0" w:right="57" w:hanging="0"/>
              <w:rPr>
                <w:sz w:val="22"/>
                <w:szCs w:val="22"/>
                <w:highlight w:val="none"/>
                <w:shd w:fill="FFFFFF" w:val="clear"/>
              </w:rPr>
            </w:pPr>
            <w:r>
              <w:rPr>
                <w:sz w:val="22"/>
                <w:szCs w:val="22"/>
                <w:shd w:fill="FFFFFF" w:val="clear"/>
              </w:rPr>
            </w:r>
          </w:p>
          <w:p>
            <w:pPr>
              <w:pStyle w:val="Style23"/>
              <w:widowControl w:val="false"/>
              <w:ind w:left="0" w:right="57" w:hanging="0"/>
              <w:rPr>
                <w:sz w:val="22"/>
                <w:szCs w:val="22"/>
                <w:highlight w:val="none"/>
                <w:shd w:fill="FFFFFF" w:val="clear"/>
              </w:rPr>
            </w:pPr>
            <w:r>
              <w:rPr>
                <w:sz w:val="22"/>
                <w:szCs w:val="22"/>
                <w:shd w:fill="FFFFFF" w:val="clear"/>
              </w:rPr>
            </w:r>
          </w:p>
          <w:p>
            <w:pPr>
              <w:pStyle w:val="Style23"/>
              <w:widowControl w:val="false"/>
              <w:rPr>
                <w:highlight w:val="none"/>
                <w:shd w:fill="FFFFFF" w:val="clear"/>
              </w:rPr>
            </w:pPr>
            <w:r>
              <w:rPr>
                <w:sz w:val="22"/>
                <w:szCs w:val="22"/>
                <w:shd w:fill="FFFFFF" w:val="clear"/>
              </w:rPr>
              <w:t>_____________________//</w:t>
            </w:r>
          </w:p>
          <w:p>
            <w:pPr>
              <w:pStyle w:val="Style23"/>
              <w:widowControl w:val="false"/>
              <w:spacing w:before="40" w:after="40"/>
              <w:ind w:left="0" w:right="57" w:hanging="0"/>
              <w:rPr>
                <w:highlight w:val="none"/>
                <w:shd w:fill="FFFFFF" w:val="clear"/>
              </w:rPr>
            </w:pPr>
            <w:r>
              <w:rPr>
                <w:sz w:val="22"/>
                <w:szCs w:val="22"/>
                <w:shd w:fill="FFFFFF" w:val="clear"/>
              </w:rPr>
              <w:t>м.п..</w:t>
            </w:r>
          </w:p>
        </w:tc>
      </w:tr>
    </w:tbl>
    <w:p>
      <w:pPr>
        <w:sectPr>
          <w:headerReference w:type="default" r:id="rId5"/>
          <w:footerReference w:type="even" r:id="rId6"/>
          <w:footerReference w:type="default" r:id="rId7"/>
          <w:footerReference w:type="first" r:id="rId8"/>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ind w:firstLine="567"/>
        <w:jc w:val="right"/>
        <w:rPr>
          <w:highlight w:val="none"/>
          <w:shd w:fill="FFFFFF" w:val="clear"/>
        </w:rPr>
      </w:pPr>
      <w:r>
        <w:rPr>
          <w:bCs/>
          <w:sz w:val="24"/>
          <w:szCs w:val="24"/>
          <w:shd w:fill="FFFFFF" w:val="clear"/>
        </w:rPr>
        <w:t>Приложение № 1</w:t>
      </w:r>
    </w:p>
    <w:p>
      <w:pPr>
        <w:pStyle w:val="BodyText"/>
        <w:ind w:firstLine="567"/>
        <w:jc w:val="right"/>
        <w:rPr>
          <w:highlight w:val="none"/>
          <w:shd w:fill="FFFFFF" w:val="clear"/>
        </w:rPr>
      </w:pPr>
      <w:r>
        <w:rPr>
          <w:bCs/>
          <w:sz w:val="24"/>
          <w:szCs w:val="24"/>
          <w:shd w:fill="FFFFFF" w:val="clear"/>
        </w:rPr>
        <w:t xml:space="preserve">к договору поставки </w:t>
      </w:r>
    </w:p>
    <w:p>
      <w:pPr>
        <w:pStyle w:val="BodyText"/>
        <w:ind w:firstLine="567"/>
        <w:jc w:val="right"/>
        <w:rPr>
          <w:highlight w:val="none"/>
          <w:shd w:fill="FFFFFF" w:val="clear"/>
        </w:rPr>
      </w:pPr>
      <w:r>
        <w:rPr>
          <w:bCs/>
          <w:sz w:val="24"/>
          <w:szCs w:val="24"/>
          <w:shd w:fill="FFFFFF" w:val="clear"/>
        </w:rPr>
        <w:t>№</w:t>
      </w:r>
    </w:p>
    <w:p>
      <w:pPr>
        <w:pStyle w:val="BodyText"/>
        <w:ind w:firstLine="567"/>
        <w:jc w:val="right"/>
        <w:rPr>
          <w:bCs/>
          <w:sz w:val="24"/>
          <w:szCs w:val="24"/>
          <w:highlight w:val="none"/>
          <w:shd w:fill="FFFFFF" w:val="clear"/>
        </w:rPr>
      </w:pPr>
      <w:r>
        <w:rPr>
          <w:bCs/>
          <w:sz w:val="24"/>
          <w:szCs w:val="24"/>
          <w:shd w:fill="FFFFFF" w:val="clear"/>
        </w:rPr>
      </w:r>
    </w:p>
    <w:p>
      <w:pPr>
        <w:pStyle w:val="Normal"/>
        <w:numPr>
          <w:ilvl w:val="0"/>
          <w:numId w:val="0"/>
        </w:numPr>
        <w:spacing w:before="0" w:after="120"/>
        <w:ind w:left="0" w:firstLine="567"/>
        <w:jc w:val="center"/>
        <w:outlineLvl w:val="0"/>
        <w:rPr>
          <w:highlight w:val="none"/>
          <w:shd w:fill="FFFFFF" w:val="clear"/>
        </w:rPr>
      </w:pPr>
      <w:r>
        <w:rPr>
          <w:b/>
          <w:sz w:val="24"/>
          <w:szCs w:val="24"/>
          <w:shd w:fill="FFFFFF" w:val="clear"/>
        </w:rPr>
        <w:t>Спецификация №1</w:t>
      </w:r>
    </w:p>
    <w:tbl>
      <w:tblPr>
        <w:tblW w:w="10350" w:type="dxa"/>
        <w:jc w:val="left"/>
        <w:tblInd w:w="-411" w:type="dxa"/>
        <w:tblLayout w:type="fixed"/>
        <w:tblCellMar>
          <w:top w:w="0" w:type="dxa"/>
          <w:left w:w="5" w:type="dxa"/>
          <w:bottom w:w="0" w:type="dxa"/>
          <w:right w:w="5" w:type="dxa"/>
        </w:tblCellMar>
        <w:tblLook w:val="04a0"/>
      </w:tblPr>
      <w:tblGrid>
        <w:gridCol w:w="568"/>
        <w:gridCol w:w="3118"/>
        <w:gridCol w:w="2269"/>
        <w:gridCol w:w="851"/>
        <w:gridCol w:w="711"/>
        <w:gridCol w:w="1276"/>
        <w:gridCol w:w="1556"/>
      </w:tblGrid>
      <w:tr>
        <w:trPr>
          <w:trHeight w:val="1455" w:hRule="atLeast"/>
        </w:trPr>
        <w:tc>
          <w:tcPr>
            <w:tcW w:w="5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bCs/>
                <w:sz w:val="24"/>
                <w:szCs w:val="24"/>
                <w:shd w:fill="FFFFFF" w:val="clear"/>
              </w:rPr>
              <w:t>Поз. №</w:t>
            </w:r>
          </w:p>
        </w:tc>
        <w:tc>
          <w:tcPr>
            <w:tcW w:w="31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bCs/>
                <w:sz w:val="24"/>
                <w:szCs w:val="24"/>
                <w:shd w:fill="FFFFFF" w:val="clear"/>
              </w:rPr>
              <w:t>Наименование</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sz w:val="24"/>
                <w:szCs w:val="24"/>
                <w:highlight w:val="none"/>
                <w:shd w:fill="FFFFFF" w:val="clear"/>
              </w:rPr>
            </w:pPr>
            <w:r>
              <w:rPr>
                <w:rFonts w:eastAsia="Calibri"/>
                <w:sz w:val="24"/>
                <w:szCs w:val="24"/>
                <w:shd w:fill="FFFFFF" w:val="clear"/>
              </w:rPr>
            </w:r>
          </w:p>
          <w:p>
            <w:pPr>
              <w:pStyle w:val="Normal"/>
              <w:widowControl w:val="false"/>
              <w:jc w:val="center"/>
              <w:rPr>
                <w:highlight w:val="none"/>
                <w:shd w:fill="FFFFFF" w:val="clear"/>
              </w:rPr>
            </w:pPr>
            <w:r>
              <w:rPr>
                <w:rFonts w:eastAsia="Calibri"/>
                <w:sz w:val="24"/>
                <w:szCs w:val="24"/>
                <w:shd w:fill="FFFFFF" w:val="clear"/>
              </w:rPr>
              <w:t>Страна происхождения</w:t>
            </w:r>
          </w:p>
          <w:p>
            <w:pPr>
              <w:pStyle w:val="Normal"/>
              <w:widowControl w:val="false"/>
              <w:jc w:val="center"/>
              <w:rPr>
                <w:rFonts w:eastAsia="Calibri"/>
                <w:sz w:val="24"/>
                <w:szCs w:val="24"/>
                <w:highlight w:val="none"/>
                <w:shd w:fill="FFFFFF" w:val="clear"/>
                <w:lang w:eastAsia="en-US"/>
              </w:rPr>
            </w:pPr>
            <w:r>
              <w:rPr>
                <w:rFonts w:eastAsia="Calibri"/>
                <w:sz w:val="24"/>
                <w:szCs w:val="24"/>
                <w:shd w:fill="FFFFFF" w:val="clear"/>
                <w:lang w:eastAsia="en-US"/>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bCs/>
                <w:sz w:val="24"/>
                <w:szCs w:val="24"/>
                <w:shd w:fill="FFFFFF" w:val="clear"/>
              </w:rPr>
              <w:t>Ед. изм.</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bCs/>
                <w:sz w:val="24"/>
                <w:szCs w:val="24"/>
                <w:shd w:fill="FFFFFF" w:val="clear"/>
              </w:rPr>
              <w:t>Количество</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bCs/>
                <w:sz w:val="24"/>
                <w:szCs w:val="24"/>
                <w:shd w:fill="FFFFFF" w:val="clear"/>
              </w:rPr>
              <w:t>Цена  за единицу (руб., с НДС 20%)</w:t>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bCs/>
                <w:sz w:val="24"/>
                <w:szCs w:val="24"/>
                <w:shd w:fill="FFFFFF" w:val="clear"/>
              </w:rPr>
              <w:t>Сумма (руб., с НДС 20%)</w:t>
            </w:r>
          </w:p>
        </w:tc>
      </w:tr>
      <w:tr>
        <w:trPr/>
        <w:tc>
          <w:tcPr>
            <w:tcW w:w="5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FFFFFF" w:val="clear"/>
              </w:rPr>
            </w:pPr>
            <w:r>
              <w:rPr>
                <w:rFonts w:eastAsia="Calibri"/>
                <w:b/>
                <w:sz w:val="24"/>
                <w:szCs w:val="24"/>
                <w:shd w:fill="FFFFFF" w:val="clear"/>
              </w:rPr>
              <w:t>1</w:t>
            </w:r>
          </w:p>
        </w:tc>
        <w:tc>
          <w:tcPr>
            <w:tcW w:w="31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rFonts w:eastAsia="Calibri"/>
                <w:b/>
                <w:sz w:val="24"/>
                <w:szCs w:val="24"/>
                <w:shd w:fill="FFFFFF" w:val="clear"/>
              </w:rPr>
              <w:t>2</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FFFFFF" w:val="clear"/>
              </w:rPr>
            </w:pPr>
            <w:r>
              <w:rPr>
                <w:rFonts w:eastAsia="DotumChe"/>
                <w:b/>
                <w:sz w:val="24"/>
                <w:szCs w:val="24"/>
                <w:shd w:fill="FFFFFF" w:val="clear"/>
              </w:rPr>
              <w:t>3</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rFonts w:eastAsia="DotumChe"/>
                <w:b/>
                <w:sz w:val="24"/>
                <w:szCs w:val="24"/>
                <w:shd w:fill="FFFFFF" w:val="clear"/>
              </w:rPr>
              <w:t>4</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rFonts w:eastAsia="DotumChe"/>
                <w:b/>
                <w:sz w:val="24"/>
                <w:szCs w:val="24"/>
                <w:shd w:fill="FFFFFF" w:val="clear"/>
              </w:rPr>
              <w:t>5</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rFonts w:eastAsia="DotumChe"/>
                <w:b/>
                <w:sz w:val="24"/>
                <w:szCs w:val="24"/>
                <w:shd w:fill="FFFFFF" w:val="clear"/>
              </w:rPr>
              <w:t>6</w:t>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rFonts w:eastAsia="DotumChe"/>
                <w:b/>
                <w:sz w:val="24"/>
                <w:szCs w:val="24"/>
                <w:shd w:fill="FFFFFF" w:val="clear"/>
              </w:rPr>
              <w:t>7</w:t>
            </w:r>
          </w:p>
        </w:tc>
      </w:tr>
      <w:tr>
        <w:trPr>
          <w:trHeight w:val="275" w:hRule="atLeast"/>
        </w:trPr>
        <w:tc>
          <w:tcPr>
            <w:tcW w:w="5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0"/>
              </w:numPr>
              <w:spacing w:before="0" w:after="0"/>
              <w:ind w:left="0" w:hanging="0"/>
              <w:contextualSpacing/>
              <w:rPr>
                <w:rFonts w:eastAsia="Calibri"/>
                <w:sz w:val="24"/>
                <w:szCs w:val="24"/>
                <w:highlight w:val="none"/>
                <w:shd w:fill="FFFFFF" w:val="clear"/>
                <w:lang w:eastAsia="en-US"/>
              </w:rPr>
            </w:pPr>
            <w:r>
              <w:rPr>
                <w:rFonts w:eastAsia="Calibri"/>
                <w:sz w:val="24"/>
                <w:szCs w:val="24"/>
                <w:shd w:fill="FFFFFF" w:val="clear"/>
                <w:lang w:eastAsia="en-US"/>
              </w:rPr>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highlight w:val="none"/>
                <w:shd w:fill="FFFFFF" w:val="clear"/>
              </w:rPr>
            </w:pPr>
            <w:r>
              <w:rPr>
                <w:sz w:val="24"/>
                <w:szCs w:val="24"/>
                <w:shd w:fill="FFFFFF" w:val="clear"/>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highlight w:val="none"/>
                <w:shd w:fill="FFFFFF" w:val="clear"/>
              </w:rPr>
            </w:pPr>
            <w:r>
              <w:rPr>
                <w:sz w:val="24"/>
                <w:szCs w:val="24"/>
                <w:shd w:fill="FFFFFF" w:val="clear"/>
              </w:rPr>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FFFFFF" w:val="clear"/>
              </w:rPr>
            </w:pPr>
            <w:r>
              <w:rPr>
                <w:sz w:val="24"/>
                <w:szCs w:val="24"/>
                <w:shd w:fill="FFFFFF" w:val="clear"/>
              </w:rPr>
              <w:t>шт</w:t>
            </w:r>
          </w:p>
        </w:tc>
        <w:tc>
          <w:tcPr>
            <w:tcW w:w="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highlight w:val="none"/>
                <w:shd w:fill="FFFFFF" w:val="clear"/>
              </w:rPr>
            </w:pPr>
            <w:r>
              <w:rPr>
                <w:sz w:val="24"/>
                <w:szCs w:val="24"/>
                <w:shd w:fill="FFFFFF" w:val="clear"/>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highlight w:val="none"/>
                <w:shd w:fill="FFFFFF" w:val="clear"/>
              </w:rPr>
            </w:pPr>
            <w:r>
              <w:rPr>
                <w:sz w:val="24"/>
                <w:szCs w:val="24"/>
                <w:shd w:fill="FFFFFF" w:val="clear"/>
              </w:rPr>
            </w:r>
          </w:p>
        </w:tc>
        <w:tc>
          <w:tcPr>
            <w:tcW w:w="15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highlight w:val="none"/>
                <w:shd w:fill="FFFFFF" w:val="clear"/>
              </w:rPr>
            </w:pPr>
            <w:r>
              <w:rPr>
                <w:sz w:val="24"/>
                <w:szCs w:val="24"/>
                <w:shd w:fill="FFFFFF" w:val="clear"/>
              </w:rPr>
            </w:r>
          </w:p>
        </w:tc>
      </w:tr>
      <w:tr>
        <w:trPr>
          <w:trHeight w:val="218" w:hRule="atLeast"/>
        </w:trPr>
        <w:tc>
          <w:tcPr>
            <w:tcW w:w="8793"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highlight w:val="none"/>
                <w:shd w:fill="FFFFFF" w:val="clear"/>
              </w:rPr>
            </w:pPr>
            <w:r>
              <w:rPr>
                <w:b/>
                <w:sz w:val="24"/>
                <w:szCs w:val="24"/>
                <w:shd w:fill="FFFFFF" w:val="clear"/>
              </w:rPr>
              <w:t>ИТОГО без НДС</w:t>
            </w:r>
          </w:p>
        </w:tc>
        <w:tc>
          <w:tcPr>
            <w:tcW w:w="15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highlight w:val="none"/>
                <w:shd w:fill="FFFFFF" w:val="clear"/>
              </w:rPr>
            </w:pPr>
            <w:r>
              <w:rPr>
                <w:b/>
                <w:sz w:val="24"/>
                <w:szCs w:val="24"/>
                <w:shd w:fill="FFFFFF" w:val="clear"/>
              </w:rPr>
            </w:r>
          </w:p>
        </w:tc>
      </w:tr>
      <w:tr>
        <w:trPr>
          <w:trHeight w:val="218" w:hRule="atLeast"/>
        </w:trPr>
        <w:tc>
          <w:tcPr>
            <w:tcW w:w="8793"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highlight w:val="none"/>
                <w:shd w:fill="FFFFFF" w:val="clear"/>
              </w:rPr>
            </w:pPr>
            <w:r>
              <w:rPr>
                <w:rFonts w:eastAsia="Calibri"/>
                <w:b/>
                <w:color w:val="000000"/>
                <w:sz w:val="24"/>
                <w:szCs w:val="24"/>
                <w:shd w:fill="FFFFFF" w:val="clear"/>
                <w:lang w:eastAsia="en-US"/>
              </w:rPr>
              <w:t>НДС 2</w:t>
            </w:r>
            <w:r>
              <w:rPr>
                <w:rFonts w:eastAsia="Calibri"/>
                <w:b/>
                <w:color w:val="000000"/>
                <w:sz w:val="24"/>
                <w:szCs w:val="24"/>
                <w:shd w:fill="FFFFFF" w:val="clear"/>
                <w:lang w:eastAsia="en-US"/>
              </w:rPr>
              <w:t>2</w:t>
            </w:r>
            <w:r>
              <w:rPr>
                <w:rFonts w:eastAsia="Calibri"/>
                <w:b/>
                <w:color w:val="000000"/>
                <w:sz w:val="24"/>
                <w:szCs w:val="24"/>
                <w:shd w:fill="FFFFFF" w:val="clear"/>
                <w:lang w:eastAsia="en-US"/>
              </w:rPr>
              <w:t xml:space="preserve"> %</w:t>
            </w:r>
          </w:p>
        </w:tc>
        <w:tc>
          <w:tcPr>
            <w:tcW w:w="15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highlight w:val="none"/>
                <w:shd w:fill="FFFFFF" w:val="clear"/>
              </w:rPr>
            </w:pPr>
            <w:r>
              <w:rPr>
                <w:b/>
                <w:sz w:val="24"/>
                <w:szCs w:val="24"/>
                <w:shd w:fill="FFFFFF" w:val="clear"/>
              </w:rPr>
            </w:r>
          </w:p>
        </w:tc>
      </w:tr>
      <w:tr>
        <w:trPr/>
        <w:tc>
          <w:tcPr>
            <w:tcW w:w="8793"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right"/>
              <w:rPr>
                <w:highlight w:val="none"/>
                <w:shd w:fill="FFFFFF" w:val="clear"/>
              </w:rPr>
            </w:pPr>
            <w:r>
              <w:rPr>
                <w:rFonts w:eastAsia="Calibri"/>
                <w:b/>
                <w:sz w:val="24"/>
                <w:szCs w:val="24"/>
                <w:shd w:fill="FFFFFF" w:val="clear"/>
                <w:lang w:eastAsia="en-US"/>
              </w:rPr>
              <w:t>Сумма с НДС</w:t>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000000"/>
                <w:sz w:val="24"/>
                <w:szCs w:val="24"/>
                <w:highlight w:val="none"/>
                <w:shd w:fill="FFFFFF" w:val="clear"/>
                <w:lang w:eastAsia="en-US"/>
              </w:rPr>
            </w:pPr>
            <w:r>
              <w:rPr>
                <w:b/>
                <w:color w:val="000000"/>
                <w:sz w:val="24"/>
                <w:szCs w:val="24"/>
                <w:shd w:fill="FFFFFF" w:val="clear"/>
                <w:lang w:eastAsia="en-US"/>
              </w:rPr>
            </w:r>
          </w:p>
        </w:tc>
      </w:tr>
    </w:tbl>
    <w:p>
      <w:pPr>
        <w:pStyle w:val="BodyText"/>
        <w:spacing w:before="0" w:after="120"/>
        <w:rPr>
          <w:b/>
          <w:bCs/>
          <w:i/>
          <w:i/>
          <w:sz w:val="24"/>
          <w:szCs w:val="24"/>
          <w:highlight w:val="none"/>
          <w:shd w:fill="FFFFFF" w:val="clear"/>
        </w:rPr>
      </w:pPr>
      <w:r>
        <w:rPr>
          <w:b/>
          <w:bCs/>
          <w:i/>
          <w:sz w:val="24"/>
          <w:szCs w:val="24"/>
          <w:shd w:fill="FFFFFF" w:val="clear"/>
        </w:rPr>
      </w:r>
    </w:p>
    <w:p>
      <w:pPr>
        <w:pStyle w:val="BodyText"/>
        <w:spacing w:before="0" w:after="120"/>
        <w:ind w:firstLine="567"/>
        <w:rPr>
          <w:highlight w:val="none"/>
          <w:shd w:fill="FFFFFF" w:val="clear"/>
        </w:rPr>
      </w:pPr>
      <w:r>
        <w:rPr>
          <w:b/>
          <w:bCs/>
          <w:i/>
          <w:sz w:val="24"/>
          <w:szCs w:val="24"/>
          <w:shd w:fill="FFFFFF" w:val="clear"/>
        </w:rPr>
        <w:t>Условия поставки:</w:t>
      </w:r>
    </w:p>
    <w:p>
      <w:pPr>
        <w:pStyle w:val="Normal"/>
        <w:widowControl w:val="false"/>
        <w:numPr>
          <w:ilvl w:val="0"/>
          <w:numId w:val="21"/>
        </w:numPr>
        <w:tabs>
          <w:tab w:val="left" w:pos="720" w:leader="none"/>
        </w:tabs>
        <w:spacing w:before="0" w:after="120"/>
        <w:ind w:left="0" w:firstLine="284"/>
        <w:jc w:val="both"/>
        <w:rPr>
          <w:highlight w:val="none"/>
          <w:shd w:fill="FFFFFF" w:val="clear"/>
        </w:rPr>
      </w:pPr>
      <w:r>
        <w:rPr>
          <w:b/>
          <w:sz w:val="24"/>
          <w:szCs w:val="24"/>
          <w:shd w:fill="FFFFFF" w:val="clear"/>
        </w:rPr>
        <w:t>_________________ рублей 00 копеек, включая НДС (2</w:t>
      </w:r>
      <w:r>
        <w:rPr>
          <w:b/>
          <w:sz w:val="24"/>
          <w:szCs w:val="24"/>
          <w:shd w:fill="FFFFFF" w:val="clear"/>
        </w:rPr>
        <w:t>2</w:t>
      </w:r>
      <w:r>
        <w:rPr>
          <w:b/>
          <w:sz w:val="24"/>
          <w:szCs w:val="24"/>
          <w:shd w:fill="FFFFFF" w:val="clear"/>
        </w:rPr>
        <w:t>%) в сумме_______________________ рубля ____ копейки.</w:t>
      </w:r>
    </w:p>
    <w:p>
      <w:pPr>
        <w:pStyle w:val="Normal"/>
        <w:widowControl w:val="false"/>
        <w:numPr>
          <w:ilvl w:val="0"/>
          <w:numId w:val="22"/>
        </w:numPr>
        <w:tabs>
          <w:tab w:val="left" w:pos="720" w:leader="none"/>
        </w:tabs>
        <w:spacing w:lineRule="auto" w:line="288"/>
        <w:ind w:left="0" w:firstLine="284"/>
        <w:jc w:val="both"/>
        <w:rPr>
          <w:highlight w:val="none"/>
          <w:shd w:fill="FFFFFF" w:val="clear"/>
        </w:rPr>
      </w:pPr>
      <w:r>
        <w:rPr>
          <w:sz w:val="24"/>
          <w:szCs w:val="24"/>
          <w:shd w:fill="FFFFFF" w:val="clear"/>
        </w:rPr>
        <w:t>Наличие паспортов, сертификатов качества.</w:t>
      </w:r>
    </w:p>
    <w:p>
      <w:pPr>
        <w:pStyle w:val="Normal"/>
        <w:widowControl w:val="false"/>
        <w:numPr>
          <w:ilvl w:val="0"/>
          <w:numId w:val="23"/>
        </w:numPr>
        <w:tabs>
          <w:tab w:val="left" w:pos="720" w:leader="none"/>
        </w:tabs>
        <w:spacing w:lineRule="auto" w:line="288"/>
        <w:ind w:left="0" w:firstLine="284"/>
        <w:jc w:val="both"/>
        <w:rPr>
          <w:highlight w:val="none"/>
          <w:shd w:fill="FFFFFF" w:val="clear"/>
        </w:rPr>
      </w:pPr>
      <w:r>
        <w:rPr>
          <w:sz w:val="24"/>
          <w:szCs w:val="24"/>
          <w:shd w:fill="FFFFFF" w:val="clear"/>
        </w:rPr>
        <w:t>Срок поставки Продукции по договору: в течение 30 рабочих дней с даты подписания договора</w:t>
      </w:r>
      <w:r>
        <w:rPr>
          <w:rFonts w:eastAsia="Calibri"/>
          <w:sz w:val="24"/>
          <w:szCs w:val="24"/>
          <w:shd w:fill="FFFFFF" w:val="clear"/>
        </w:rPr>
        <w:t>.</w:t>
      </w:r>
    </w:p>
    <w:p>
      <w:pPr>
        <w:pStyle w:val="Normal"/>
        <w:widowControl w:val="false"/>
        <w:numPr>
          <w:ilvl w:val="0"/>
          <w:numId w:val="24"/>
        </w:numPr>
        <w:tabs>
          <w:tab w:val="left" w:pos="720" w:leader="none"/>
        </w:tabs>
        <w:spacing w:lineRule="auto" w:line="288"/>
        <w:ind w:left="0" w:firstLine="284"/>
        <w:jc w:val="both"/>
        <w:rPr>
          <w:highlight w:val="none"/>
          <w:shd w:fill="FFFFFF" w:val="clear"/>
        </w:rPr>
      </w:pPr>
      <w:r>
        <w:rPr>
          <w:sz w:val="24"/>
          <w:szCs w:val="24"/>
          <w:shd w:fill="FFFFFF" w:val="clear"/>
        </w:rPr>
        <w:t>Иные условия, предусмотренные техническими требованиями.</w:t>
      </w:r>
    </w:p>
    <w:p>
      <w:pPr>
        <w:pStyle w:val="Normal"/>
        <w:widowControl w:val="false"/>
        <w:spacing w:lineRule="auto" w:line="288"/>
        <w:jc w:val="both"/>
        <w:rPr>
          <w:sz w:val="24"/>
          <w:szCs w:val="24"/>
          <w:highlight w:val="none"/>
          <w:shd w:fill="FFFFFF" w:val="clear"/>
        </w:rPr>
      </w:pPr>
      <w:r>
        <w:rPr>
          <w:sz w:val="24"/>
          <w:szCs w:val="24"/>
          <w:shd w:fill="FFFFFF"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tblPr>
      <w:tblGrid>
        <w:gridCol w:w="4785"/>
        <w:gridCol w:w="4785"/>
      </w:tblGrid>
      <w:tr>
        <w:trPr/>
        <w:tc>
          <w:tcPr>
            <w:tcW w:w="4785" w:type="dxa"/>
            <w:tcBorders/>
            <w:shd w:color="auto" w:fill="FFFFFF" w:themeFill="background1" w:val="clear"/>
          </w:tcPr>
          <w:p>
            <w:pPr>
              <w:pStyle w:val="Style20"/>
              <w:widowControl w:val="false"/>
              <w:spacing w:lineRule="auto" w:line="240" w:before="0" w:after="120"/>
              <w:ind w:firstLine="567"/>
              <w:jc w:val="left"/>
              <w:rPr>
                <w:highlight w:val="none"/>
                <w:shd w:fill="FFFFFF" w:val="clear"/>
              </w:rPr>
            </w:pPr>
            <w:r>
              <w:rPr>
                <w:rFonts w:ascii="Times New Roman" w:hAnsi="Times New Roman"/>
                <w:b/>
                <w:szCs w:val="24"/>
                <w:u w:val="single"/>
                <w:shd w:fill="FFFFFF" w:val="clear"/>
                <w:lang w:val="ru-RU"/>
              </w:rPr>
              <w:t>Покупатель:</w:t>
            </w:r>
          </w:p>
          <w:p>
            <w:pPr>
              <w:pStyle w:val="Normal"/>
              <w:widowControl w:val="false"/>
              <w:tabs>
                <w:tab w:val="clear" w:pos="720"/>
                <w:tab w:val="left" w:pos="2160" w:leader="none"/>
              </w:tabs>
              <w:rPr>
                <w:highlight w:val="none"/>
                <w:shd w:fill="FFFFFF" w:val="clear"/>
              </w:rPr>
            </w:pPr>
            <w:r>
              <w:rPr>
                <w:shd w:fill="FFFFFF" w:val="clear"/>
              </w:rPr>
            </w:r>
          </w:p>
          <w:p>
            <w:pPr>
              <w:pStyle w:val="Normal"/>
              <w:widowControl w:val="false"/>
              <w:tabs>
                <w:tab w:val="clear" w:pos="720"/>
                <w:tab w:val="left" w:pos="2160" w:leader="none"/>
              </w:tabs>
              <w:rPr>
                <w:sz w:val="22"/>
                <w:szCs w:val="24"/>
                <w:highlight w:val="none"/>
                <w:shd w:fill="FFFFFF" w:val="clear"/>
              </w:rPr>
            </w:pPr>
            <w:r>
              <w:rPr>
                <w:sz w:val="22"/>
                <w:szCs w:val="24"/>
                <w:shd w:fill="FFFFFF" w:val="clear"/>
              </w:rPr>
            </w:r>
          </w:p>
          <w:p>
            <w:pPr>
              <w:pStyle w:val="Normal"/>
              <w:widowControl w:val="false"/>
              <w:tabs>
                <w:tab w:val="clear" w:pos="720"/>
                <w:tab w:val="left" w:pos="2160" w:leader="none"/>
              </w:tabs>
              <w:rPr>
                <w:sz w:val="22"/>
                <w:szCs w:val="24"/>
                <w:highlight w:val="none"/>
                <w:shd w:fill="FFFFFF" w:val="clear"/>
              </w:rPr>
            </w:pPr>
            <w:r>
              <w:rPr>
                <w:sz w:val="22"/>
                <w:szCs w:val="24"/>
                <w:shd w:fill="FFFFFF" w:val="clear"/>
              </w:rPr>
            </w:r>
          </w:p>
          <w:p>
            <w:pPr>
              <w:pStyle w:val="Normal"/>
              <w:widowControl w:val="false"/>
              <w:tabs>
                <w:tab w:val="clear" w:pos="720"/>
                <w:tab w:val="left" w:pos="2160" w:leader="none"/>
              </w:tabs>
              <w:rPr>
                <w:sz w:val="22"/>
                <w:szCs w:val="24"/>
                <w:highlight w:val="none"/>
                <w:shd w:fill="FFFFFF" w:val="clear"/>
              </w:rPr>
            </w:pPr>
            <w:r>
              <w:rPr>
                <w:sz w:val="22"/>
                <w:szCs w:val="24"/>
                <w:shd w:fill="FFFFFF" w:val="clear"/>
              </w:rPr>
            </w:r>
          </w:p>
          <w:p>
            <w:pPr>
              <w:pStyle w:val="Normal"/>
              <w:widowControl w:val="false"/>
              <w:tabs>
                <w:tab w:val="clear" w:pos="720"/>
                <w:tab w:val="left" w:pos="2160" w:leader="none"/>
              </w:tabs>
              <w:rPr>
                <w:highlight w:val="none"/>
                <w:shd w:fill="FFFFFF" w:val="clear"/>
              </w:rPr>
            </w:pPr>
            <w:r>
              <w:rPr>
                <w:sz w:val="22"/>
                <w:szCs w:val="24"/>
                <w:shd w:fill="FFFFFF" w:val="clear"/>
              </w:rPr>
              <w:t>_____________________//</w:t>
            </w:r>
          </w:p>
          <w:p>
            <w:pPr>
              <w:pStyle w:val="Normal"/>
              <w:widowControl w:val="false"/>
              <w:tabs>
                <w:tab w:val="clear" w:pos="720"/>
                <w:tab w:val="left" w:pos="2160" w:leader="none"/>
              </w:tabs>
              <w:rPr>
                <w:highlight w:val="none"/>
                <w:shd w:fill="FFFFFF" w:val="clear"/>
              </w:rPr>
            </w:pPr>
            <w:r>
              <w:rPr>
                <w:sz w:val="22"/>
                <w:szCs w:val="24"/>
                <w:shd w:fill="FFFFFF" w:val="clear"/>
              </w:rPr>
              <w:t>М.п.</w:t>
            </w:r>
          </w:p>
          <w:p>
            <w:pPr>
              <w:pStyle w:val="Style20"/>
              <w:widowControl w:val="false"/>
              <w:spacing w:lineRule="auto" w:line="240" w:before="0" w:after="120"/>
              <w:ind w:firstLine="567"/>
              <w:jc w:val="left"/>
              <w:rPr>
                <w:rFonts w:ascii="Times New Roman" w:hAnsi="Times New Roman"/>
                <w:szCs w:val="24"/>
                <w:highlight w:val="none"/>
                <w:u w:val="single"/>
                <w:shd w:fill="FFFFFF" w:val="clear"/>
                <w:lang w:val="ru-RU"/>
              </w:rPr>
            </w:pPr>
            <w:r>
              <w:rPr>
                <w:rFonts w:ascii="Times New Roman" w:hAnsi="Times New Roman"/>
                <w:szCs w:val="24"/>
                <w:u w:val="single"/>
                <w:shd w:fill="FFFFFF" w:val="clear"/>
                <w:lang w:val="ru-RU"/>
              </w:rPr>
            </w:r>
          </w:p>
        </w:tc>
        <w:tc>
          <w:tcPr>
            <w:tcW w:w="4785" w:type="dxa"/>
            <w:tcBorders/>
            <w:shd w:color="auto" w:fill="FFFFFF" w:themeFill="background1" w:val="clear"/>
          </w:tcPr>
          <w:p>
            <w:pPr>
              <w:pStyle w:val="Style20"/>
              <w:widowControl w:val="false"/>
              <w:spacing w:lineRule="auto" w:line="240" w:before="0" w:after="120"/>
              <w:ind w:firstLine="567"/>
              <w:jc w:val="left"/>
              <w:rPr>
                <w:highlight w:val="none"/>
                <w:shd w:fill="FFFFFF" w:val="clear"/>
              </w:rPr>
            </w:pPr>
            <w:r>
              <w:rPr>
                <w:rFonts w:ascii="Times New Roman" w:hAnsi="Times New Roman"/>
                <w:b/>
                <w:szCs w:val="24"/>
                <w:u w:val="single"/>
                <w:shd w:fill="FFFFFF" w:val="clear"/>
                <w:lang w:val="ru-RU"/>
              </w:rPr>
              <w:t>Поставщик:</w:t>
            </w:r>
          </w:p>
          <w:p>
            <w:pPr>
              <w:pStyle w:val="Style23"/>
              <w:widowControl w:val="false"/>
              <w:rPr>
                <w:sz w:val="22"/>
                <w:szCs w:val="22"/>
                <w:highlight w:val="none"/>
                <w:shd w:fill="FFFFFF" w:val="clear"/>
              </w:rPr>
            </w:pPr>
            <w:r>
              <w:rPr>
                <w:sz w:val="22"/>
                <w:szCs w:val="22"/>
                <w:shd w:fill="FFFFFF" w:val="clear"/>
              </w:rPr>
            </w:r>
          </w:p>
          <w:p>
            <w:pPr>
              <w:pStyle w:val="Style23"/>
              <w:widowControl w:val="false"/>
              <w:rPr>
                <w:sz w:val="22"/>
                <w:szCs w:val="22"/>
                <w:highlight w:val="none"/>
                <w:shd w:fill="FFFFFF" w:val="clear"/>
              </w:rPr>
            </w:pPr>
            <w:r>
              <w:rPr>
                <w:sz w:val="22"/>
                <w:szCs w:val="22"/>
                <w:shd w:fill="FFFFFF" w:val="clear"/>
              </w:rPr>
            </w:r>
          </w:p>
          <w:p>
            <w:pPr>
              <w:pStyle w:val="Style23"/>
              <w:widowControl w:val="false"/>
              <w:ind w:left="0" w:right="57" w:hanging="0"/>
              <w:rPr>
                <w:sz w:val="22"/>
                <w:szCs w:val="22"/>
                <w:highlight w:val="none"/>
                <w:shd w:fill="FFFFFF" w:val="clear"/>
              </w:rPr>
            </w:pPr>
            <w:r>
              <w:rPr>
                <w:sz w:val="22"/>
                <w:szCs w:val="22"/>
                <w:shd w:fill="FFFFFF" w:val="clear"/>
              </w:rPr>
            </w:r>
          </w:p>
          <w:p>
            <w:pPr>
              <w:pStyle w:val="Style23"/>
              <w:widowControl w:val="false"/>
              <w:rPr>
                <w:highlight w:val="none"/>
                <w:shd w:fill="FFFFFF" w:val="clear"/>
              </w:rPr>
            </w:pPr>
            <w:r>
              <w:rPr>
                <w:sz w:val="22"/>
                <w:szCs w:val="22"/>
                <w:shd w:fill="FFFFFF" w:val="clear"/>
              </w:rPr>
              <w:t>_____________________//</w:t>
            </w:r>
          </w:p>
          <w:p>
            <w:pPr>
              <w:pStyle w:val="Normal"/>
              <w:widowControl w:val="false"/>
              <w:tabs>
                <w:tab w:val="clear" w:pos="720"/>
                <w:tab w:val="left" w:pos="2160" w:leader="none"/>
              </w:tabs>
              <w:rPr>
                <w:highlight w:val="none"/>
                <w:shd w:fill="FFFFFF" w:val="clear"/>
              </w:rPr>
            </w:pPr>
            <w:r>
              <w:rPr>
                <w:sz w:val="22"/>
                <w:szCs w:val="22"/>
                <w:shd w:fill="FFFFFF" w:val="clear"/>
              </w:rPr>
              <w:t>м.п.</w:t>
            </w:r>
          </w:p>
        </w:tc>
      </w:tr>
    </w:tbl>
    <w:p>
      <w:pPr>
        <w:sectPr>
          <w:headerReference w:type="default" r:id="rId9"/>
          <w:headerReference w:type="first" r:id="rId10"/>
          <w:footerReference w:type="even" r:id="rId11"/>
          <w:footerReference w:type="default" r:id="rId12"/>
          <w:footerReference w:type="first" r:id="rId13"/>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hanging="0"/>
        <w:outlineLvl w:val="0"/>
        <w:rPr>
          <w:highlight w:val="none"/>
          <w:shd w:fill="FFFFFF" w:val="clear"/>
        </w:rPr>
      </w:pPr>
      <w:r>
        <w:rPr/>
      </w:r>
      <w:bookmarkStart w:id="4" w:name="_GoBack"/>
      <w:bookmarkStart w:id="5" w:name="_GoBack"/>
      <w:bookmarkEnd w:id="5"/>
    </w:p>
    <w:sectPr>
      <w:headerReference w:type="default" r:id="rId14"/>
      <w:headerReference w:type="first" r:id="rId15"/>
      <w:footerReference w:type="default" r:id="rId16"/>
      <w:footerReference w:type="first" r:id="rId17"/>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alibri">
    <w:charset w:val="01"/>
    <w:family w:val="roman"/>
    <w:pitch w:val="variable"/>
  </w:font>
  <w:font w:name="Arial Unicode MS">
    <w:charset w:val="01"/>
    <w:family w:val="roman"/>
    <w:pitch w:val="variable"/>
  </w:font>
  <w:font w:name="Cambria">
    <w:charset w:val="01"/>
    <w:family w:val="roman"/>
    <w:pitch w:val="variable"/>
  </w:font>
  <w:font w:name="Consolas">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3"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5" name="Врезка3"/>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7" name="Врезка3"/>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rPr>
    </w:pPr>
    <w:r>
      <w:fldChar w:fldCharType="begin"/>
    </w:r>
    <w:r>
      <w:rPr>
        <w:sz w:val="24"/>
      </w:rPr>
    </w:r>
    <w:r>
      <w:rPr>
        <w:sz w:val="24"/>
      </w:rPr>
    </w:r>
    <w:r>
      <w:rPr>
        <w:sz w:val="24"/>
      </w:rPr>
      <w:fldChar w:fldCharType="separate"/>
    </w:r>
    <w:r>
      <w:rPr>
        <w:sz w:val="24"/>
      </w:rPr>
    </w:r>
    <w:r>
      <w:rPr>
        <w:sz w:val="24"/>
      </w:rPr>
    </w:r>
    <w:r>
      <w:rPr>
        <w:sz w:val="24"/>
      </w:rPr>
      <w:fldChar w:fldCharType="end"/>
    </w:r>
    <w:sdt>
      <w:sdtPr>
        <w:id w:val="31405515"/>
      </w:sdtPr>
      <w:sdtContent>
        <w:r>
          <w:rPr>
            <w:sz w:val="24"/>
          </w:rPr>
        </w:r>
        <w:r>
          <w:rPr/>
          <w:t>PAGE   \* MERGEFORMAT19</w:t>
        </w:r>
      </w:sdtContent>
    </w:sdt>
  </w:p>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858"/>
        </w:tabs>
        <w:ind w:left="858"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305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14">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4"/>
    <w:lvlOverride w:ilvl="0">
      <w:startOverride w:val="1"/>
    </w:lvlOverride>
  </w:num>
  <w:num w:numId="21">
    <w:abstractNumId w:val="15"/>
    <w:lvlOverride w:ilvl="0">
      <w:startOverride w:val="1"/>
    </w:lvlOverride>
  </w:num>
  <w:num w:numId="22">
    <w:abstractNumId w:val="15"/>
  </w:num>
  <w:num w:numId="23">
    <w:abstractNumId w:val="15"/>
  </w:num>
  <w:num w:numId="24">
    <w:abstractNumId w:val="15"/>
  </w:num>
</w:numbering>
</file>

<file path=word/settings.xml><?xml version="1.0" encoding="utf-8"?>
<w:settings xmlns:w="http://schemas.openxmlformats.org/wordprocessingml/2006/main">
  <w:zoom w:percent="130"/>
  <w:embedSystemFonts/>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4" w:uiPriority="39"/>
    <w:lsdException w:name="footnote text" w:uiPriority="99"/>
    <w:lsdException w:name="annotation text" w:uiPriority="99" w:qFormat="1"/>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uiPriority="20" w:semiHidden="0" w:unhideWhenUsed="0" w:qFormat="1"/>
    <w:lsdException w:name="Plain Text" w:uiPriority="99" w:qFormat="1"/>
    <w:lsdException w:name="annotation subject" w:uiPriority="99" w:qFormat="1"/>
    <w:lsdException w:name="No List" w:uiPriority="99"/>
    <w:lsdException w:name="Balloon Text" w:uiPriority="99" w:qFormat="1"/>
    <w:lsdException w:name="Table Grid" w:uiPriority="3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17ce6"/>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rsid w:val="00e42745"/>
    <w:pPr>
      <w:keepNext w:val="true"/>
      <w:outlineLvl w:val="0"/>
    </w:pPr>
    <w:rPr>
      <w:b/>
    </w:rPr>
  </w:style>
  <w:style w:type="paragraph" w:styleId="Heading2">
    <w:name w:val="Heading 2"/>
    <w:basedOn w:val="Normal"/>
    <w:next w:val="Normal"/>
    <w:uiPriority w:val="9"/>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link w:val="4"/>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Название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uiPriority w:val="99"/>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uiPriority w:val="99"/>
    <w:qFormat/>
    <w:rsid w:val="0066561f"/>
    <w:rPr>
      <w:sz w:val="16"/>
      <w:szCs w:val="16"/>
    </w:rPr>
  </w:style>
  <w:style w:type="character" w:styleId="Style4" w:customStyle="1">
    <w:name w:val="Текст примечания Знак"/>
    <w:basedOn w:val="DefaultParagraphFont"/>
    <w:link w:val="Annotationtext"/>
    <w:uiPriority w:val="99"/>
    <w:qFormat/>
    <w:rsid w:val="0066561f"/>
    <w:rPr/>
  </w:style>
  <w:style w:type="character" w:styleId="Style5" w:customStyle="1">
    <w:name w:val="Тема примечания Знак"/>
    <w:link w:val="Annotationsubject"/>
    <w:uiPriority w:val="99"/>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sid w:val="00756cd6"/>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Hyperlink" w:customStyle="1">
    <w:name w:val="Hyperlink"/>
    <w:basedOn w:val="DefaultParagraphFont"/>
    <w:uiPriority w:val="99"/>
    <w:unhideWhenUsed/>
    <w:rsid w:val="00756cd6"/>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1" w:customStyle="1">
    <w:name w:val="Заголовок 1 Знак"/>
    <w:basedOn w:val="DefaultParagraphFont"/>
    <w:qFormat/>
    <w:rsid w:val="005d1e69"/>
    <w:rPr>
      <w:b/>
    </w:rPr>
  </w:style>
  <w:style w:type="character" w:styleId="FollowedHyperlink">
    <w:name w:val="FollowedHyperlink"/>
    <w:basedOn w:val="DefaultParagraphFont"/>
    <w:uiPriority w:val="99"/>
    <w:unhideWhenUsed/>
    <w:rsid w:val="005d1e69"/>
    <w:rPr>
      <w:color w:val="800080" w:themeColor="followedHyperlink"/>
      <w:u w:val="single"/>
    </w:rPr>
  </w:style>
  <w:style w:type="character" w:styleId="Style13" w:customStyle="1">
    <w:name w:val="Нижний колонтитул Знак"/>
    <w:basedOn w:val="DefaultParagraphFont"/>
    <w:uiPriority w:val="99"/>
    <w:qFormat/>
    <w:rsid w:val="005d1e69"/>
    <w:rPr/>
  </w:style>
  <w:style w:type="character" w:styleId="Emphasis">
    <w:name w:val="Emphasis"/>
    <w:basedOn w:val="DefaultParagraphFont"/>
    <w:uiPriority w:val="20"/>
    <w:qFormat/>
    <w:rsid w:val="005d1e69"/>
    <w:rPr>
      <w:i/>
      <w:iCs/>
    </w:rPr>
  </w:style>
  <w:style w:type="character" w:styleId="Style14" w:customStyle="1">
    <w:name w:val="Текст Знак"/>
    <w:basedOn w:val="DefaultParagraphFont"/>
    <w:link w:val="PlainText"/>
    <w:uiPriority w:val="99"/>
    <w:semiHidden/>
    <w:qFormat/>
    <w:rsid w:val="00756cd6"/>
    <w:rPr>
      <w:rFonts w:ascii="Calibri" w:hAnsi="Calibri"/>
      <w:szCs w:val="21"/>
    </w:rPr>
  </w:style>
  <w:style w:type="character" w:styleId="Apple-converted-space" w:customStyle="1">
    <w:name w:val="apple-converted-space"/>
    <w:basedOn w:val="DefaultParagraphFont"/>
    <w:qFormat/>
    <w:rsid w:val="00756cd6"/>
    <w:rPr/>
  </w:style>
  <w:style w:type="character" w:styleId="Bodytext2" w:customStyle="1">
    <w:name w:val="Body text (2)"/>
    <w:basedOn w:val="DefaultParagraphFont"/>
    <w:qFormat/>
    <w:rsid w:val="00756cd6"/>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sz w:val="18"/>
      <w:szCs w:val="18"/>
      <w:u w:val="none"/>
      <w:lang w:val="ru-RU" w:eastAsia="ru-RU" w:bidi="ru-RU"/>
    </w:rPr>
  </w:style>
  <w:style w:type="character" w:styleId="Bodytext21" w:customStyle="1">
    <w:name w:val="Body text (2)_"/>
    <w:basedOn w:val="DefaultParagraphFont"/>
    <w:qFormat/>
    <w:rsid w:val="00756cd6"/>
    <w:rPr>
      <w:b w:val="false"/>
      <w:bCs w:val="false"/>
      <w:i w:val="false"/>
      <w:iCs w:val="false"/>
      <w:caps w:val="false"/>
      <w:smallCaps w:val="false"/>
      <w:strike w:val="false"/>
      <w:dstrike w:val="false"/>
      <w:sz w:val="18"/>
      <w:szCs w:val="18"/>
      <w:u w:val="none"/>
    </w:rPr>
  </w:style>
  <w:style w:type="character" w:styleId="4" w:customStyle="1">
    <w:name w:val="Заголовок 4 Знак"/>
    <w:basedOn w:val="DefaultParagraphFont"/>
    <w:qFormat/>
    <w:rsid w:val="00756cd6"/>
    <w:rPr>
      <w:b/>
    </w:rPr>
  </w:style>
  <w:style w:type="character" w:styleId="21" w:customStyle="1">
    <w:name w:val="Заголовок 2 Знак"/>
    <w:basedOn w:val="DefaultParagraphFont"/>
    <w:uiPriority w:val="9"/>
    <w:semiHidden/>
    <w:qFormat/>
    <w:rsid w:val="00756cd6"/>
    <w:rPr>
      <w:rFonts w:ascii="Cambria" w:hAnsi="Cambria" w:eastAsia="" w:cs="" w:asciiTheme="majorHAnsi" w:cstheme="majorBidi" w:eastAsiaTheme="majorEastAsia" w:hAnsiTheme="majorHAnsi"/>
      <w:b/>
      <w:bCs/>
      <w:color w:val="4F81BD" w:themeColor="accent1"/>
      <w:sz w:val="26"/>
      <w:szCs w:val="26"/>
    </w:rPr>
  </w:style>
  <w:style w:type="character" w:styleId="Style15" w:customStyle="1">
    <w:name w:val="Ссылка указателя"/>
    <w:qFormat/>
    <w:rsid w:val="00756cd6"/>
    <w:rPr/>
  </w:style>
  <w:style w:type="character" w:styleId="11" w:customStyle="1">
    <w:name w:val="Текст Знак1"/>
    <w:basedOn w:val="DefaultParagraphFont"/>
    <w:semiHidden/>
    <w:qFormat/>
    <w:rsid w:val="00756cd6"/>
    <w:rPr>
      <w:rFonts w:ascii="Consolas" w:hAnsi="Consolas" w:cs="Consolas"/>
      <w:sz w:val="21"/>
      <w:szCs w:val="21"/>
    </w:rPr>
  </w:style>
  <w:style w:type="paragraph" w:styleId="Style16" w:customStyle="1">
    <w:name w:val="Заголовок"/>
    <w:basedOn w:val="Normal"/>
    <w:next w:val="BodyText"/>
    <w:qFormat/>
    <w:rsid w:val="00756cd6"/>
    <w:pPr>
      <w:keepNext w:val="true"/>
      <w:suppressAutoHyphens w:val="true"/>
      <w:spacing w:lineRule="auto" w:line="276" w:before="240" w:after="120"/>
    </w:pPr>
    <w:rPr>
      <w:rFonts w:ascii="Liberation Sans" w:hAnsi="Liberation Sans" w:eastAsia="Arial Unicode MS" w:cs="Arial Unicode MS"/>
      <w:sz w:val="28"/>
      <w:szCs w:val="28"/>
      <w:lang w:eastAsia="en-US"/>
    </w:rPr>
  </w:style>
  <w:style w:type="paragraph" w:styleId="BodyText">
    <w:name w:val="Body Text"/>
    <w:basedOn w:val="Normal"/>
    <w:link w:val="Style3"/>
    <w:rsid w:val="00e42745"/>
    <w:pPr>
      <w:jc w:val="both"/>
    </w:pPr>
    <w:rPr>
      <w:sz w:val="22"/>
    </w:rPr>
  </w:style>
  <w:style w:type="paragraph" w:styleId="List">
    <w:name w:val="List"/>
    <w:basedOn w:val="BodyText"/>
    <w:rsid w:val="00756cd6"/>
    <w:pPr>
      <w:suppressAutoHyphens w:val="true"/>
      <w:spacing w:lineRule="auto" w:line="276" w:before="0" w:after="140"/>
      <w:jc w:val="left"/>
    </w:pPr>
    <w:rPr>
      <w:rFonts w:ascii="Calibri" w:hAnsi="Calibri" w:eastAsia="Calibri" w:cs="" w:asciiTheme="minorHAnsi" w:cstheme="minorBidi" w:eastAsiaTheme="minorHAnsi" w:hAnsiTheme="minorHAnsi"/>
      <w:szCs w:val="22"/>
      <w:lang w:eastAsia="en-US"/>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2">
    <w:name w:val="Body Text 2"/>
    <w:basedOn w:val="Normal"/>
    <w:qFormat/>
    <w:rsid w:val="00e42745"/>
    <w:pPr>
      <w:jc w:val="both"/>
    </w:pPr>
    <w:rPr/>
  </w:style>
  <w:style w:type="paragraph" w:styleId="Style18" w:customStyle="1">
    <w:name w:val="Колонтитул"/>
    <w:basedOn w:val="Normal"/>
    <w:qFormat/>
    <w:rsid w:val="00756cd6"/>
    <w:pPr>
      <w:suppressAutoHyphens w:val="true"/>
      <w:spacing w:lineRule="auto" w:line="276" w:before="0" w:after="200"/>
    </w:pPr>
    <w:rPr>
      <w:rFonts w:ascii="Calibri" w:hAnsi="Calibri" w:eastAsia="Calibri" w:cs="" w:asciiTheme="minorHAnsi" w:cstheme="minorBidi" w:eastAsiaTheme="minorHAnsi" w:hAnsiTheme="minorHAnsi"/>
      <w:sz w:val="22"/>
      <w:szCs w:val="22"/>
      <w:lang w:eastAsia="en-US"/>
    </w:rPr>
  </w:style>
  <w:style w:type="paragraph" w:styleId="Footer">
    <w:name w:val="Footer"/>
    <w:basedOn w:val="Normal"/>
    <w:link w:val="Style13"/>
    <w:uiPriority w:val="99"/>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2"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9"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uiPriority w:val="99"/>
    <w:qFormat/>
    <w:rsid w:val="0066561f"/>
    <w:pPr>
      <w:widowControl w:val="false"/>
    </w:pPr>
    <w:rPr>
      <w:rFonts w:ascii="Tahoma" w:hAnsi="Tahoma" w:cs="Tahoma"/>
      <w:sz w:val="16"/>
      <w:szCs w:val="16"/>
    </w:rPr>
  </w:style>
  <w:style w:type="paragraph" w:styleId="Annotationtext">
    <w:name w:val="annotation text"/>
    <w:basedOn w:val="Normal"/>
    <w:link w:val="Style4"/>
    <w:uiPriority w:val="99"/>
    <w:qFormat/>
    <w:rsid w:val="0066561f"/>
    <w:pPr>
      <w:widowControl w:val="false"/>
    </w:pPr>
    <w:rPr/>
  </w:style>
  <w:style w:type="paragraph" w:styleId="Annotationsubject">
    <w:name w:val="annotation subject"/>
    <w:basedOn w:val="Annotationtext"/>
    <w:next w:val="Annotationtext"/>
    <w:link w:val="Style5"/>
    <w:uiPriority w:val="99"/>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20"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1"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2"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uiPriority w:val="99"/>
    <w:rsid w:val="0066561f"/>
    <w:pPr>
      <w:widowControl w:val="false"/>
      <w:tabs>
        <w:tab w:val="clear" w:pos="720"/>
        <w:tab w:val="center" w:pos="4677" w:leader="none"/>
        <w:tab w:val="right" w:pos="9355" w:leader="none"/>
      </w:tabs>
    </w:pPr>
    <w:rPr/>
  </w:style>
  <w:style w:type="paragraph" w:styleId="Style23" w:customStyle="1">
    <w:name w:val="Таблица текст"/>
    <w:basedOn w:val="Normal"/>
    <w:uiPriority w:val="99"/>
    <w:qFormat/>
    <w:rsid w:val="00407331"/>
    <w:pPr>
      <w:spacing w:before="40" w:after="40"/>
      <w:ind w:left="57" w:right="57" w:hanging="0"/>
    </w:pPr>
    <w:rPr>
      <w:sz w:val="24"/>
      <w:szCs w:val="24"/>
    </w:rPr>
  </w:style>
  <w:style w:type="paragraph" w:styleId="NoSpacing">
    <w:name w:val="No Spacing"/>
    <w:uiPriority w:val="1"/>
    <w:qFormat/>
    <w:rsid w:val="00d6256f"/>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4" w:customStyle="1">
    <w:name w:val="Раздел положения"/>
    <w:basedOn w:val="Normal"/>
    <w:autoRedefine/>
    <w:qFormat/>
    <w:rsid w:val="00d13137"/>
    <w:pPr>
      <w:numPr>
        <w:ilvl w:val="0"/>
        <w:numId w:val="13"/>
      </w:numPr>
      <w:spacing w:before="80" w:after="80"/>
      <w:jc w:val="center"/>
    </w:pPr>
    <w:rPr>
      <w:b/>
      <w:sz w:val="32"/>
      <w:szCs w:val="32"/>
    </w:rPr>
  </w:style>
  <w:style w:type="paragraph" w:styleId="Style25" w:customStyle="1">
    <w:name w:val="Подраздел раздела положения"/>
    <w:basedOn w:val="Normal"/>
    <w:autoRedefine/>
    <w:qFormat/>
    <w:rsid w:val="00d13137"/>
    <w:pPr>
      <w:numPr>
        <w:ilvl w:val="1"/>
        <w:numId w:val="13"/>
      </w:numPr>
      <w:spacing w:before="80" w:after="80"/>
      <w:jc w:val="both"/>
    </w:pPr>
    <w:rPr>
      <w:sz w:val="28"/>
      <w:szCs w:val="28"/>
    </w:rPr>
  </w:style>
  <w:style w:type="paragraph" w:styleId="TOC1">
    <w:name w:val="TOC 1"/>
    <w:basedOn w:val="Normal"/>
    <w:next w:val="Normal"/>
    <w:autoRedefine/>
    <w:uiPriority w:val="39"/>
    <w:qFormat/>
    <w:rsid w:val="00d13137"/>
    <w:pPr>
      <w:spacing w:before="120" w:after="0"/>
    </w:pPr>
    <w:rPr>
      <w:rFonts w:cs="Calibri Light (Заголовки)"/>
      <w:b/>
      <w:bCs/>
      <w:sz w:val="24"/>
      <w:szCs w:val="24"/>
    </w:rPr>
  </w:style>
  <w:style w:type="paragraph" w:styleId="TOC3">
    <w:name w:val="TOC 3"/>
    <w:basedOn w:val="Normal"/>
    <w:next w:val="Normal"/>
    <w:autoRedefine/>
    <w:uiPriority w:val="39"/>
    <w:qFormat/>
    <w:rsid w:val="00d13137"/>
    <w:pPr>
      <w:tabs>
        <w:tab w:val="clear" w:pos="720"/>
        <w:tab w:val="left" w:pos="1120" w:leader="none"/>
        <w:tab w:val="right" w:pos="9911" w:leader="dot"/>
      </w:tabs>
      <w:ind w:left="280" w:firstLine="287"/>
    </w:pPr>
    <w:rPr>
      <w:rFonts w:cs="Calibri" w:cstheme="minorHAnsi"/>
    </w:rPr>
  </w:style>
  <w:style w:type="paragraph" w:styleId="TOC4">
    <w:name w:val="TOC 4"/>
    <w:basedOn w:val="Normal"/>
    <w:next w:val="Normal"/>
    <w:autoRedefine/>
    <w:uiPriority w:val="39"/>
    <w:rsid w:val="00d13137"/>
    <w:pPr>
      <w:ind w:left="560" w:hanging="0"/>
    </w:pPr>
    <w:rPr>
      <w:rFonts w:cs="Calibri" w:cstheme="minorHAnsi"/>
    </w:rPr>
  </w:style>
  <w:style w:type="paragraph" w:styleId="Style26" w:customStyle="1">
    <w:name w:val="Таблица"/>
    <w:basedOn w:val="Normal"/>
    <w:qFormat/>
    <w:rsid w:val="00d13137"/>
    <w:pPr>
      <w:keepNext w:val="true"/>
      <w:spacing w:before="60" w:after="60"/>
      <w:jc w:val="center"/>
    </w:pPr>
    <w:rPr>
      <w:rFonts w:eastAsia="Calibri"/>
      <w:b/>
      <w:sz w:val="24"/>
      <w:szCs w:val="24"/>
    </w:rPr>
  </w:style>
  <w:style w:type="paragraph" w:styleId="Style27" w:customStyle="1">
    <w:name w:val="Таблица шапка"/>
    <w:basedOn w:val="Normal"/>
    <w:qFormat/>
    <w:rsid w:val="00d13137"/>
    <w:pPr>
      <w:keepNext w:val="true"/>
      <w:spacing w:before="40" w:after="40"/>
      <w:ind w:left="57" w:right="57" w:hanging="0"/>
    </w:pPr>
    <w:rPr>
      <w:sz w:val="22"/>
      <w:szCs w:val="26"/>
    </w:rPr>
  </w:style>
  <w:style w:type="paragraph" w:styleId="Default" w:customStyle="1">
    <w:name w:val="Default"/>
    <w:qFormat/>
    <w:rsid w:val="00d13137"/>
    <w:pPr>
      <w:widowControl/>
      <w:suppressAutoHyphens w:val="true"/>
      <w:bidi w:val="0"/>
      <w:spacing w:before="0" w:after="0"/>
      <w:jc w:val="left"/>
    </w:pPr>
    <w:rPr>
      <w:rFonts w:ascii="Times New Roman" w:hAnsi="Times New Roman" w:eastAsia="Calibri" w:cs="Times New Roman" w:eastAsiaTheme="minorHAnsi"/>
      <w:color w:val="000000"/>
      <w:kern w:val="0"/>
      <w:sz w:val="24"/>
      <w:szCs w:val="24"/>
      <w:lang w:val="ru-RU" w:eastAsia="en-US" w:bidi="ar-SA"/>
    </w:rPr>
  </w:style>
  <w:style w:type="paragraph" w:styleId="TOC2">
    <w:name w:val="TOC 2"/>
    <w:basedOn w:val="Normal"/>
    <w:next w:val="Normal"/>
    <w:autoRedefine/>
    <w:uiPriority w:val="39"/>
    <w:unhideWhenUsed/>
    <w:rsid w:val="00a46d27"/>
    <w:pPr>
      <w:spacing w:lineRule="auto" w:line="276" w:before="0" w:after="100"/>
      <w:ind w:left="220" w:hanging="0"/>
    </w:pPr>
    <w:rPr>
      <w:rFonts w:ascii="Calibri" w:hAnsi="Calibri" w:eastAsia="Calibri" w:cs="" w:asciiTheme="minorHAnsi" w:cstheme="minorBidi" w:eastAsiaTheme="minorHAnsi" w:hAnsiTheme="minorHAnsi"/>
      <w:sz w:val="22"/>
      <w:szCs w:val="22"/>
      <w:lang w:eastAsia="en-US"/>
    </w:rPr>
  </w:style>
  <w:style w:type="paragraph" w:styleId="Caption1">
    <w:name w:val="caption1"/>
    <w:basedOn w:val="Normal"/>
    <w:qFormat/>
    <w:rsid w:val="00756cd6"/>
    <w:pPr>
      <w:suppressLineNumbers/>
      <w:suppressAutoHyphens w:val="true"/>
      <w:spacing w:lineRule="auto" w:line="276" w:before="120" w:after="120"/>
    </w:pPr>
    <w:rPr>
      <w:rFonts w:ascii="Calibri" w:hAnsi="Calibri" w:eastAsia="Calibri" w:cs="" w:asciiTheme="minorHAnsi" w:cstheme="minorBidi" w:eastAsiaTheme="minorHAnsi" w:hAnsiTheme="minorHAnsi"/>
      <w:i/>
      <w:iCs/>
      <w:sz w:val="24"/>
      <w:szCs w:val="24"/>
      <w:lang w:eastAsia="en-US"/>
    </w:rPr>
  </w:style>
  <w:style w:type="paragraph" w:styleId="Index1">
    <w:name w:val="index 1"/>
    <w:basedOn w:val="Normal"/>
    <w:next w:val="Normal"/>
    <w:autoRedefine/>
    <w:semiHidden/>
    <w:unhideWhenUsed/>
    <w:qFormat/>
    <w:rsid w:val="00756cd6"/>
    <w:pPr>
      <w:ind w:left="200" w:hanging="200"/>
    </w:pPr>
    <w:rPr/>
  </w:style>
  <w:style w:type="paragraph" w:styleId="Indexheading1">
    <w:name w:val="index heading1"/>
    <w:basedOn w:val="Style16"/>
    <w:qFormat/>
    <w:rsid w:val="00756cd6"/>
    <w:pPr/>
    <w:rPr/>
  </w:style>
  <w:style w:type="paragraph" w:styleId="PlainText">
    <w:name w:val="Plain Text"/>
    <w:basedOn w:val="Normal"/>
    <w:link w:val="Style14"/>
    <w:uiPriority w:val="99"/>
    <w:semiHidden/>
    <w:unhideWhenUsed/>
    <w:qFormat/>
    <w:rsid w:val="00756cd6"/>
    <w:pPr>
      <w:suppressAutoHyphens w:val="true"/>
    </w:pPr>
    <w:rPr>
      <w:rFonts w:ascii="Calibri" w:hAnsi="Calibri"/>
      <w:szCs w:val="21"/>
    </w:rPr>
  </w:style>
  <w:style w:type="paragraph" w:styleId="IndexHeading">
    <w:name w:val="Index Heading"/>
    <w:basedOn w:val="Style16"/>
    <w:pPr/>
    <w:rPr/>
  </w:style>
  <w:style w:type="paragraph" w:styleId="TOCHeading">
    <w:name w:val="TOC Heading"/>
    <w:basedOn w:val="Heading1"/>
    <w:next w:val="Normal"/>
    <w:uiPriority w:val="39"/>
    <w:unhideWhenUsed/>
    <w:qFormat/>
    <w:rsid w:val="00756cd6"/>
    <w:pPr>
      <w:keepLines/>
      <w:suppressAutoHyphens w:val="true"/>
      <w:spacing w:lineRule="auto" w:line="276" w:before="480" w:after="0"/>
      <w:outlineLvl w:val="9"/>
    </w:pPr>
    <w:rPr>
      <w:rFonts w:ascii="Cambria" w:hAnsi="Cambria" w:eastAsia="" w:cs="" w:asciiTheme="majorHAnsi" w:cstheme="majorBidi" w:eastAsiaTheme="majorEastAsia" w:hAnsiTheme="majorHAnsi"/>
      <w:bCs/>
      <w:color w:val="365F91" w:themeColor="accent1" w:themeShade="bf"/>
      <w:sz w:val="28"/>
      <w:szCs w:val="28"/>
    </w:rPr>
  </w:style>
  <w:style w:type="paragraph" w:styleId="Style28" w:customStyle="1">
    <w:name w:val="Содержимое таблицы"/>
    <w:basedOn w:val="Normal"/>
    <w:qFormat/>
    <w:rsid w:val="00756cd6"/>
    <w:pPr>
      <w:widowControl w:val="false"/>
      <w:suppressLineNumbers/>
      <w:suppressAutoHyphens w:val="true"/>
      <w:spacing w:lineRule="auto" w:line="276" w:before="0" w:after="200"/>
    </w:pPr>
    <w:rPr>
      <w:rFonts w:ascii="Calibri" w:hAnsi="Calibri" w:eastAsia="Calibri" w:cs="" w:asciiTheme="minorHAnsi" w:cstheme="minorBidi" w:eastAsiaTheme="minorHAnsi" w:hAnsiTheme="minorHAnsi"/>
      <w:sz w:val="22"/>
      <w:szCs w:val="22"/>
      <w:lang w:eastAsia="en-US"/>
    </w:rPr>
  </w:style>
  <w:style w:type="paragraph" w:styleId="Style29" w:customStyle="1">
    <w:name w:val="Заголовок таблицы"/>
    <w:basedOn w:val="Style28"/>
    <w:qFormat/>
    <w:rsid w:val="00756cd6"/>
    <w:pPr>
      <w:jc w:val="center"/>
    </w:pPr>
    <w:rPr>
      <w:b/>
      <w:bCs/>
    </w:rPr>
  </w:style>
  <w:style w:type="paragraph" w:styleId="Style30">
    <w:name w:val="Содержимое врезки"/>
    <w:basedOn w:val="Normal"/>
    <w:qFormat/>
    <w:pPr/>
    <w:rPr/>
  </w:style>
  <w:style w:type="numbering" w:styleId="NoList" w:default="1">
    <w:name w:val="No List"/>
    <w:uiPriority w:val="99"/>
    <w:semiHidden/>
    <w:unhideWhenUsed/>
    <w:qFormat/>
  </w:style>
  <w:style w:type="table" w:default="1" w:styleId="a3">
    <w:name w:val="Normal Table"/>
    <w:uiPriority w:val="99"/>
    <w:semiHidden/>
    <w:unhideWhenUsed/>
    <w:qFormat/>
    <w:tblPr>
      <w:tblCellMar>
        <w:top w:w="0" w:type="dxa"/>
        <w:left w:w="108" w:type="dxa"/>
        <w:bottom w:w="0" w:type="dxa"/>
        <w:right w:w="108" w:type="dxa"/>
      </w:tblCellMar>
    </w:tblPr>
  </w:style>
  <w:style w:type="table" w:styleId="af2">
    <w:name w:val="Table Grid"/>
    <w:basedOn w:val="a3"/>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Заголовок 1 Знак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
    <w:name w:val="Сетка таблицы1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0">
    <w:name w:val="Сетка таблицы11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
    <w:name w:val="Заголовок 2 Знак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E07CE-6571-4F22-AFBA-EDC850214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Application>AlterOffice/3.4.0.9$Linux_X86_64 LibreOffice_project/b8daf9e823b1a5463a2f48435ddc2e8696e7d4fc</Application>
  <AppVersion>15.0000</AppVersion>
  <Pages>19</Pages>
  <Words>6235</Words>
  <Characters>44252</Characters>
  <CharactersWithSpaces>50067</CharactersWithSpaces>
  <Paragraphs>283</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2023-10-30T10:07:00Z</dcterms:created>
  <dc:creator>Света &amp; Алла (Twix)</dc:creator>
  <dc:description/>
  <dc:language>ru-RU</dc:language>
  <cp:lastModifiedBy>shvetsovavb@corp.gidroogk.com</cp:lastModifiedBy>
  <cp:lastPrinted>2022-03-05T07:05:00Z</cp:lastPrinted>
  <dcterms:modified xsi:type="dcterms:W3CDTF">2026-02-27T10:43:49Z</dcterms:modified>
  <cp:revision>10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