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.xml" ContentType="application/vnd.openxmlformats-officedocument.wordprocessingml.footer+xml"/>
  <Override PartName="/word/footer7.xml" ContentType="application/vnd.openxmlformats-officedocument.wordprocessingml.footer+xml"/>
  <Override PartName="/word/embeddings/oleObject1.xlsx" ContentType="application/vnd.openxmlformats-officedocument.spreadsheetml.sheet"/>
  <Override PartName="/word/embeddings/oleObject2.xlsx" ContentType="application/vnd.openxmlformats-officedocument.spreadsheetml.sheet"/>
  <Override PartName="/word/embeddings/oleObject3.xlsx" ContentType="application/vnd.openxmlformats-officedocument.spreadsheetml.sheet"/>
  <Override PartName="/word/footer8.xml" ContentType="application/vnd.openxmlformats-officedocument.wordprocessingml.footer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media/image1.wmf" ContentType="image/x-wmf"/>
  <Override PartName="/word/media/image2.wmf" ContentType="image/x-wmf"/>
  <Override PartName="/word/media/image3.wmf" ContentType="image/x-wmf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footer11.xml" ContentType="application/vnd.openxmlformats-officedocument.wordprocessingml.footer+xml"/>
  <Override PartName="/word/footer3.xml" ContentType="application/vnd.openxmlformats-officedocument.wordprocessingml.footer+xml"/>
  <Override PartName="/word/footer12.xml" ContentType="application/vnd.openxmlformats-officedocument.wordprocessingml.footer+xml"/>
  <Override PartName="/word/footer4.xml" ContentType="application/vnd.openxmlformats-officedocument.wordprocessingml.footer+xml"/>
  <Override PartName="/word/footer13.xml" ContentType="application/vnd.openxmlformats-officedocument.wordprocessingml.footer+xml"/>
  <Override PartName="/word/footer5.xml" ContentType="application/vnd.openxmlformats-officedocument.wordprocessingml.footer+xml"/>
  <Override PartName="/word/footer14.xml" ContentType="application/vnd.openxmlformats-officedocument.wordprocessingml.footer+xml"/>
  <Override PartName="/word/footer6.xml" ContentType="application/vnd.openxmlformats-officedocument.wordprocessingml.footer+xml"/>
  <Override PartName="/word/footer15.xml" ContentType="application/vnd.openxmlformats-officedocument.wordprocessingml.footer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spacing w:before="0" w:after="0"/>
        <w:jc w:val="right"/>
        <w:rPr>
          <w:rFonts w:ascii="Times New Roman" w:hAnsi="Times New Roman"/>
          <w:bCs/>
        </w:rPr>
      </w:pPr>
      <w:bookmarkStart w:id="0" w:name="P105_Копия_1"/>
      <w:bookmarkStart w:id="1" w:name="P104_Копия_1"/>
      <w:bookmarkStart w:id="2" w:name="P102_Копия_1"/>
      <w:bookmarkStart w:id="3" w:name="P90_Копия_1"/>
      <w:bookmarkStart w:id="4" w:name="P83_Копия_1"/>
      <w:bookmarkStart w:id="5" w:name="P81_Копия_1"/>
      <w:bookmarkStart w:id="6" w:name="P80_Копия_1"/>
      <w:bookmarkStart w:id="7" w:name="P79_Копия_1"/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ascii="Times New Roman" w:hAnsi="Times New Roman"/>
          <w:bCs/>
        </w:rPr>
        <w:t xml:space="preserve">Приложение №1 </w:t>
        <w:br/>
        <w:t>к Техническим требованиям требования</w:t>
      </w:r>
    </w:p>
    <w:p>
      <w:pPr>
        <w:pStyle w:val="Normal"/>
        <w:keepNext w:val="true"/>
        <w:keepLines/>
        <w:spacing w:before="0" w:after="0"/>
        <w:jc w:val="right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 </w:t>
      </w:r>
      <w:r>
        <w:rPr>
          <w:rFonts w:ascii="Times New Roman" w:hAnsi="Times New Roman"/>
          <w:bCs/>
        </w:rPr>
        <w:t>на Демонтаж подъемных сооружений,</w:t>
      </w:r>
    </w:p>
    <w:p>
      <w:pPr>
        <w:pStyle w:val="Normal"/>
        <w:keepNext w:val="true"/>
        <w:keepLines/>
        <w:spacing w:before="0" w:after="0"/>
        <w:jc w:val="right"/>
        <w:rPr>
          <w:rFonts w:ascii="Times New Roman" w:hAnsi="Times New Roman"/>
          <w:bCs/>
          <w:sz w:val="22"/>
          <w:szCs w:val="22"/>
        </w:rPr>
      </w:pPr>
      <w:r>
        <w:rPr>
          <w:rFonts w:ascii="Times New Roman" w:hAnsi="Times New Roman"/>
          <w:bCs/>
          <w:sz w:val="22"/>
          <w:szCs w:val="22"/>
        </w:rPr>
        <w:t xml:space="preserve">не пригодных к эксплуатации </w:t>
      </w:r>
    </w:p>
    <w:p>
      <w:pPr>
        <w:pStyle w:val="ConsPlusNormal1"/>
        <w:widowControl/>
        <w:tabs>
          <w:tab w:val="clear" w:pos="709"/>
          <w:tab w:val="left" w:pos="1260" w:leader="none"/>
        </w:tabs>
        <w:ind w:left="1260" w:hanging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/>
      </w:r>
    </w:p>
    <w:p>
      <w:pPr>
        <w:pStyle w:val="ConsPlusNormal1"/>
        <w:widowControl/>
        <w:tabs>
          <w:tab w:val="clear" w:pos="709"/>
          <w:tab w:val="left" w:pos="1260" w:leader="none"/>
        </w:tabs>
        <w:ind w:left="1260" w:hanging="108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8" w:name="_GoBack"/>
      <w:bookmarkEnd w:id="8"/>
      <w:r>
        <w:rPr>
          <w:rFonts w:cs="Times New Roman" w:ascii="Times New Roman" w:hAnsi="Times New Roman"/>
          <w:b/>
          <w:sz w:val="24"/>
          <w:szCs w:val="24"/>
        </w:rPr>
        <w:t>Требования к оформлению и составлению</w:t>
      </w:r>
    </w:p>
    <w:p>
      <w:pPr>
        <w:pStyle w:val="ConsPlusNormal1"/>
        <w:widowControl/>
        <w:tabs>
          <w:tab w:val="clear" w:pos="709"/>
          <w:tab w:val="left" w:pos="1620" w:leader="none"/>
        </w:tabs>
        <w:ind w:firstLine="1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сметной документации на работы по программе ремонтов, реконструкции и техническому перевооружению.</w:t>
      </w:r>
    </w:p>
    <w:p>
      <w:pPr>
        <w:pStyle w:val="ConsPlusNormal1"/>
        <w:widowControl/>
        <w:tabs>
          <w:tab w:val="clear" w:pos="709"/>
          <w:tab w:val="left" w:pos="1620" w:leader="none"/>
        </w:tabs>
        <w:ind w:firstLine="1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ConsPlusNormal1"/>
        <w:widowControl/>
        <w:numPr>
          <w:ilvl w:val="0"/>
          <w:numId w:val="4"/>
        </w:numPr>
        <w:tabs>
          <w:tab w:val="clear" w:pos="709"/>
          <w:tab w:val="left" w:pos="1134" w:leader="none"/>
        </w:tabs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green"/>
        </w:rPr>
      </w:pPr>
      <w:r>
        <w:rPr>
          <w:rFonts w:cs="Times New Roman" w:ascii="Times New Roman" w:hAnsi="Times New Roman"/>
          <w:color w:val="000000"/>
          <w:sz w:val="24"/>
          <w:szCs w:val="24"/>
          <w:highlight w:val="green"/>
        </w:rPr>
        <w:t>Основные условия ценообразования изложены в приложении № к настоящим требованиям и являются неотъемлемой частью требований к составлению сметной документации.</w:t>
      </w:r>
    </w:p>
    <w:p>
      <w:pPr>
        <w:pStyle w:val="ConsPlusNormal1"/>
        <w:widowControl/>
        <w:numPr>
          <w:ilvl w:val="0"/>
          <w:numId w:val="4"/>
        </w:numPr>
        <w:tabs>
          <w:tab w:val="clear" w:pos="709"/>
          <w:tab w:val="left" w:pos="1134" w:leader="none"/>
        </w:tabs>
        <w:spacing w:before="40" w:after="40"/>
        <w:ind w:left="0" w:firstLine="567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</w:rPr>
        <w:t>Использование</w:t>
      </w:r>
      <w:r>
        <w:rPr>
          <w:rFonts w:ascii="Times New Roman" w:hAnsi="Times New Roman"/>
          <w:sz w:val="24"/>
          <w:szCs w:val="24"/>
        </w:rPr>
        <w:t xml:space="preserve"> нормативов ценообразования, не зарегистрированных и не вошедших в ФРСН, </w:t>
      </w:r>
      <w:r>
        <w:rPr>
          <w:rFonts w:ascii="Times New Roman" w:hAnsi="Times New Roman"/>
          <w:b/>
          <w:sz w:val="24"/>
          <w:szCs w:val="24"/>
          <w:u w:val="single"/>
        </w:rPr>
        <w:t>не допускается</w:t>
      </w:r>
      <w:r>
        <w:rPr>
          <w:rFonts w:ascii="Times New Roman" w:hAnsi="Times New Roman"/>
          <w:sz w:val="24"/>
          <w:szCs w:val="24"/>
        </w:rPr>
        <w:t>, кроме случаев, прямо указанных в настоящих требованиях.</w:t>
      </w:r>
    </w:p>
    <w:p>
      <w:pPr>
        <w:pStyle w:val="ConsPlusNormal1"/>
        <w:widowControl/>
        <w:numPr>
          <w:ilvl w:val="0"/>
          <w:numId w:val="4"/>
        </w:numPr>
        <w:tabs>
          <w:tab w:val="clear" w:pos="709"/>
          <w:tab w:val="left" w:pos="1134" w:leader="none"/>
        </w:tabs>
        <w:spacing w:before="40" w:after="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составлении смет руководствоваться Методикой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Федерации», введенной в действие Приказом Министерства строительства и ЖКХ РФ от 04.08.2020 № 421/пр. (далее - Методикой определения сметной стоимости строительства), с учетом изменений и дополнений, а так же Методикой определения сметной стоимости строительства с применением федеральных единичных расценок и их отдельных составляющих, утверждённой Приказом Министерства строительства и ЖКХ РФ от 08.08.2022г № 648/пр. с учетом изменений и дополнений.</w:t>
      </w:r>
    </w:p>
    <w:p>
      <w:pPr>
        <w:pStyle w:val="ConsPlusNormal1"/>
        <w:widowControl/>
        <w:numPr>
          <w:ilvl w:val="0"/>
          <w:numId w:val="4"/>
        </w:numPr>
        <w:tabs>
          <w:tab w:val="clear" w:pos="709"/>
          <w:tab w:val="left" w:pos="1134" w:leader="none"/>
        </w:tabs>
        <w:spacing w:before="40" w:after="40"/>
        <w:ind w:left="0" w:firstLine="567"/>
        <w:jc w:val="both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составлении смет на ремонт, реконструкцию и техническое перевооружение энергетического оборудования приоритетным является применение сборников «Базовых цен на работы по ремонту энергетического оборудования, адекватных условиям функционирования конкурентного рынка услуг по ремонту и техперевооружению» с учетом дополнений и изменений 1-12 (далее – БЦ), «Методических указаний по формированию смет и калькуляций на ремонт энергооборудования» (СО 34.20.607-2005), разработанных АО «ЦКБ Энергоремонт». Поправочный индекс к Базовым ценам учитывать в размере, не превышающем предельный индекс, установленный для Филиала (ПО) ПАО «РусГидро».</w:t>
      </w:r>
    </w:p>
    <w:p>
      <w:pPr>
        <w:pStyle w:val="Xmsolistparagraph"/>
        <w:numPr>
          <w:ilvl w:val="0"/>
          <w:numId w:val="4"/>
        </w:numPr>
        <w:shd w:val="clear" w:color="auto" w:fill="FFFFFF"/>
        <w:tabs>
          <w:tab w:val="clear" w:pos="709"/>
          <w:tab w:val="left" w:pos="1134" w:leader="none"/>
        </w:tabs>
        <w:spacing w:beforeAutospacing="0" w:before="0" w:afterAutospacing="0" w:after="0"/>
        <w:ind w:left="0" w:firstLine="567"/>
        <w:jc w:val="both"/>
        <w:rPr>
          <w:color w:val="1F497D"/>
          <w:highlight w:val="green"/>
        </w:rPr>
      </w:pPr>
      <w:r>
        <w:rPr>
          <w:color w:val="000000"/>
          <w:highlight w:val="green"/>
        </w:rPr>
        <w:t>Сметная цена материальных ресурсов и (или) оборудования (далее –МТР), закупаемых на территории региона субъекта Российской Федерации,</w:t>
      </w:r>
      <w:r>
        <w:rPr>
          <w:color w:val="1F497D"/>
          <w:highlight w:val="green"/>
        </w:rPr>
        <w:t xml:space="preserve"> </w:t>
      </w:r>
      <w:r>
        <w:rPr>
          <w:color w:val="000000"/>
          <w:highlight w:val="green"/>
        </w:rPr>
        <w:t>определяется в базисном уровне цен по состоянию на 01.01.2022 с использованием ФСБЦ-2022, индексов по группам однородных строительных ресурсов, размещенных во ФГИС ЦС по субъекту Российской Федерации, в котором расположен объект строительства.</w:t>
      </w:r>
    </w:p>
    <w:p>
      <w:pPr>
        <w:pStyle w:val="Normal"/>
        <w:tabs>
          <w:tab w:val="clear" w:pos="709"/>
          <w:tab w:val="left" w:pos="284" w:leader="none"/>
          <w:tab w:val="left" w:pos="1134" w:leader="none"/>
        </w:tabs>
        <w:spacing w:before="0"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</w:t>
      </w:r>
      <w:r>
        <w:rPr>
          <w:rFonts w:ascii="Times New Roman" w:hAnsi="Times New Roman"/>
          <w:i/>
          <w:sz w:val="24"/>
          <w:szCs w:val="24"/>
        </w:rPr>
        <w:t xml:space="preserve">отсутствии </w:t>
      </w:r>
      <w:r>
        <w:rPr>
          <w:rFonts w:ascii="Times New Roman" w:hAnsi="Times New Roman"/>
          <w:sz w:val="24"/>
          <w:szCs w:val="24"/>
        </w:rPr>
        <w:t xml:space="preserve">информации о сметных ценах в ФГИС ЦС и ФССЦ по материальным ресурсам и оборудованию, их сметная цена формируется методами, предусмотренными Методикой ПЦ (методы без использования сметных нормативов) </w:t>
      </w:r>
      <w:r>
        <w:rPr>
          <w:rFonts w:ascii="Times New Roman" w:hAnsi="Times New Roman"/>
          <w:b/>
          <w:color w:val="FF0000"/>
          <w:sz w:val="24"/>
          <w:szCs w:val="24"/>
        </w:rPr>
        <w:t>(включить соответствующие требования Методики ПЦ отдельным приложением)</w:t>
      </w:r>
      <w:r>
        <w:rPr>
          <w:rFonts w:ascii="Times New Roman" w:hAnsi="Times New Roman"/>
          <w:sz w:val="24"/>
          <w:szCs w:val="24"/>
        </w:rPr>
        <w:t>.</w:t>
      </w:r>
    </w:p>
    <w:p>
      <w:pPr>
        <w:pStyle w:val="ConsPlusNormal1"/>
        <w:numPr>
          <w:ilvl w:val="0"/>
          <w:numId w:val="4"/>
        </w:numPr>
        <w:tabs>
          <w:tab w:val="clear" w:pos="709"/>
          <w:tab w:val="left" w:pos="284" w:leader="none"/>
          <w:tab w:val="left" w:pos="1134" w:leader="none"/>
        </w:tabs>
        <w:spacing w:before="40" w:after="4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 определении сметной стоимости в 2-х уровнях цен (текущем и базисном), стоимость указанных материальных ресурсов и оборудования, определяется в базисном уровне цен как отношение их стоимости в текущем уровне цен к соответствующим индексам изменения сметной стоимости, примененным при составлении сметной документации.</w:t>
      </w:r>
    </w:p>
    <w:p>
      <w:pPr>
        <w:pStyle w:val="ListParagraph"/>
        <w:numPr>
          <w:ilvl w:val="0"/>
          <w:numId w:val="4"/>
        </w:numPr>
        <w:tabs>
          <w:tab w:val="left" w:pos="709" w:leader="none"/>
          <w:tab w:val="left" w:pos="1134" w:leader="none"/>
        </w:tabs>
        <w:spacing w:lineRule="auto" w:line="240" w:before="40" w:after="40"/>
        <w:ind w:left="0" w:firstLine="567"/>
        <w:contextualSpacing w:val="fals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Затраты на эксплуатацию строительной техники, не учтенной нормами и расценками, включенными в ФРСН, определяются Методами, предусмотренными Методикой ПЦ (методы без использования сметных нормативов) и включаются в Главу 9 ССР</w:t>
      </w:r>
      <w:r>
        <w:rPr>
          <w:rFonts w:ascii="Times New Roman" w:hAnsi="Times New Roman"/>
          <w:b/>
          <w:color w:val="FF0000"/>
          <w:sz w:val="24"/>
          <w:szCs w:val="24"/>
        </w:rPr>
        <w:t>.</w:t>
      </w:r>
    </w:p>
    <w:p>
      <w:pPr>
        <w:pStyle w:val="ConsPlusNormal1"/>
        <w:widowControl/>
        <w:numPr>
          <w:ilvl w:val="0"/>
          <w:numId w:val="4"/>
        </w:numPr>
        <w:tabs>
          <w:tab w:val="clear" w:pos="709"/>
          <w:tab w:val="left" w:pos="567" w:leader="none"/>
          <w:tab w:val="left" w:pos="1134" w:leader="none"/>
        </w:tabs>
        <w:spacing w:before="40" w:after="40"/>
        <w:ind w:left="0"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green"/>
        </w:rPr>
      </w:pPr>
      <w:r>
        <w:rPr>
          <w:rFonts w:cs="Times New Roman" w:ascii="Times New Roman" w:hAnsi="Times New Roman"/>
          <w:color w:val="000000"/>
          <w:sz w:val="24"/>
          <w:szCs w:val="24"/>
          <w:highlight w:val="green"/>
        </w:rPr>
        <w:t>При составлении сметной документации корректировка наименования работ, принятой расценки недопустима. При необходимости, вся дополнительная информация указывается в скобках, после указания наименования расценки (</w:t>
      </w:r>
      <w:r>
        <w:rPr>
          <w:rFonts w:cs="Times New Roman" w:ascii="Times New Roman" w:hAnsi="Times New Roman"/>
          <w:i/>
          <w:color w:val="000000"/>
          <w:sz w:val="24"/>
          <w:szCs w:val="24"/>
          <w:highlight w:val="green"/>
        </w:rPr>
        <w:t>например, Разборка, очистка, замена уплотнения, сборка крышки ванны подшипника: диаметр шейки вала свыше 0.95 до 1,5 м (диаметр шейки вала – 1.3 м), л</w:t>
      </w:r>
      <w:r>
        <w:rPr>
          <w:rFonts w:cs="Times New Roman" w:ascii="Times New Roman" w:hAnsi="Times New Roman"/>
          <w:color w:val="000000"/>
          <w:sz w:val="24"/>
          <w:szCs w:val="24"/>
          <w:highlight w:val="green"/>
        </w:rPr>
        <w:t xml:space="preserve">ибо указывается в примечании, через дополнительную информацию </w:t>
      </w:r>
      <w:r>
        <w:rPr>
          <w:rFonts w:cs="Times New Roman" w:ascii="Times New Roman" w:hAnsi="Times New Roman"/>
          <w:color w:val="000000"/>
          <w:sz w:val="24"/>
          <w:szCs w:val="24"/>
          <w:highlight w:val="green"/>
          <w:lang w:val="en-US"/>
        </w:rPr>
        <w:t>(в ПК Гранд-Смета).</w:t>
      </w:r>
    </w:p>
    <w:p>
      <w:pPr>
        <w:pStyle w:val="ListParagraph"/>
        <w:numPr>
          <w:ilvl w:val="0"/>
          <w:numId w:val="4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формировании сметной стоимости в ЛСР (ЛС) отдельно выделяется сметная стоимость по видам оборудования: инженерное; технологическое; лабораторное; транспортные средства; инструмент для технологических процессов; производственный и хозяйственный инвентарь, в т.ч. мебель.</w:t>
      </w:r>
    </w:p>
    <w:p>
      <w:pPr>
        <w:pStyle w:val="ListParagraph"/>
        <w:numPr>
          <w:ilvl w:val="0"/>
          <w:numId w:val="4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использовании в сметах коэффициентов и лимитированных затрат указывать обоснование из технической части, вводных указаний сборников или других нормативных документов и приложений к ним.</w:t>
      </w:r>
    </w:p>
    <w:p>
      <w:pPr>
        <w:pStyle w:val="ListParagraph"/>
        <w:numPr>
          <w:ilvl w:val="0"/>
          <w:numId w:val="4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Поправочные коэффициенты из технической части к расценкам (например, на демонтаж или для учета особых условий выполнения работ) учитываются индивидуально для каждой позиции и в выходных формах при выгрузке в формат «Excel» и указываются попозиционно.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Коэффициенты, учитывающие усложняющие факторы и условия производства работ, могут применяться одновременно с другими коэффициентами, предусмотренными сметными нормативами, включенными в ФРСН. При одновременном применении коэффициенты перемножаются, результат округляется до семи знаков после запятой.</w:t>
      </w:r>
    </w:p>
    <w:p>
      <w:pPr>
        <w:pStyle w:val="ListParagraph"/>
        <w:numPr>
          <w:ilvl w:val="0"/>
          <w:numId w:val="4"/>
        </w:numPr>
        <w:tabs>
          <w:tab w:val="left" w:pos="284" w:leader="none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При внесении изменений в сметную документацию разрабатывается сводный сметный расчет, определяющий общую сметную стоимость строительства с учетом произведенных изменений проектной и (или) иной технической документации на полный объем работ с учетом объемов корректировки (исключаемых и дополнительных). Локальные сметные расчеты (сметы) разрабатываются отдельно на исключаемые и дополнительные объемы работ.</w:t>
      </w:r>
    </w:p>
    <w:p>
      <w:pPr>
        <w:pStyle w:val="ListParagraph"/>
        <w:numPr>
          <w:ilvl w:val="0"/>
          <w:numId w:val="4"/>
        </w:numPr>
        <w:tabs>
          <w:tab w:val="left" w:pos="284" w:leader="none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</w:rPr>
        <w:t>ЛСР</w:t>
      </w:r>
      <w:r>
        <w:rPr>
          <w:rFonts w:ascii="Times New Roman" w:hAnsi="Times New Roman"/>
          <w:sz w:val="24"/>
          <w:szCs w:val="24"/>
        </w:rPr>
        <w:t xml:space="preserve"> (ЛС) указывать величину накладных расходов по видам строительных, ремонтно-строительных, монтажных и пусконаладочных работ, на основании нормативных документов, внесенных в ФРСН.</w:t>
      </w:r>
    </w:p>
    <w:p>
      <w:pPr>
        <w:pStyle w:val="ListParagraph"/>
        <w:numPr>
          <w:ilvl w:val="0"/>
          <w:numId w:val="4"/>
        </w:numPr>
        <w:tabs>
          <w:tab w:val="left" w:pos="284" w:leader="none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</w:rPr>
        <w:t>ЛСР</w:t>
      </w:r>
      <w:r>
        <w:rPr>
          <w:rFonts w:ascii="Times New Roman" w:hAnsi="Times New Roman"/>
          <w:sz w:val="24"/>
          <w:szCs w:val="24"/>
        </w:rPr>
        <w:t xml:space="preserve"> (ЛС) указывать величину сметной прибыли по видам строительных, ремонтно-строительных, монтажных и пусконаладочных работ, на основании актуальных нормативных документов, внесенных в ФРСН.</w:t>
      </w:r>
    </w:p>
    <w:p>
      <w:pPr>
        <w:pStyle w:val="ListParagraph"/>
        <w:numPr>
          <w:ilvl w:val="0"/>
          <w:numId w:val="4"/>
        </w:numPr>
        <w:tabs>
          <w:tab w:val="left" w:pos="284" w:leader="none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>
          <w:rFonts w:ascii="Times New Roman" w:hAnsi="Times New Roman"/>
          <w:color w:val="000000"/>
          <w:sz w:val="24"/>
          <w:szCs w:val="24"/>
          <w:highlight w:val="green"/>
        </w:rPr>
      </w:pPr>
      <w:r>
        <w:rPr>
          <w:rFonts w:ascii="Times New Roman" w:hAnsi="Times New Roman"/>
          <w:color w:val="000000"/>
          <w:sz w:val="24"/>
          <w:szCs w:val="24"/>
          <w:highlight w:val="green"/>
        </w:rPr>
        <w:t>Понижающий коэффициент начисляется в локальных сметах единым индексом в итогах (после начисления лимитированных затрат в случае составления одной сметы). При этом, понижающий коэффициент, указывается в размере не более 7-ми знаков после запятой.</w:t>
      </w:r>
    </w:p>
    <w:p>
      <w:pPr>
        <w:pStyle w:val="ListParagraph"/>
        <w:numPr>
          <w:ilvl w:val="0"/>
          <w:numId w:val="4"/>
        </w:numPr>
        <w:tabs>
          <w:tab w:val="left" w:pos="284" w:leader="none"/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Сметная</w:t>
      </w:r>
      <w:r>
        <w:rPr>
          <w:rFonts w:ascii="Times New Roman" w:hAnsi="Times New Roman"/>
          <w:sz w:val="24"/>
          <w:szCs w:val="24"/>
        </w:rPr>
        <w:t xml:space="preserve"> стоимость пусконаладочных работ определяется на основании утвержденных заказчиком программы и графика. Расчет стоимости пусконаладочных работ составлять с применением сметных нормативов, включенных в ФРСН. При определении сметной стоимости полного комплекса пусконаладочных работ на основании раздела </w:t>
      </w:r>
      <w:r>
        <w:rPr>
          <w:rFonts w:ascii="Times New Roman" w:hAnsi="Times New Roman"/>
          <w:sz w:val="24"/>
          <w:szCs w:val="24"/>
          <w:lang w:val="en-US"/>
        </w:rPr>
        <w:t>VII</w:t>
      </w:r>
      <w:r>
        <w:rPr>
          <w:rFonts w:ascii="Times New Roman" w:hAnsi="Times New Roman"/>
          <w:sz w:val="24"/>
          <w:szCs w:val="24"/>
        </w:rPr>
        <w:t xml:space="preserve">. Методики определения сметной стоимости строительства: </w:t>
      </w:r>
    </w:p>
    <w:p>
      <w:pPr>
        <w:pStyle w:val="ConsPlusNormal1"/>
        <w:numPr>
          <w:ilvl w:val="0"/>
          <w:numId w:val="3"/>
        </w:numPr>
        <w:tabs>
          <w:tab w:val="left" w:pos="709" w:leader="none"/>
          <w:tab w:val="left" w:pos="1134" w:leader="none"/>
        </w:tabs>
        <w:spacing w:before="40" w:after="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Затраты на проведение пусконаладочных работ «вхолостую» по объектам производственного и непроизводственного назначения, связанных с получением дохода от реализации товаров (услуг) включаются в Главу 9 «Прочие работы и затраты» (графы 7 и 8) ССР. В соответствии с заданием Заказчика и при обосновании программами ПНР (комплексного опробования оборудования), в сметной стоимости ПНР дополнительно могут учитываться: стоимость материальных, энергетических ресурсов, сырья и полуфабрикатов, используемых при проведении ПНР «вхолостую».</w:t>
      </w:r>
    </w:p>
    <w:p>
      <w:pPr>
        <w:pStyle w:val="ConsPlusNormal1"/>
        <w:numPr>
          <w:ilvl w:val="0"/>
          <w:numId w:val="3"/>
        </w:numPr>
        <w:tabs>
          <w:tab w:val="left" w:pos="709" w:leader="none"/>
          <w:tab w:val="left" w:pos="1134" w:leader="none"/>
        </w:tabs>
        <w:spacing w:before="40" w:after="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Пусконаладочные работы «под нагрузкой» для объектов производственного и непроизводственного назначения, связанных с получением дохода от реализации товаров (услуг) не относятся на сметную стоимость строительства и в сметной документации не учитываются. Исключением являются ПНР на особо опасных, технически сложных и уникальных объектах капитального строительства, где необходимость учета таких затрат определяется заказчиком.</w:t>
      </w:r>
    </w:p>
    <w:p>
      <w:pPr>
        <w:pStyle w:val="ConsPlusNormal1"/>
        <w:tabs>
          <w:tab w:val="left" w:pos="709" w:leader="none"/>
          <w:tab w:val="left" w:pos="1134" w:leader="none"/>
        </w:tabs>
        <w:spacing w:before="40" w:after="4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Данные работы оформляются отдельными локальными сметами в соответствии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с Приложением № 1.5 к Требованиям по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 и включаются в ССР. </w:t>
      </w:r>
    </w:p>
    <w:p>
      <w:pPr>
        <w:pStyle w:val="ListParagraph"/>
        <w:numPr>
          <w:ilvl w:val="0"/>
          <w:numId w:val="4"/>
        </w:numPr>
        <w:tabs>
          <w:tab w:val="clear" w:pos="709"/>
          <w:tab w:val="left" w:pos="1134" w:leader="none"/>
        </w:tabs>
        <w:spacing w:lineRule="auto" w:line="240" w:before="40" w:after="40"/>
        <w:ind w:left="0" w:firstLine="567"/>
        <w:contextualSpacing w:val="false"/>
        <w:jc w:val="both"/>
        <w:rPr>
          <w:rFonts w:ascii="Times New Roman" w:hAnsi="Times New Roman"/>
          <w:sz w:val="24"/>
          <w:szCs w:val="24"/>
          <w:highlight w:val="green"/>
        </w:rPr>
      </w:pPr>
      <w:r>
        <w:rPr>
          <w:rFonts w:ascii="Times New Roman" w:hAnsi="Times New Roman"/>
          <w:sz w:val="24"/>
          <w:szCs w:val="24"/>
          <w:highlight w:val="green"/>
        </w:rPr>
        <w:t>В ЛС на ПНР коэффициенты, учитывающие условия производства работ, начисляются только на те этапы работ, которые фактически производятся в данных условиях. Долю работ в общих затратах, для начисления коэффициента, принимать в соответствии со структурой пусконаладочных работ, приведенной в Общих положениях сборников на ПНР.</w:t>
      </w:r>
    </w:p>
    <w:p>
      <w:pPr>
        <w:pStyle w:val="ListParagraph"/>
        <w:numPr>
          <w:ilvl w:val="0"/>
          <w:numId w:val="4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Стоимость</w:t>
      </w:r>
      <w:r>
        <w:rPr>
          <w:rFonts w:ascii="Times New Roman" w:hAnsi="Times New Roman"/>
          <w:sz w:val="24"/>
          <w:szCs w:val="24"/>
        </w:rPr>
        <w:t xml:space="preserve"> шеф - монтажных и шеф - наладочных работ включается в сметную стоимость оборудования </w:t>
      </w:r>
      <w:r>
        <w:rPr>
          <w:rFonts w:ascii="Times New Roman" w:hAnsi="Times New Roman"/>
          <w:sz w:val="24"/>
          <w:szCs w:val="24"/>
          <w:highlight w:val="green"/>
        </w:rPr>
        <w:t>либо оформляется</w:t>
      </w:r>
      <w:r>
        <w:rPr>
          <w:rFonts w:ascii="Times New Roman" w:hAnsi="Times New Roman"/>
          <w:sz w:val="24"/>
          <w:szCs w:val="24"/>
        </w:rPr>
        <w:t xml:space="preserve"> отдельными расчетами. </w:t>
      </w:r>
    </w:p>
    <w:p>
      <w:pPr>
        <w:pStyle w:val="Normal"/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Расчет стоимости шеф - монтажных работ выполняется по форме 3П с предоставлением подтверждающих документов по уровню заработной платы, удельному весу накладных расходов в себестоимости, уровню рентабельности </w:t>
      </w:r>
      <w:r>
        <w:rPr>
          <w:rFonts w:ascii="Times New Roman" w:hAnsi="Times New Roman"/>
          <w:color w:val="000000"/>
          <w:sz w:val="24"/>
          <w:szCs w:val="24"/>
        </w:rPr>
        <w:t>(образец формы расчета представлен в Приложении № 2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перевооружению).</w:t>
      </w:r>
      <w:r>
        <w:rPr>
          <w:rFonts w:ascii="Times New Roman" w:hAnsi="Times New Roman"/>
          <w:sz w:val="24"/>
          <w:szCs w:val="24"/>
        </w:rPr>
        <w:t xml:space="preserve"> Участник (подрядчик, контрагент) представляет смету на шеф-монтажные работы составленную в соответствии с графиком выполнения работ.</w:t>
      </w:r>
    </w:p>
    <w:p>
      <w:pPr>
        <w:pStyle w:val="ListParagraph"/>
        <w:numPr>
          <w:ilvl w:val="0"/>
          <w:numId w:val="4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определении сметных затрат на демонтаж строительных конструкций и оборудования стоимость погрузки, перевозки (от строительной площадки до места утилизации или складирования) и разгрузки строительного мусора и материалов, полученных при разборке строительных конструкций и оборудования, следует учитывать дополнительно, на основании проектной и (или) иной технической документации, проекта организации работ по сносу объекта капитального строительства.</w:t>
      </w:r>
    </w:p>
    <w:p>
      <w:pPr>
        <w:pStyle w:val="ListParagraph"/>
        <w:numPr>
          <w:ilvl w:val="0"/>
          <w:numId w:val="4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color w:val="000000"/>
          <w:sz w:val="24"/>
          <w:szCs w:val="24"/>
        </w:rPr>
        <w:t>локальных</w:t>
      </w:r>
      <w:r>
        <w:rPr>
          <w:rFonts w:ascii="Times New Roman" w:hAnsi="Times New Roman"/>
          <w:sz w:val="24"/>
          <w:szCs w:val="24"/>
        </w:rPr>
        <w:t xml:space="preserve"> сметных расчетах построчные и итоговые суммы </w:t>
      </w:r>
      <w:r>
        <w:rPr>
          <w:rFonts w:ascii="Times New Roman" w:hAnsi="Times New Roman"/>
          <w:b/>
          <w:sz w:val="24"/>
          <w:szCs w:val="24"/>
          <w:u w:val="single"/>
        </w:rPr>
        <w:t>округлять:</w:t>
      </w:r>
    </w:p>
    <w:p>
      <w:pPr>
        <w:pStyle w:val="ConsPlusNormal1"/>
        <w:numPr>
          <w:ilvl w:val="0"/>
          <w:numId w:val="3"/>
        </w:numPr>
        <w:tabs>
          <w:tab w:val="left" w:pos="709" w:leader="none"/>
          <w:tab w:val="left" w:pos="1134" w:leader="none"/>
        </w:tabs>
        <w:spacing w:before="40" w:after="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при базисно-индексном методе до двух знаков после запятой (до копеек)</w:t>
      </w:r>
      <w:r>
        <w:rPr>
          <w:rFonts w:cs="Times New Roman" w:ascii="Times New Roman" w:hAnsi="Times New Roman"/>
          <w:b/>
          <w:sz w:val="24"/>
          <w:szCs w:val="24"/>
        </w:rPr>
        <w:t>.</w:t>
      </w:r>
    </w:p>
    <w:p>
      <w:pPr>
        <w:pStyle w:val="ConsPlusNormal1"/>
        <w:numPr>
          <w:ilvl w:val="0"/>
          <w:numId w:val="3"/>
        </w:numPr>
        <w:tabs>
          <w:tab w:val="left" w:pos="709" w:leader="none"/>
          <w:tab w:val="left" w:pos="1134" w:leader="none"/>
        </w:tabs>
        <w:spacing w:before="40" w:after="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при ресурсно-индексном и ресурсным методах, а также в сметных расчетах на отдельные виды затрат - в рублях </w:t>
      </w:r>
      <w:r>
        <w:rPr>
          <w:rFonts w:cs="Times New Roman" w:ascii="Times New Roman" w:hAnsi="Times New Roman"/>
          <w:b/>
          <w:sz w:val="24"/>
          <w:szCs w:val="24"/>
        </w:rPr>
        <w:t>до целых единиц</w:t>
      </w:r>
      <w:r>
        <w:rPr>
          <w:rFonts w:cs="Times New Roman" w:ascii="Times New Roman" w:hAnsi="Times New Roman"/>
          <w:sz w:val="24"/>
          <w:szCs w:val="24"/>
        </w:rPr>
        <w:t>;</w:t>
      </w:r>
    </w:p>
    <w:p>
      <w:pPr>
        <w:pStyle w:val="ConsPlusNormal1"/>
        <w:numPr>
          <w:ilvl w:val="0"/>
          <w:numId w:val="3"/>
        </w:numPr>
        <w:tabs>
          <w:tab w:val="left" w:pos="709" w:leader="none"/>
          <w:tab w:val="left" w:pos="1134" w:leader="none"/>
        </w:tabs>
        <w:spacing w:before="40" w:after="4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 объектных сметных расчетах (сметах), сводном сметном расчете и сводке затрат - в рублях с до двух знаков после запятой. Величину НДС не указывать.</w:t>
      </w:r>
    </w:p>
    <w:p>
      <w:pPr>
        <w:pStyle w:val="ListParagraph"/>
        <w:numPr>
          <w:ilvl w:val="0"/>
          <w:numId w:val="4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Выходные</w:t>
      </w:r>
      <w:r>
        <w:rPr>
          <w:rFonts w:ascii="Times New Roman" w:hAnsi="Times New Roman"/>
          <w:sz w:val="24"/>
          <w:szCs w:val="24"/>
        </w:rPr>
        <w:t xml:space="preserve"> формы сметных расчетов должны соответствовать Образцу согласно Приложению 1.5.</w:t>
      </w:r>
    </w:p>
    <w:p>
      <w:pPr>
        <w:pStyle w:val="ListParagraph"/>
        <w:numPr>
          <w:ilvl w:val="0"/>
          <w:numId w:val="4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сметных расчетах при исключении и добавлении ресурсов (материалов) необходимо данные ресурсы относить в отдельную позицию, не допускается изменение внутри расценки.</w:t>
      </w:r>
    </w:p>
    <w:p>
      <w:pPr>
        <w:pStyle w:val="ListParagraph"/>
        <w:numPr>
          <w:ilvl w:val="0"/>
          <w:numId w:val="4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При наличии двух и более сметных расчетов составлять ССР в текущем уровне цен </w:t>
      </w:r>
      <w:r>
        <w:rPr>
          <w:rFonts w:ascii="Times New Roman" w:hAnsi="Times New Roman"/>
          <w:sz w:val="24"/>
          <w:szCs w:val="24"/>
        </w:rPr>
        <w:t xml:space="preserve">по форме </w:t>
      </w:r>
      <w:r>
        <w:rPr>
          <w:rFonts w:ascii="Times New Roman" w:hAnsi="Times New Roman"/>
          <w:color w:val="000000"/>
          <w:sz w:val="24"/>
          <w:szCs w:val="24"/>
        </w:rPr>
        <w:t>Приложения № 1.1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перевооружению.</w:t>
      </w:r>
    </w:p>
    <w:p>
      <w:pPr>
        <w:pStyle w:val="ConsPlusNormal1"/>
        <w:widowControl/>
        <w:numPr>
          <w:ilvl w:val="0"/>
          <w:numId w:val="4"/>
        </w:numPr>
        <w:tabs>
          <w:tab w:val="clear" w:pos="709"/>
          <w:tab w:val="left" w:pos="1134" w:leader="none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 заключений дополнительных соглашений к договору (далее - д/с), ССР необходимо выполнять в накопительной форме с учетом </w:t>
      </w:r>
      <w:r>
        <w:rPr>
          <w:rFonts w:cs="Times New Roman" w:ascii="Times New Roman" w:hAnsi="Times New Roman"/>
          <w:color w:val="000000"/>
          <w:sz w:val="24"/>
          <w:szCs w:val="24"/>
        </w:rPr>
        <w:t>ЛСР (</w:t>
      </w:r>
      <w:r>
        <w:rPr>
          <w:rFonts w:ascii="Times New Roman" w:hAnsi="Times New Roman"/>
          <w:color w:val="000000"/>
          <w:sz w:val="24"/>
          <w:szCs w:val="24"/>
        </w:rPr>
        <w:t xml:space="preserve">ЛС) к основному договору и ко всем заключенным д/с к нему. В итогах ССР (справочно) указывать суммы изменения (уменьшения, увеличения) основного договора на основании заключения д/с, которые определяются как разница между суммой ССР очередного д/с и стоимостью основного договора. Форма ССР с учетом заключения д/с к договору приведена в Приложении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№ 1.2 к </w:t>
      </w:r>
      <w:r>
        <w:rPr>
          <w:rFonts w:ascii="Times New Roman" w:hAnsi="Times New Roman"/>
          <w:color w:val="000000"/>
          <w:sz w:val="24"/>
          <w:szCs w:val="24"/>
        </w:rPr>
        <w:t xml:space="preserve">Требованиям к оформлению и составлению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>
      <w:pPr>
        <w:pStyle w:val="ConsPlusNormal1"/>
        <w:widowControl/>
        <w:numPr>
          <w:ilvl w:val="0"/>
          <w:numId w:val="4"/>
        </w:numPr>
        <w:tabs>
          <w:tab w:val="clear" w:pos="709"/>
          <w:tab w:val="left" w:pos="1134" w:leader="none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ЛСР (ЛС) разрабатываются отдельно на исключаемые и дополнительные объемы работ. К сметной документации дополнительно прилагаются и являются ее неотъемлемой частью сопоставительные ведомости изменения сметной стоимости и сопоставительные ведомости изменения объемов работ, подготовленные в соответствии с Образцом по Приложениям №№ 1.3 и 1.4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к Требованиям </w:t>
      </w:r>
      <w:r>
        <w:rPr>
          <w:rFonts w:ascii="Times New Roman" w:hAnsi="Times New Roman"/>
          <w:color w:val="000000"/>
          <w:sz w:val="24"/>
          <w:szCs w:val="24"/>
        </w:rPr>
        <w:t xml:space="preserve">к оформлению и составлению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сметной документации на выполнение строительно-монтажных работ по программе ремонтов, реконструкции и техническому перевооружению. </w:t>
      </w:r>
    </w:p>
    <w:p>
      <w:pPr>
        <w:pStyle w:val="ConsPlusNormal1"/>
        <w:widowControl/>
        <w:numPr>
          <w:ilvl w:val="0"/>
          <w:numId w:val="4"/>
        </w:numPr>
        <w:tabs>
          <w:tab w:val="clear" w:pos="709"/>
          <w:tab w:val="left" w:pos="1134" w:leader="none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ЛС являются приложениями к ССР. Нумерация приложений указывается по мере включения ЛС в ССР в накопительной форме - по порядку.</w:t>
      </w:r>
    </w:p>
    <w:p>
      <w:pPr>
        <w:pStyle w:val="ConsPlusNormal1"/>
        <w:widowControl/>
        <w:numPr>
          <w:ilvl w:val="0"/>
          <w:numId w:val="4"/>
        </w:numPr>
        <w:tabs>
          <w:tab w:val="clear" w:pos="709"/>
          <w:tab w:val="left" w:pos="1134" w:leader="none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Разнесение затрат (сумм ЛС) по графам и главам ССР осуществлять в соответствии с указаниями Методики определения сметной стоимости строительства.</w:t>
      </w:r>
    </w:p>
    <w:p>
      <w:pPr>
        <w:pStyle w:val="ConsPlusNormal1"/>
        <w:widowControl/>
        <w:numPr>
          <w:ilvl w:val="0"/>
          <w:numId w:val="4"/>
        </w:numPr>
        <w:tabs>
          <w:tab w:val="clear" w:pos="709"/>
          <w:tab w:val="left" w:pos="1134" w:leader="none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ССР, построчные и итоговые суммы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указывать </w:t>
      </w:r>
      <w:r>
        <w:rPr>
          <w:rFonts w:ascii="Times New Roman" w:hAnsi="Times New Roman"/>
          <w:color w:val="000000"/>
          <w:sz w:val="24"/>
          <w:szCs w:val="24"/>
        </w:rPr>
        <w:t>в рублях с округлением до двух знаков после запятой. Величину НДС не указывать.</w:t>
      </w:r>
    </w:p>
    <w:p>
      <w:pPr>
        <w:pStyle w:val="ConsPlusNormal1"/>
        <w:widowControl/>
        <w:numPr>
          <w:ilvl w:val="0"/>
          <w:numId w:val="4"/>
        </w:numPr>
        <w:tabs>
          <w:tab w:val="clear" w:pos="709"/>
          <w:tab w:val="left" w:pos="1134" w:leader="none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В случае выполнения Подрядчиком полного комплекса пусконаладочных работ («вхолостую» и «под нагрузкой») сумму затрат на выполнение пусконаладочных работ «под нагрузкой» включать за итогом ССР. Таким образом, общая стоимость работ по договору (дополнительному соглашению) будет включать в себя все затраты Подрядчика в рамках конкретного договора, включая пусконаладочные работы «под нагрузкой» (для работ, выполняемых в рамках ТПиР). </w:t>
      </w:r>
    </w:p>
    <w:p>
      <w:pPr>
        <w:pStyle w:val="ConsPlusNormal1"/>
        <w:widowControl/>
        <w:numPr>
          <w:ilvl w:val="0"/>
          <w:numId w:val="4"/>
        </w:numPr>
        <w:tabs>
          <w:tab w:val="clear" w:pos="709"/>
          <w:tab w:val="left" w:pos="1134" w:leader="none"/>
        </w:tabs>
        <w:ind w:left="0" w:firstLine="567"/>
        <w:jc w:val="both"/>
        <w:rPr>
          <w:rFonts w:ascii="Times New Roman" w:hAnsi="Times New Roman"/>
          <w:color w:val="000000"/>
          <w:sz w:val="24"/>
          <w:szCs w:val="24"/>
          <w:highlight w:val="green"/>
        </w:rPr>
      </w:pPr>
      <w:r>
        <w:rPr>
          <w:rFonts w:ascii="Times New Roman" w:hAnsi="Times New Roman"/>
          <w:color w:val="000000"/>
          <w:sz w:val="24"/>
          <w:szCs w:val="24"/>
          <w:highlight w:val="green"/>
        </w:rPr>
        <w:t>В случае если договором определена только предельная цена, то в ССР указываются составляющие стоимости в соответствии с договором.</w:t>
      </w:r>
    </w:p>
    <w:p>
      <w:pPr>
        <w:pStyle w:val="ListParagraph"/>
        <w:numPr>
          <w:ilvl w:val="0"/>
          <w:numId w:val="4"/>
        </w:numPr>
        <w:tabs>
          <w:tab w:val="left" w:pos="709" w:leader="none"/>
          <w:tab w:val="left" w:pos="1134" w:leader="none"/>
          <w:tab w:val="left" w:pos="1276" w:leader="none"/>
        </w:tabs>
        <w:spacing w:lineRule="auto" w:line="240" w:before="40" w:after="40"/>
        <w:ind w:left="0" w:firstLine="567"/>
        <w:contextualSpacing w:val="false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Сметная документация должна быть представлена в двух вариантах:</w:t>
      </w:r>
    </w:p>
    <w:p>
      <w:pPr>
        <w:pStyle w:val="ConsPlusNormal1"/>
        <w:numPr>
          <w:ilvl w:val="0"/>
          <w:numId w:val="3"/>
        </w:numPr>
        <w:tabs>
          <w:tab w:val="left" w:pos="709" w:leader="none"/>
          <w:tab w:val="left" w:pos="851" w:leader="none"/>
          <w:tab w:val="left" w:pos="1134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бумажном носителе (количество указано в конкурсной документации) Образец ЛСР в соответствии с приложением № 1.5 к Требованиям к оформлению и составлению сметной документации на выполнение строительно-монтажных работ по программе ремонтов, реконструкции и техническому перевооружению;</w:t>
      </w:r>
    </w:p>
    <w:p>
      <w:pPr>
        <w:pStyle w:val="ConsPlusNormal1"/>
        <w:numPr>
          <w:ilvl w:val="0"/>
          <w:numId w:val="3"/>
        </w:numPr>
        <w:tabs>
          <w:tab w:val="left" w:pos="709" w:leader="none"/>
          <w:tab w:val="left" w:pos="851" w:leader="none"/>
        </w:tabs>
        <w:spacing w:before="40" w:after="4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на электронном носителе (в формате «xml» ПК «Гранд-Смета», «Excel», «pdf»), полностью соответствующему, бумажному варианту. Сметная документация в формате «Excel» должна быть представлена в одном файле с внесением ССР, ЛСР и других расчетов на отдельные листы (вкладки) документа.</w:t>
      </w:r>
    </w:p>
    <w:p>
      <w:pPr>
        <w:pStyle w:val="Normal"/>
        <w:spacing w:lineRule="auto" w:line="240" w:before="0" w:after="0"/>
        <w:ind w:left="5811" w:hanging="0"/>
        <w:rPr>
          <w:rFonts w:ascii="Times New Roman" w:hAnsi="Times New Roman"/>
          <w:color w:val="000000"/>
          <w:sz w:val="20"/>
          <w:szCs w:val="20"/>
          <w:highlight w:val="yellow"/>
        </w:rPr>
      </w:pPr>
      <w:r>
        <w:rPr>
          <w:rFonts w:ascii="Times New Roman" w:hAnsi="Times New Roman"/>
          <w:color w:val="000000"/>
          <w:sz w:val="20"/>
          <w:szCs w:val="20"/>
          <w:highlight w:val="yellow"/>
        </w:rPr>
      </w:r>
    </w:p>
    <w:p>
      <w:pPr>
        <w:pStyle w:val="Normal"/>
        <w:spacing w:lineRule="auto" w:line="240" w:before="0" w:after="0"/>
        <w:ind w:left="5811" w:hanging="0"/>
        <w:rPr>
          <w:rFonts w:ascii="Times New Roman" w:hAnsi="Times New Roman"/>
          <w:color w:val="000000"/>
          <w:sz w:val="20"/>
          <w:szCs w:val="20"/>
          <w:highlight w:val="yellow"/>
        </w:rPr>
      </w:pPr>
      <w:r>
        <w:rPr>
          <w:rFonts w:ascii="Times New Roman" w:hAnsi="Times New Roman"/>
          <w:color w:val="000000"/>
          <w:sz w:val="20"/>
          <w:szCs w:val="20"/>
          <w:highlight w:val="yellow"/>
        </w:rPr>
      </w:r>
    </w:p>
    <w:p>
      <w:pPr>
        <w:sectPr>
          <w:footerReference w:type="default" r:id="rId2"/>
          <w:type w:val="nextPage"/>
          <w:pgSz w:w="11906" w:h="16838"/>
          <w:pgMar w:left="1276" w:right="707" w:gutter="0" w:header="0" w:top="851" w:footer="709" w:bottom="766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  <w:highlight w:val="yellow"/>
        </w:rPr>
      </w:pPr>
      <w:r>
        <w:rPr>
          <w:rFonts w:ascii="Times New Roman" w:hAnsi="Times New Roman"/>
          <w:color w:val="000000"/>
          <w:sz w:val="20"/>
          <w:szCs w:val="20"/>
          <w:highlight w:val="yellow"/>
        </w:rPr>
      </w:r>
      <w:r>
        <w:br w:type="page"/>
      </w:r>
    </w:p>
    <w:p>
      <w:pPr>
        <w:pStyle w:val="ListParagraph"/>
        <w:spacing w:lineRule="auto" w:line="240" w:before="0" w:after="0"/>
        <w:ind w:left="928" w:right="666" w:hanging="0"/>
        <w:contextualSpacing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Приложение №1.1 </w:t>
      </w:r>
    </w:p>
    <w:p>
      <w:pPr>
        <w:pStyle w:val="ConsPlusNormal1"/>
        <w:ind w:left="928" w:right="666" w:hanging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к Требованиям к оформлению и составлению сметной </w:t>
      </w:r>
    </w:p>
    <w:p>
      <w:pPr>
        <w:pStyle w:val="ConsPlusNormal1"/>
        <w:ind w:left="928" w:right="666" w:hanging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документации на выполнение работ по программе </w:t>
      </w:r>
    </w:p>
    <w:p>
      <w:pPr>
        <w:pStyle w:val="ConsPlusNormal1"/>
        <w:ind w:left="928" w:right="666" w:hanging="0"/>
        <w:jc w:val="righ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ремонтов, реконструкции и техническому перевооружению  </w:t>
      </w:r>
    </w:p>
    <w:tbl>
      <w:tblPr>
        <w:tblW w:w="1583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238"/>
        <w:gridCol w:w="73"/>
        <w:gridCol w:w="1635"/>
        <w:gridCol w:w="583"/>
        <w:gridCol w:w="2842"/>
        <w:gridCol w:w="105"/>
        <w:gridCol w:w="12"/>
        <w:gridCol w:w="1525"/>
        <w:gridCol w:w="130"/>
        <w:gridCol w:w="14"/>
        <w:gridCol w:w="1677"/>
        <w:gridCol w:w="68"/>
        <w:gridCol w:w="13"/>
        <w:gridCol w:w="1840"/>
        <w:gridCol w:w="12"/>
        <w:gridCol w:w="34"/>
        <w:gridCol w:w="1930"/>
        <w:gridCol w:w="14"/>
        <w:gridCol w:w="293"/>
        <w:gridCol w:w="1667"/>
        <w:gridCol w:w="10"/>
        <w:gridCol w:w="117"/>
      </w:tblGrid>
      <w:tr>
        <w:trPr>
          <w:trHeight w:val="312" w:hRule="atLeast"/>
        </w:trPr>
        <w:tc>
          <w:tcPr>
            <w:tcW w:w="352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ОБРАЗЕЦ</w:t>
            </w:r>
          </w:p>
        </w:tc>
        <w:tc>
          <w:tcPr>
            <w:tcW w:w="29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6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75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53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3950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Приложение __ от ______</w:t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 Договору № _________ от ______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352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СОГЛАСОВАНО:</w:t>
            </w:r>
          </w:p>
        </w:tc>
        <w:tc>
          <w:tcPr>
            <w:tcW w:w="29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</w:tc>
        <w:tc>
          <w:tcPr>
            <w:tcW w:w="166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75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5803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УТВЕРЖДАЮ: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3529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___________________ФИО</w:t>
            </w:r>
          </w:p>
        </w:tc>
        <w:tc>
          <w:tcPr>
            <w:tcW w:w="29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6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75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5803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___________________ФИО       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6488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"_______" _____________ 20___ г.</w:t>
            </w:r>
          </w:p>
        </w:tc>
        <w:tc>
          <w:tcPr>
            <w:tcW w:w="166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75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5800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"______" ____________________ 20__ г.</w:t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65" w:hRule="atLeast"/>
        </w:trPr>
        <w:tc>
          <w:tcPr>
            <w:tcW w:w="123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91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9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255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Сводный сметный расчет в сумме:______</w:t>
            </w:r>
          </w:p>
        </w:tc>
        <w:tc>
          <w:tcPr>
            <w:tcW w:w="197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руб. без НДС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44" w:hRule="atLeast"/>
        </w:trPr>
        <w:tc>
          <w:tcPr>
            <w:tcW w:w="123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91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947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5279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СВОДНЫЙ СМЕТНЫЙ РАСЧЕТ </w:t>
            </w:r>
          </w:p>
        </w:tc>
        <w:tc>
          <w:tcPr>
            <w:tcW w:w="197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97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08" w:hRule="atLeast"/>
        </w:trPr>
        <w:tc>
          <w:tcPr>
            <w:tcW w:w="123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9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202" w:type="dxa"/>
            <w:gridSpan w:val="13"/>
            <w:tcBorders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97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3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9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947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5279" w:type="dxa"/>
            <w:gridSpan w:val="8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(наименование стройки)</w:t>
            </w:r>
          </w:p>
        </w:tc>
        <w:tc>
          <w:tcPr>
            <w:tcW w:w="1976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974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38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677" w:type="dxa"/>
            <w:gridSpan w:val="1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Составлен в ценах, соответствующих периоду выполнения работ по договору</w:t>
            </w:r>
          </w:p>
        </w:tc>
        <w:tc>
          <w:tcPr>
            <w:tcW w:w="185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978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970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12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hAnsi="Times New Roman"/>
                <w:sz w:val="18"/>
                <w:szCs w:val="18"/>
              </w:rPr>
              <w:t>пп</w:t>
            </w:r>
          </w:p>
        </w:tc>
        <w:tc>
          <w:tcPr>
            <w:tcW w:w="229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Номера сметных расчетов и смет</w:t>
            </w:r>
          </w:p>
        </w:tc>
        <w:tc>
          <w:tcPr>
            <w:tcW w:w="294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глав, объектов, работ и затрат</w:t>
            </w:r>
          </w:p>
        </w:tc>
        <w:tc>
          <w:tcPr>
            <w:tcW w:w="7255" w:type="dxa"/>
            <w:gridSpan w:val="11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Сметная стоимость, руб.</w:t>
            </w:r>
          </w:p>
        </w:tc>
        <w:tc>
          <w:tcPr>
            <w:tcW w:w="197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сметная стоимость, руб.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9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94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67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строительных работ</w:t>
            </w:r>
          </w:p>
        </w:tc>
        <w:tc>
          <w:tcPr>
            <w:tcW w:w="175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монтажных работ</w:t>
            </w:r>
          </w:p>
        </w:tc>
        <w:tc>
          <w:tcPr>
            <w:tcW w:w="185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оборудования, мебели, инвентаря</w:t>
            </w:r>
          </w:p>
        </w:tc>
        <w:tc>
          <w:tcPr>
            <w:tcW w:w="1976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прочих</w:t>
            </w:r>
          </w:p>
        </w:tc>
        <w:tc>
          <w:tcPr>
            <w:tcW w:w="197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9" w:hRule="atLeast"/>
        </w:trPr>
        <w:tc>
          <w:tcPr>
            <w:tcW w:w="123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91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94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67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759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5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976" w:type="dxa"/>
            <w:gridSpan w:val="3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974" w:type="dxa"/>
            <w:gridSpan w:val="3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3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91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947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667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759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853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976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974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571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Глава 2. Основные объекты строительства</w:t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29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02-01-01</w:t>
            </w:r>
          </w:p>
        </w:tc>
        <w:tc>
          <w:tcPr>
            <w:tcW w:w="294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…</w:t>
            </w:r>
          </w:p>
        </w:tc>
        <w:tc>
          <w:tcPr>
            <w:tcW w:w="16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7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7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86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25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по Главе 2. "Основные объекты строительства"</w:t>
            </w:r>
          </w:p>
        </w:tc>
        <w:tc>
          <w:tcPr>
            <w:tcW w:w="166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5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5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7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7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25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по Главам 1-12</w:t>
            </w:r>
          </w:p>
        </w:tc>
        <w:tc>
          <w:tcPr>
            <w:tcW w:w="166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5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5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7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7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15715" w:type="dxa"/>
            <w:gridSpan w:val="2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Непредвиденные затраты</w:t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91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947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67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53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76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74" w:type="dxa"/>
            <w:gridSpan w:val="3"/>
            <w:tcBorders>
              <w:bottom w:val="single" w:sz="4" w:space="0" w:color="000000"/>
              <w:right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0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25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с учетом "Непредвиденные затраты"</w:t>
            </w:r>
          </w:p>
        </w:tc>
        <w:tc>
          <w:tcPr>
            <w:tcW w:w="166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5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5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7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7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5250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по сводному расчету</w:t>
            </w:r>
          </w:p>
        </w:tc>
        <w:tc>
          <w:tcPr>
            <w:tcW w:w="166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5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5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78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70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1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131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3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Составил:</w:t>
            </w:r>
          </w:p>
        </w:tc>
        <w:tc>
          <w:tcPr>
            <w:tcW w:w="3425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42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21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67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37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94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>
        <w:trPr>
          <w:trHeight w:val="312" w:hRule="atLeast"/>
        </w:trPr>
        <w:tc>
          <w:tcPr>
            <w:tcW w:w="131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3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3425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430" w:type="dxa"/>
            <w:gridSpan w:val="11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(должность, подпись, расшифровка)</w:t>
            </w:r>
          </w:p>
        </w:tc>
        <w:tc>
          <w:tcPr>
            <w:tcW w:w="2237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94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</w:tr>
      <w:tr>
        <w:trPr>
          <w:trHeight w:val="312" w:hRule="atLeast"/>
        </w:trPr>
        <w:tc>
          <w:tcPr>
            <w:tcW w:w="131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3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Проверил:</w:t>
            </w:r>
          </w:p>
        </w:tc>
        <w:tc>
          <w:tcPr>
            <w:tcW w:w="3425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42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21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67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37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94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>
        <w:trPr>
          <w:trHeight w:val="724" w:hRule="atLeast"/>
        </w:trPr>
        <w:tc>
          <w:tcPr>
            <w:tcW w:w="1311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3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sz w:val="18"/>
                <w:szCs w:val="18"/>
              </w:rPr>
            </w:pPr>
            <w:r>
              <w:rPr/>
              <w:object>
                <v:shapetype id="_x0000_tole_rId3" coordsize="21600,21600" o:spt="ole_rId3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3" type="_x0000_tole_rId3" style="width:68.4pt;height:43.6pt;mso-wrap-distance-right:0pt" filled="f" o:ole="">
                  <v:imagedata r:id="rId4" o:title=""/>
                </v:shape>
                <o:OLEObject Type="Embed" ProgID="Excel.Sheet.12" ShapeID="ole_rId3" DrawAspect="Icon" ObjectID="_1453154963" r:id="rId3"/>
              </w:object>
            </w:r>
          </w:p>
        </w:tc>
        <w:tc>
          <w:tcPr>
            <w:tcW w:w="3425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430" w:type="dxa"/>
            <w:gridSpan w:val="11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(должность, подпись, расшифровка)</w:t>
            </w:r>
          </w:p>
        </w:tc>
        <w:tc>
          <w:tcPr>
            <w:tcW w:w="2237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794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</w:tr>
    </w:tbl>
    <w:p>
      <w:pPr>
        <w:sectPr>
          <w:footerReference w:type="default" r:id="rId5"/>
          <w:footerReference w:type="first" r:id="rId6"/>
          <w:type w:val="nextPage"/>
          <w:pgSz w:orient="landscape" w:w="16838" w:h="11906"/>
          <w:pgMar w:left="425" w:right="851" w:gutter="0" w:header="0" w:top="851" w:footer="709" w:bottom="766"/>
          <w:pgNumType w:fmt="decimal"/>
          <w:formProt w:val="false"/>
          <w:textDirection w:val="lrTb"/>
          <w:docGrid w:type="default" w:linePitch="360" w:charSpace="0"/>
        </w:sectPr>
        <w:pStyle w:val="ListParagraph"/>
        <w:spacing w:lineRule="auto" w:line="240" w:before="0" w:after="0"/>
        <w:ind w:left="928" w:hanging="0"/>
        <w:contextualSpacing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</w:r>
    </w:p>
    <w:p>
      <w:pPr>
        <w:pStyle w:val="ConsPlusNormal1"/>
        <w:widowControl/>
        <w:ind w:left="720" w:hanging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397" w:firstLine="720"/>
        <w:rPr>
          <w:rFonts w:ascii="Times New Roman" w:hAnsi="Times New Roman"/>
        </w:rPr>
      </w:pPr>
      <w:r>
        <w:rPr>
          <w:rFonts w:ascii="Times New Roman" w:hAnsi="Times New Roman"/>
          <w:b/>
        </w:rPr>
        <w:t>ОБРАЗЕЦ</w:t>
      </w:r>
      <w:r>
        <w:rPr>
          <w:rFonts w:ascii="Times New Roman" w:hAnsi="Times New Roman"/>
        </w:rPr>
        <w:t xml:space="preserve">             </w:t>
      </w:r>
    </w:p>
    <w:p>
      <w:pPr>
        <w:pStyle w:val="Normal"/>
        <w:spacing w:lineRule="auto" w:line="240" w:before="0" w:after="0"/>
        <w:ind w:left="8646" w:firstLine="72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Приложение №1.2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Требованиям к оформлению и составлению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сметной документации на выполнение работ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 программе ремонтов, реконструкции и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техническому перевооружению</w:t>
      </w:r>
    </w:p>
    <w:tbl>
      <w:tblPr>
        <w:tblW w:w="16199" w:type="dxa"/>
        <w:jc w:val="left"/>
        <w:tblInd w:w="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722"/>
        <w:gridCol w:w="219"/>
        <w:gridCol w:w="1445"/>
        <w:gridCol w:w="220"/>
        <w:gridCol w:w="3264"/>
        <w:gridCol w:w="235"/>
        <w:gridCol w:w="217"/>
        <w:gridCol w:w="1207"/>
        <w:gridCol w:w="1843"/>
        <w:gridCol w:w="245"/>
        <w:gridCol w:w="823"/>
        <w:gridCol w:w="917"/>
        <w:gridCol w:w="257"/>
        <w:gridCol w:w="533"/>
        <w:gridCol w:w="220"/>
        <w:gridCol w:w="838"/>
        <w:gridCol w:w="419"/>
        <w:gridCol w:w="20"/>
        <w:gridCol w:w="434"/>
        <w:gridCol w:w="439"/>
        <w:gridCol w:w="217"/>
        <w:gridCol w:w="716"/>
        <w:gridCol w:w="747"/>
      </w:tblGrid>
      <w:tr>
        <w:trPr>
          <w:trHeight w:val="78" w:hRule="atLeast"/>
        </w:trPr>
        <w:tc>
          <w:tcPr>
            <w:tcW w:w="260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СОГЛАСОВАНО:</w:t>
            </w:r>
          </w:p>
        </w:tc>
        <w:tc>
          <w:tcPr>
            <w:tcW w:w="3716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</w:r>
          </w:p>
        </w:tc>
        <w:tc>
          <w:tcPr>
            <w:tcW w:w="3295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97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583" w:type="dxa"/>
            <w:gridSpan w:val="10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УТВЕРЖДАЮ:</w:t>
            </w:r>
          </w:p>
        </w:tc>
      </w:tr>
      <w:tr>
        <w:trPr>
          <w:trHeight w:val="312" w:hRule="atLeast"/>
        </w:trPr>
        <w:tc>
          <w:tcPr>
            <w:tcW w:w="2606" w:type="dxa"/>
            <w:gridSpan w:val="4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 ФИО</w:t>
            </w:r>
          </w:p>
        </w:tc>
        <w:tc>
          <w:tcPr>
            <w:tcW w:w="3716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295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97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583" w:type="dxa"/>
            <w:gridSpan w:val="10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________________ФИО</w:t>
            </w:r>
          </w:p>
        </w:tc>
      </w:tr>
      <w:tr>
        <w:trPr>
          <w:trHeight w:val="312" w:hRule="atLeast"/>
        </w:trPr>
        <w:tc>
          <w:tcPr>
            <w:tcW w:w="6322" w:type="dxa"/>
            <w:gridSpan w:val="7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"___" _____________ 20__ г.</w:t>
            </w:r>
          </w:p>
        </w:tc>
        <w:tc>
          <w:tcPr>
            <w:tcW w:w="3295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97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583" w:type="dxa"/>
            <w:gridSpan w:val="10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"___" _____________ 20__ г.</w:t>
            </w:r>
          </w:p>
        </w:tc>
      </w:tr>
      <w:tr>
        <w:trPr>
          <w:trHeight w:val="312" w:hRule="atLeast"/>
        </w:trPr>
        <w:tc>
          <w:tcPr>
            <w:tcW w:w="941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6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335" w:type="dxa"/>
            <w:gridSpan w:val="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707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58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73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3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93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48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59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095" w:type="dxa"/>
            <w:gridSpan w:val="9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Сводный сметный расчет в сумме </w:t>
            </w:r>
          </w:p>
        </w:tc>
        <w:tc>
          <w:tcPr>
            <w:tcW w:w="1826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руб. без НДС</w:t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258" w:type="dxa"/>
            <w:gridSpan w:val="1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СВОДНЫЙ СМЕТНЫЙ РАСЧЕТ </w:t>
            </w:r>
          </w:p>
        </w:tc>
        <w:tc>
          <w:tcPr>
            <w:tcW w:w="1806" w:type="dxa"/>
            <w:gridSpan w:val="4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348" w:type="dxa"/>
            <w:gridSpan w:val="18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 </w:t>
            </w:r>
          </w:p>
        </w:tc>
        <w:tc>
          <w:tcPr>
            <w:tcW w:w="7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00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48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487" w:type="dxa"/>
            <w:gridSpan w:val="7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 xml:space="preserve">               </w:t>
            </w:r>
            <w:r>
              <w:rPr>
                <w:rFonts w:ascii="Times New Roman" w:hAnsi="Times New Roman"/>
                <w:i/>
                <w:iCs/>
                <w:sz w:val="20"/>
                <w:szCs w:val="20"/>
              </w:rPr>
              <w:t>(наименование стройки)</w:t>
            </w:r>
          </w:p>
        </w:tc>
        <w:tc>
          <w:tcPr>
            <w:tcW w:w="2267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26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2367" w:type="dxa"/>
            <w:gridSpan w:val="15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Составлен в текущих ценах, соответствующих периоду выполнения работ по договору</w:t>
            </w:r>
          </w:p>
        </w:tc>
        <w:tc>
          <w:tcPr>
            <w:tcW w:w="2367" w:type="dxa"/>
            <w:gridSpan w:val="6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4" w:hRule="atLeast"/>
        </w:trPr>
        <w:tc>
          <w:tcPr>
            <w:tcW w:w="72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48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5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7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26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4" w:hRule="atLeast"/>
        </w:trPr>
        <w:tc>
          <w:tcPr>
            <w:tcW w:w="72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48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59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43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985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67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826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55" w:hRule="atLeast"/>
        </w:trPr>
        <w:tc>
          <w:tcPr>
            <w:tcW w:w="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hAnsi="Times New Roman"/>
                <w:sz w:val="18"/>
                <w:szCs w:val="18"/>
              </w:rPr>
              <w:t>пп</w:t>
            </w:r>
          </w:p>
        </w:tc>
        <w:tc>
          <w:tcPr>
            <w:tcW w:w="16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Номера сметных расчетов и смет</w:t>
            </w:r>
          </w:p>
        </w:tc>
        <w:tc>
          <w:tcPr>
            <w:tcW w:w="348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 глав, объектов, работ и затрат</w:t>
            </w:r>
          </w:p>
        </w:tc>
        <w:tc>
          <w:tcPr>
            <w:tcW w:w="7754" w:type="dxa"/>
            <w:gridSpan w:val="1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Сметная стоимость, руб.</w:t>
            </w:r>
          </w:p>
        </w:tc>
        <w:tc>
          <w:tcPr>
            <w:tcW w:w="1826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-113" w:firstLine="72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Общая сметная</w:t>
            </w:r>
          </w:p>
          <w:p>
            <w:pPr>
              <w:pStyle w:val="Normal"/>
              <w:widowControl w:val="false"/>
              <w:spacing w:lineRule="auto" w:line="240" w:before="0" w:after="0"/>
              <w:ind w:left="-113" w:firstLine="72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стоимость, руб</w:t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597" w:hRule="atLeast"/>
        </w:trPr>
        <w:tc>
          <w:tcPr>
            <w:tcW w:w="7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6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3484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5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строитель-</w:t>
              <w:br/>
              <w:t>ных работ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монтажных работ</w:t>
            </w:r>
          </w:p>
        </w:tc>
        <w:tc>
          <w:tcPr>
            <w:tcW w:w="1985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оборудования, мебели, инвентаря</w:t>
            </w:r>
          </w:p>
        </w:tc>
        <w:tc>
          <w:tcPr>
            <w:tcW w:w="2267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прочих</w:t>
            </w:r>
          </w:p>
        </w:tc>
        <w:tc>
          <w:tcPr>
            <w:tcW w:w="1826" w:type="dxa"/>
            <w:gridSpan w:val="5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hanging="595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64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3484" w:type="dxa"/>
            <w:gridSpan w:val="2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659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985" w:type="dxa"/>
            <w:gridSpan w:val="3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2267" w:type="dxa"/>
            <w:gridSpan w:val="5"/>
            <w:tcBorders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1826" w:type="dxa"/>
            <w:gridSpan w:val="5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545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Глава 2. Основные объекты </w:t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1545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Сметы основного договора:</w:t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/>
                <w:sz w:val="18"/>
                <w:szCs w:val="18"/>
              </w:rPr>
              <w:t>02-01-01</w:t>
            </w:r>
          </w:p>
        </w:tc>
        <w:tc>
          <w:tcPr>
            <w:tcW w:w="3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5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26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66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/>
                <w:sz w:val="18"/>
                <w:szCs w:val="18"/>
              </w:rPr>
              <w:t>02-01-02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5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26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1545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Исключить дополнительным соглашением №___</w:t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6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/>
                <w:sz w:val="18"/>
                <w:szCs w:val="18"/>
              </w:rPr>
              <w:t>02-01-02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5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26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05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исключено Дополнительным соглашением №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7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2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435" w:hRule="atLeast"/>
        </w:trPr>
        <w:tc>
          <w:tcPr>
            <w:tcW w:w="15450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Включить дополнительным соглашением №____</w:t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70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6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</w:t>
            </w:r>
            <w:r>
              <w:rPr>
                <w:rFonts w:ascii="Times New Roman" w:hAnsi="Times New Roman"/>
                <w:sz w:val="18"/>
                <w:szCs w:val="18"/>
              </w:rPr>
              <w:t>02-01-02/1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7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2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30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включено Дополнительным соглашением №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7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2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22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Итого по Главе 2. "Основные объекты"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5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26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48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Всего по сводному сметному расчету, без учета НДС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85" w:type="dxa"/>
            <w:gridSpan w:val="3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7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826" w:type="dxa"/>
            <w:gridSpan w:val="5"/>
            <w:tcBorders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60" w:hRule="atLeast"/>
        </w:trPr>
        <w:tc>
          <w:tcPr>
            <w:tcW w:w="7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6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сумма основного договора (без НДС)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5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7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26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771" w:hRule="atLeast"/>
        </w:trPr>
        <w:tc>
          <w:tcPr>
            <w:tcW w:w="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ДС №___ от ___.__.20___г.</w:t>
            </w:r>
          </w:p>
        </w:tc>
        <w:tc>
          <w:tcPr>
            <w:tcW w:w="34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сумма увеличения основного договора на основании дополнительного соглашения № ___ без НДС</w:t>
            </w:r>
          </w:p>
        </w:tc>
        <w:tc>
          <w:tcPr>
            <w:tcW w:w="165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26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0  </w:t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72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6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Составил: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5" w:type="dxa"/>
            <w:gridSpan w:val="3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7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26" w:type="dxa"/>
            <w:gridSpan w:val="5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348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487" w:type="dxa"/>
            <w:gridSpan w:val="7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(должность, подпись, расшифровка)</w:t>
            </w:r>
          </w:p>
        </w:tc>
        <w:tc>
          <w:tcPr>
            <w:tcW w:w="2267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826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75" w:hRule="atLeast"/>
        </w:trPr>
        <w:tc>
          <w:tcPr>
            <w:tcW w:w="72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</w:r>
          </w:p>
        </w:tc>
        <w:tc>
          <w:tcPr>
            <w:tcW w:w="166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348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59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4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985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267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826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Проверил:</w:t>
            </w:r>
          </w:p>
        </w:tc>
        <w:tc>
          <w:tcPr>
            <w:tcW w:w="3484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59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985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2267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826" w:type="dxa"/>
            <w:gridSpan w:val="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312" w:hRule="atLeast"/>
        </w:trPr>
        <w:tc>
          <w:tcPr>
            <w:tcW w:w="72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66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3484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5487" w:type="dxa"/>
            <w:gridSpan w:val="7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(должность, подпись, расшифровка)</w:t>
            </w:r>
          </w:p>
        </w:tc>
        <w:tc>
          <w:tcPr>
            <w:tcW w:w="2267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826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47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ConsPlusNormal1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sectPr>
          <w:footerReference w:type="default" r:id="rId9"/>
          <w:footerReference w:type="first" r:id="rId10"/>
          <w:type w:val="nextPage"/>
          <w:pgSz w:orient="landscape" w:w="16838" w:h="11906"/>
          <w:pgMar w:left="425" w:right="851" w:gutter="0" w:header="0" w:top="1276" w:footer="709" w:bottom="766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rPr>
          <w:rFonts w:ascii="Times New Roman" w:hAnsi="Times New Roman" w:cs="Arial"/>
          <w:sz w:val="20"/>
          <w:szCs w:val="20"/>
        </w:rPr>
      </w:pPr>
      <w:r>
        <w:rPr/>
        <w:object>
          <v:shapetype id="_x0000_tole_rId7" coordsize="21600,21600" o:spt="ole_rId7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7" type="_x0000_tole_rId7" style="width:79.2pt;height:50.4pt;mso-wrap-distance-right:0pt" filled="f" o:ole="">
            <v:imagedata r:id="rId8" o:title=""/>
          </v:shape>
          <o:OLEObject Type="Embed" ProgID="Excel.Sheet.12" ShapeID="ole_rId7" DrawAspect="Icon" ObjectID="_1578802680" r:id="rId7"/>
        </w:object>
      </w:r>
    </w:p>
    <w:p>
      <w:pPr>
        <w:pStyle w:val="Normal"/>
        <w:spacing w:lineRule="auto" w:line="240" w:before="0" w:after="0"/>
        <w:ind w:left="357" w:hanging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</w:r>
      <w:bookmarkStart w:id="9" w:name="P2945"/>
      <w:bookmarkStart w:id="10" w:name="P2746"/>
      <w:bookmarkStart w:id="11" w:name="P2736"/>
      <w:bookmarkStart w:id="12" w:name="P2616"/>
      <w:bookmarkStart w:id="13" w:name="P2566"/>
      <w:bookmarkStart w:id="14" w:name="P2546"/>
      <w:bookmarkStart w:id="15" w:name="P2531"/>
      <w:bookmarkStart w:id="16" w:name="P2530"/>
      <w:bookmarkStart w:id="17" w:name="P2529"/>
      <w:bookmarkStart w:id="18" w:name="P2528"/>
      <w:bookmarkStart w:id="19" w:name="P2527"/>
      <w:bookmarkStart w:id="20" w:name="P2526"/>
      <w:bookmarkStart w:id="21" w:name="P2525"/>
      <w:bookmarkStart w:id="22" w:name="P2524"/>
      <w:bookmarkStart w:id="23" w:name="P2523"/>
      <w:bookmarkStart w:id="24" w:name="P2522"/>
      <w:bookmarkStart w:id="25" w:name="P2506"/>
      <w:bookmarkStart w:id="26" w:name="P3258"/>
      <w:bookmarkStart w:id="27" w:name="P2945"/>
      <w:bookmarkStart w:id="28" w:name="P2746"/>
      <w:bookmarkStart w:id="29" w:name="P2736"/>
      <w:bookmarkStart w:id="30" w:name="P2616"/>
      <w:bookmarkStart w:id="31" w:name="P2566"/>
      <w:bookmarkStart w:id="32" w:name="P2546"/>
      <w:bookmarkStart w:id="33" w:name="P2531"/>
      <w:bookmarkStart w:id="34" w:name="P2530"/>
      <w:bookmarkStart w:id="35" w:name="P2529"/>
      <w:bookmarkStart w:id="36" w:name="P2528"/>
      <w:bookmarkStart w:id="37" w:name="P2527"/>
      <w:bookmarkStart w:id="38" w:name="P2526"/>
      <w:bookmarkStart w:id="39" w:name="P2525"/>
      <w:bookmarkStart w:id="40" w:name="P2524"/>
      <w:bookmarkStart w:id="41" w:name="P2523"/>
      <w:bookmarkStart w:id="42" w:name="P2522"/>
      <w:bookmarkStart w:id="43" w:name="P2506"/>
      <w:bookmarkStart w:id="44" w:name="P3258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</w:p>
    <w:p>
      <w:pPr>
        <w:pStyle w:val="Normal"/>
        <w:spacing w:lineRule="auto" w:line="240" w:before="0" w:after="0"/>
        <w:ind w:left="426" w:hanging="426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ОБРАЗЕЦ</w:t>
      </w:r>
    </w:p>
    <w:p>
      <w:pPr>
        <w:pStyle w:val="Normal"/>
        <w:spacing w:lineRule="auto" w:line="240" w:before="0" w:after="0"/>
        <w:ind w:left="5811" w:firstLine="72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Приложение №1.3 </w:t>
      </w:r>
    </w:p>
    <w:p>
      <w:pPr>
        <w:pStyle w:val="ConsPlusNormal1"/>
        <w:ind w:left="5811"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к Требованиям к оформлению и составлению              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сметной документации на выполнение работ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 программе ремонтов, реконструкции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 техническому перевооружению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№___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дополнительному соглашению от ___ № ___</w:t>
      </w:r>
    </w:p>
    <w:p>
      <w:pPr>
        <w:pStyle w:val="ConsPlusNormal1"/>
        <w:ind w:left="5811"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</w:t>
      </w:r>
      <w:r>
        <w:rPr>
          <w:rFonts w:ascii="Times New Roman" w:hAnsi="Times New Roman"/>
        </w:rPr>
        <w:t xml:space="preserve">к договору от_______№_____ </w:t>
      </w:r>
    </w:p>
    <w:p>
      <w:pPr>
        <w:pStyle w:val="ConsPlusNormal1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Сопоставительная ведомость изменения сметной стоимости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tbl>
      <w:tblPr>
        <w:tblW w:w="10206" w:type="dxa"/>
        <w:jc w:val="left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VBand="0" w:noHBand="0" w:lastColumn="0" w:firstColumn="0" w:lastRow="0" w:firstRow="0"/>
      </w:tblPr>
      <w:tblGrid>
        <w:gridCol w:w="424"/>
        <w:gridCol w:w="850"/>
        <w:gridCol w:w="851"/>
        <w:gridCol w:w="1276"/>
        <w:gridCol w:w="1276"/>
        <w:gridCol w:w="1700"/>
        <w:gridCol w:w="1702"/>
        <w:gridCol w:w="2125"/>
      </w:tblGrid>
      <w:tr>
        <w:trPr>
          <w:trHeight w:val="433" w:hRule="atLeast"/>
        </w:trPr>
        <w:tc>
          <w:tcPr>
            <w:tcW w:w="4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hAnsi="Times New Roman"/>
                <w:sz w:val="18"/>
                <w:szCs w:val="18"/>
              </w:rPr>
              <w:t>п/п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2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Сметная стоимость, тыс. руб.</w:t>
            </w:r>
          </w:p>
        </w:tc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Разница в сметной стоимости, руб.</w:t>
            </w:r>
          </w:p>
        </w:tc>
        <w:tc>
          <w:tcPr>
            <w:tcW w:w="21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Обоснование изменений сметной стоимости</w:t>
            </w:r>
          </w:p>
        </w:tc>
      </w:tr>
      <w:tr>
        <w:trPr/>
        <w:tc>
          <w:tcPr>
            <w:tcW w:w="4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eastAsia="Calibri" w:ascii="Times New Roman" w:hAnsi="Times New Roman"/>
                <w:sz w:val="18"/>
                <w:szCs w:val="18"/>
                <w:lang w:eastAsia="en-US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шифр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ascii="Times New Roman" w:hAnsi="Times New Roman"/>
                <w:sz w:val="18"/>
                <w:szCs w:val="18"/>
              </w:rPr>
              <w:t>позиции сметного расчета (сметы) в ССР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подлежащая включению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подлежащая исключению</w:t>
            </w:r>
          </w:p>
        </w:tc>
        <w:tc>
          <w:tcPr>
            <w:tcW w:w="170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eastAsia="Calibri" w:ascii="Times New Roman" w:hAnsi="Times New Roman"/>
                <w:sz w:val="18"/>
                <w:szCs w:val="18"/>
                <w:lang w:eastAsia="en-US"/>
              </w:rPr>
            </w:r>
          </w:p>
        </w:tc>
        <w:tc>
          <w:tcPr>
            <w:tcW w:w="21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59" w:before="0" w:after="160"/>
              <w:rPr>
                <w:rFonts w:ascii="Times New Roman" w:hAnsi="Times New Roman" w:eastAsia="Calibri"/>
                <w:sz w:val="18"/>
                <w:szCs w:val="18"/>
                <w:lang w:eastAsia="en-US"/>
              </w:rPr>
            </w:pPr>
            <w:r>
              <w:rPr>
                <w:rFonts w:eastAsia="Calibri" w:ascii="Times New Roman" w:hAnsi="Times New Roman"/>
                <w:sz w:val="18"/>
                <w:szCs w:val="18"/>
                <w:lang w:eastAsia="en-US"/>
              </w:rPr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</w:t>
            </w:r>
          </w:p>
        </w:tc>
      </w:tr>
      <w:tr>
        <w:trPr/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357" w:firstLine="72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br w:type="page"/>
      </w:r>
    </w:p>
    <w:p>
      <w:pPr>
        <w:pStyle w:val="Normal"/>
        <w:spacing w:lineRule="auto" w:line="240" w:before="0" w:after="0"/>
        <w:ind w:left="357" w:firstLine="72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Приложение №1.4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Требованиям к оформлению и составлению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сметной документации на выполнение работ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по программе ремонтов, реконструкции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и техническому перевооружению 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№___</w:t>
      </w:r>
    </w:p>
    <w:p>
      <w:pPr>
        <w:pStyle w:val="ConsPlusNormal1"/>
        <w:ind w:left="5811" w:firstLine="72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дополнительному соглашению от ___ № ___</w:t>
      </w:r>
    </w:p>
    <w:p>
      <w:pPr>
        <w:pStyle w:val="ConsPlusNormal1"/>
        <w:ind w:left="5811" w:firstLine="72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договору от_______№_____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ConsPlusNormal1"/>
        <w:jc w:val="center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  <w:t>Сопоставительная ведомость объемов работ</w:t>
      </w:r>
    </w:p>
    <w:p>
      <w:pPr>
        <w:pStyle w:val="ConsPlusNormal1"/>
        <w:jc w:val="both"/>
        <w:rPr>
          <w:b/>
        </w:rPr>
      </w:pPr>
      <w:r>
        <w:rPr>
          <w:b/>
        </w:rPr>
      </w:r>
    </w:p>
    <w:tbl>
      <w:tblPr>
        <w:tblW w:w="10773" w:type="dxa"/>
        <w:jc w:val="left"/>
        <w:tblInd w:w="2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VBand="0" w:noHBand="0" w:lastColumn="0" w:firstColumn="0" w:lastRow="0" w:firstRow="0"/>
      </w:tblPr>
      <w:tblGrid>
        <w:gridCol w:w="425"/>
        <w:gridCol w:w="709"/>
        <w:gridCol w:w="851"/>
        <w:gridCol w:w="1208"/>
        <w:gridCol w:w="917"/>
        <w:gridCol w:w="850"/>
        <w:gridCol w:w="852"/>
        <w:gridCol w:w="850"/>
        <w:gridCol w:w="851"/>
        <w:gridCol w:w="708"/>
        <w:gridCol w:w="567"/>
        <w:gridCol w:w="850"/>
        <w:gridCol w:w="1134"/>
      </w:tblGrid>
      <w:tr>
        <w:trPr>
          <w:trHeight w:val="880" w:hRule="atLeast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-62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№№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пп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Данные сметного расчета (сметы)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Наименование работ и затрат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6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Ед. изм.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Объем работ в сметной документации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Изменение объемов работ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Обоснование изменений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1360" w:hanging="1416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Примечание</w:t>
            </w:r>
          </w:p>
        </w:tc>
      </w:tr>
      <w:tr>
        <w:trPr>
          <w:trHeight w:val="62" w:hRule="atLeast"/>
        </w:trPr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-797" w:firstLine="7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шифр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-64"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Наименование</w:t>
            </w:r>
          </w:p>
        </w:tc>
        <w:tc>
          <w:tcPr>
            <w:tcW w:w="21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 xml:space="preserve">№ </w:t>
            </w:r>
            <w:r>
              <w:rPr>
                <w:rFonts w:cs="Times New Roman" w:ascii="Times New Roman" w:hAnsi="Times New Roman"/>
                <w:sz w:val="18"/>
                <w:szCs w:val="18"/>
              </w:rPr>
              <w:t>позиции в сметном расчете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70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75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1308" w:hRule="atLeast"/>
        </w:trPr>
        <w:tc>
          <w:tcPr>
            <w:tcW w:w="4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до изменений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 учетом изменений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5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firstLine="7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до изменений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 учетом изменений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left="-800" w:firstLine="7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увели</w:t>
            </w:r>
          </w:p>
          <w:p>
            <w:pPr>
              <w:pStyle w:val="ConsPlusNormal1"/>
              <w:widowControl w:val="false"/>
              <w:ind w:left="-800" w:firstLine="72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чение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ind w:hanging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  <w:t>снижение</w:t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  <w:tc>
          <w:tcPr>
            <w:tcW w:w="113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0" w:after="20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</w:r>
          </w:p>
        </w:tc>
      </w:tr>
      <w:tr>
        <w:trPr>
          <w:trHeight w:val="232" w:hRule="atLeast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1"/>
              <w:widowControl w:val="false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cs="Times New Roman" w:ascii="Times New Roman" w:hAnsi="Times New Roman"/>
                <w:sz w:val="18"/>
                <w:szCs w:val="18"/>
              </w:rPr>
            </w:r>
          </w:p>
        </w:tc>
      </w:tr>
    </w:tbl>
    <w:p>
      <w:pPr>
        <w:sectPr>
          <w:footerReference w:type="default" r:id="rId11"/>
          <w:footerReference w:type="first" r:id="rId12"/>
          <w:type w:val="nextPage"/>
          <w:pgSz w:w="11906" w:h="16838"/>
          <w:pgMar w:left="426" w:right="924" w:gutter="0" w:header="0" w:top="284" w:footer="709" w:bottom="766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ConsPlusNormal1"/>
        <w:jc w:val="both"/>
        <w:rPr/>
      </w:pPr>
      <w:r>
        <w:rPr/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color w:val="000000"/>
          <w:sz w:val="20"/>
          <w:szCs w:val="20"/>
        </w:rPr>
      </w:pPr>
      <w:r>
        <w:rPr>
          <w:rFonts w:ascii="Times New Roman" w:hAnsi="Times New Roman"/>
          <w:b/>
          <w:color w:val="000000"/>
          <w:sz w:val="20"/>
          <w:szCs w:val="20"/>
        </w:rPr>
        <w:t>ОБРАЗЕЦ (</w:t>
      </w:r>
      <w:r>
        <w:rPr>
          <w:rFonts w:ascii="Times New Roman" w:hAnsi="Times New Roman"/>
          <w:b/>
          <w:color w:val="000000"/>
          <w:sz w:val="20"/>
          <w:szCs w:val="20"/>
          <w:lang w:val="en-US"/>
        </w:rPr>
        <w:t>Р</w:t>
      </w:r>
      <w:r>
        <w:rPr>
          <w:rFonts w:ascii="Times New Roman" w:hAnsi="Times New Roman"/>
          <w:b/>
          <w:color w:val="000000"/>
          <w:sz w:val="20"/>
          <w:szCs w:val="20"/>
        </w:rPr>
        <w:t>ИМ)</w:t>
      </w:r>
    </w:p>
    <w:p>
      <w:pPr>
        <w:pStyle w:val="Normal"/>
        <w:spacing w:lineRule="auto" w:line="240" w:before="0" w:after="0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133"/>
        <w:gridCol w:w="1317"/>
        <w:gridCol w:w="691"/>
        <w:gridCol w:w="2815"/>
        <w:gridCol w:w="849"/>
        <w:gridCol w:w="1099"/>
        <w:gridCol w:w="665"/>
        <w:gridCol w:w="1042"/>
        <w:gridCol w:w="1083"/>
        <w:gridCol w:w="665"/>
        <w:gridCol w:w="1042"/>
        <w:gridCol w:w="506"/>
        <w:gridCol w:w="687"/>
        <w:gridCol w:w="2239"/>
      </w:tblGrid>
      <w:tr>
        <w:trPr>
          <w:trHeight w:val="285" w:hRule="atLeast"/>
        </w:trPr>
        <w:tc>
          <w:tcPr>
            <w:tcW w:w="3141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СОГЛАСОВАНО:</w:t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</w:r>
          </w:p>
        </w:tc>
        <w:tc>
          <w:tcPr>
            <w:tcW w:w="8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9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8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474" w:type="dxa"/>
            <w:gridSpan w:val="4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16"/>
                <w:szCs w:val="16"/>
              </w:rPr>
              <w:t>УТВЕРЖДАЮ:</w:t>
            </w:r>
          </w:p>
        </w:tc>
      </w:tr>
      <w:tr>
        <w:trPr>
          <w:trHeight w:val="225" w:hRule="exact"/>
        </w:trPr>
        <w:tc>
          <w:tcPr>
            <w:tcW w:w="5956" w:type="dxa"/>
            <w:gridSpan w:val="4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9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8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139" w:type="dxa"/>
            <w:gridSpan w:val="5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45" w:hRule="atLeast"/>
        </w:trPr>
        <w:tc>
          <w:tcPr>
            <w:tcW w:w="1133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1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81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9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8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2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330" w:hRule="atLeast"/>
        </w:trPr>
        <w:tc>
          <w:tcPr>
            <w:tcW w:w="245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"_____" _____________202</w:t>
            </w:r>
            <w:r>
              <w:rPr>
                <w:rFonts w:cs="Arial" w:ascii="Arial" w:hAnsi="Arial"/>
                <w:color w:val="000000"/>
                <w:sz w:val="16"/>
                <w:szCs w:val="16"/>
                <w:lang w:val="en-US"/>
              </w:rPr>
              <w:t>5</w:t>
            </w:r>
            <w:r>
              <w:rPr>
                <w:rFonts w:cs="Arial" w:ascii="Arial" w:hAnsi="Arial"/>
                <w:color w:val="000000"/>
                <w:sz w:val="16"/>
                <w:szCs w:val="16"/>
              </w:rPr>
              <w:t xml:space="preserve"> г</w:t>
            </w:r>
          </w:p>
        </w:tc>
        <w:tc>
          <w:tcPr>
            <w:tcW w:w="69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81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9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8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6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3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"_____" ________202</w:t>
            </w:r>
            <w:r>
              <w:rPr>
                <w:rFonts w:cs="Arial" w:ascii="Arial" w:hAnsi="Arial"/>
                <w:color w:val="000000"/>
                <w:sz w:val="16"/>
                <w:szCs w:val="16"/>
                <w:lang w:val="en-US"/>
              </w:rPr>
              <w:t>5</w:t>
            </w:r>
            <w:r>
              <w:rPr>
                <w:rFonts w:cs="Arial" w:ascii="Arial" w:hAnsi="Arial"/>
                <w:color w:val="000000"/>
                <w:sz w:val="16"/>
                <w:szCs w:val="16"/>
              </w:rPr>
              <w:t xml:space="preserve"> г</w:t>
            </w:r>
          </w:p>
        </w:tc>
      </w:tr>
      <w:tr>
        <w:trPr>
          <w:trHeight w:val="225" w:hRule="atLeast"/>
        </w:trPr>
        <w:tc>
          <w:tcPr>
            <w:tcW w:w="3141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 xml:space="preserve">Наименование редакции сметных нормативов  </w:t>
            </w:r>
          </w:p>
        </w:tc>
        <w:tc>
          <w:tcPr>
            <w:tcW w:w="12692" w:type="dxa"/>
            <w:gridSpan w:val="11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</w:tr>
      <w:tr>
        <w:trPr>
          <w:trHeight w:val="300" w:hRule="atLeast"/>
        </w:trPr>
        <w:tc>
          <w:tcPr>
            <w:tcW w:w="314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Наименование программного продукта</w:t>
            </w:r>
          </w:p>
        </w:tc>
        <w:tc>
          <w:tcPr>
            <w:tcW w:w="3664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ПК "ГРАНД-Смета 202</w:t>
            </w:r>
            <w:r>
              <w:rPr>
                <w:rFonts w:cs="Arial" w:ascii="Arial" w:hAnsi="Arial"/>
                <w:color w:val="000000"/>
                <w:sz w:val="16"/>
                <w:szCs w:val="16"/>
                <w:lang w:val="en-US"/>
              </w:rPr>
              <w:t>5</w:t>
            </w:r>
            <w:r>
              <w:rPr>
                <w:rFonts w:cs="Arial" w:ascii="Arial" w:hAnsi="Arial"/>
                <w:color w:val="000000"/>
                <w:sz w:val="16"/>
                <w:szCs w:val="16"/>
              </w:rPr>
              <w:t>"</w:t>
            </w:r>
          </w:p>
        </w:tc>
        <w:tc>
          <w:tcPr>
            <w:tcW w:w="109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83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65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42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506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87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</w:tr>
      <w:tr>
        <w:trPr>
          <w:trHeight w:val="165" w:hRule="exact"/>
        </w:trPr>
        <w:tc>
          <w:tcPr>
            <w:tcW w:w="113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317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91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815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9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6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8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65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4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06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8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25" w:hRule="atLeast"/>
        </w:trPr>
        <w:tc>
          <w:tcPr>
            <w:tcW w:w="15833" w:type="dxa"/>
            <w:gridSpan w:val="14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16"/>
                <w:szCs w:val="16"/>
              </w:rPr>
              <w:t>(наименование стройки)</w:t>
            </w:r>
          </w:p>
        </w:tc>
      </w:tr>
      <w:tr>
        <w:trPr>
          <w:trHeight w:val="225" w:hRule="exact"/>
        </w:trPr>
        <w:tc>
          <w:tcPr>
            <w:tcW w:w="15833" w:type="dxa"/>
            <w:gridSpan w:val="1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25" w:hRule="atLeast"/>
        </w:trPr>
        <w:tc>
          <w:tcPr>
            <w:tcW w:w="15833" w:type="dxa"/>
            <w:gridSpan w:val="14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i/>
                <w:iCs/>
                <w:color w:val="000000"/>
                <w:sz w:val="16"/>
                <w:szCs w:val="16"/>
              </w:rPr>
              <w:t>(наименование объекта капитального строительства)</w:t>
            </w:r>
          </w:p>
        </w:tc>
      </w:tr>
      <w:tr>
        <w:trPr>
          <w:trHeight w:val="480" w:hRule="atLeast"/>
        </w:trPr>
        <w:tc>
          <w:tcPr>
            <w:tcW w:w="15833" w:type="dxa"/>
            <w:gridSpan w:val="1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b/>
                <w:bCs/>
                <w:color w:val="000000"/>
                <w:sz w:val="24"/>
                <w:szCs w:val="24"/>
              </w:rPr>
              <w:t xml:space="preserve">ЛОКАЛЬНЫЙ СМЕТНЫЙ РАСЧЕТ (СМЕТА) № </w:t>
            </w:r>
          </w:p>
        </w:tc>
      </w:tr>
    </w:tbl>
    <w:p>
      <w:pPr>
        <w:pStyle w:val="Normal"/>
        <w:spacing w:lineRule="auto" w:line="240" w:before="0" w:after="0"/>
        <w:ind w:left="6373" w:firstLine="72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tbl>
      <w:tblPr>
        <w:tblW w:w="160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020"/>
        <w:gridCol w:w="1349"/>
        <w:gridCol w:w="11"/>
        <w:gridCol w:w="858"/>
        <w:gridCol w:w="11"/>
        <w:gridCol w:w="683"/>
        <w:gridCol w:w="10"/>
        <w:gridCol w:w="810"/>
        <w:gridCol w:w="9"/>
        <w:gridCol w:w="595"/>
        <w:gridCol w:w="10"/>
        <w:gridCol w:w="890"/>
        <w:gridCol w:w="9"/>
        <w:gridCol w:w="99"/>
        <w:gridCol w:w="10"/>
        <w:gridCol w:w="133"/>
        <w:gridCol w:w="9"/>
        <w:gridCol w:w="652"/>
        <w:gridCol w:w="9"/>
        <w:gridCol w:w="333"/>
        <w:gridCol w:w="11"/>
        <w:gridCol w:w="792"/>
        <w:gridCol w:w="10"/>
        <w:gridCol w:w="177"/>
        <w:gridCol w:w="10"/>
        <w:gridCol w:w="1381"/>
        <w:gridCol w:w="9"/>
        <w:gridCol w:w="76"/>
        <w:gridCol w:w="9"/>
        <w:gridCol w:w="944"/>
        <w:gridCol w:w="10"/>
        <w:gridCol w:w="110"/>
        <w:gridCol w:w="10"/>
        <w:gridCol w:w="584"/>
        <w:gridCol w:w="9"/>
        <w:gridCol w:w="434"/>
        <w:gridCol w:w="10"/>
        <w:gridCol w:w="644"/>
        <w:gridCol w:w="23"/>
        <w:gridCol w:w="120"/>
        <w:gridCol w:w="22"/>
        <w:gridCol w:w="808"/>
        <w:gridCol w:w="360"/>
        <w:gridCol w:w="843"/>
        <w:gridCol w:w="48"/>
        <w:gridCol w:w="1032"/>
      </w:tblGrid>
      <w:tr>
        <w:trPr>
          <w:trHeight w:val="300" w:hRule="atLeast"/>
        </w:trPr>
        <w:tc>
          <w:tcPr>
            <w:tcW w:w="14964" w:type="dxa"/>
            <w:gridSpan w:val="45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Волжская ГЭС. ОРУ 220 кВ. Релейная защита и автоматика.Демонтажные работы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25" w:hRule="atLeast"/>
        </w:trPr>
        <w:tc>
          <w:tcPr>
            <w:tcW w:w="14964" w:type="dxa"/>
            <w:gridSpan w:val="45"/>
            <w:tcBorders>
              <w:top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" w:hAnsi="Arial"/>
                <w:i/>
                <w:iCs/>
                <w:sz w:val="16"/>
                <w:szCs w:val="16"/>
              </w:rPr>
              <w:t xml:space="preserve"> </w:t>
            </w:r>
            <w:r>
              <w:rPr>
                <w:rFonts w:cs="Arial" w:ascii="Arial" w:hAnsi="Arial"/>
                <w:i/>
                <w:iCs/>
                <w:sz w:val="16"/>
                <w:szCs w:val="16"/>
              </w:rPr>
              <w:t>(наименование работ и затрат)</w:t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 xml:space="preserve">Составлен </w:t>
            </w:r>
          </w:p>
        </w:tc>
        <w:tc>
          <w:tcPr>
            <w:tcW w:w="1349" w:type="dxa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ресурсно-индексным</w:t>
            </w:r>
          </w:p>
        </w:tc>
        <w:tc>
          <w:tcPr>
            <w:tcW w:w="8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методом</w:t>
            </w:r>
          </w:p>
        </w:tc>
        <w:tc>
          <w:tcPr>
            <w:tcW w:w="69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82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0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5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3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7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3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9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3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5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3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Основание</w:t>
            </w:r>
          </w:p>
        </w:tc>
        <w:tc>
          <w:tcPr>
            <w:tcW w:w="5236" w:type="dxa"/>
            <w:gridSpan w:val="11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ЭТЛ-13622-ЛС.1.ВОР</w:t>
            </w:r>
          </w:p>
        </w:tc>
        <w:tc>
          <w:tcPr>
            <w:tcW w:w="25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3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7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3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9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3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5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3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10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5236" w:type="dxa"/>
            <w:gridSpan w:val="11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" w:hAnsi="Arial"/>
                <w:i/>
                <w:iCs/>
                <w:sz w:val="16"/>
                <w:szCs w:val="16"/>
              </w:rPr>
              <w:t>(проектная и (или) иная техническая документация)</w:t>
            </w:r>
          </w:p>
        </w:tc>
        <w:tc>
          <w:tcPr>
            <w:tcW w:w="25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" w:hAnsi="Arial"/>
                <w:i/>
                <w:iCs/>
                <w:sz w:val="16"/>
                <w:szCs w:val="16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3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7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3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9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3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51" w:type="dxa"/>
            <w:gridSpan w:val="3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3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195" w:hRule="exac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9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0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5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3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7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3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9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3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5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3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300" w:hRule="atLeast"/>
        </w:trPr>
        <w:tc>
          <w:tcPr>
            <w:tcW w:w="5366" w:type="dxa"/>
            <w:gridSpan w:val="11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Составлен(а) в текущем уровне цен ,    </w:t>
            </w:r>
            <w:r>
              <w:rPr>
                <w:rFonts w:cs="Arial" w:ascii="Arial" w:hAnsi="Arial"/>
                <w:b/>
                <w:bCs/>
                <w:sz w:val="16"/>
                <w:szCs w:val="16"/>
                <w:highlight w:val="green"/>
              </w:rPr>
              <w:t>4 кв. 2025г</w:t>
            </w: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1008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</w:r>
          </w:p>
        </w:tc>
        <w:tc>
          <w:tcPr>
            <w:tcW w:w="8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33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9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3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1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11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10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43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195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69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694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820" w:type="dxa"/>
            <w:gridSpan w:val="2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1504" w:type="dxa"/>
            <w:gridSpan w:val="4"/>
            <w:tcBorders>
              <w:top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25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3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7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3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9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3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5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3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2380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 xml:space="preserve">Сметная стоимость </w:t>
            </w:r>
          </w:p>
        </w:tc>
        <w:tc>
          <w:tcPr>
            <w:tcW w:w="869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3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19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  <w:tc>
          <w:tcPr>
            <w:tcW w:w="150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5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5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02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2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7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3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09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08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51" w:type="dxa"/>
            <w:gridSpan w:val="3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3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" w:hAnsi="Arial"/>
                <w:i/>
                <w:iCs/>
                <w:sz w:val="16"/>
                <w:szCs w:val="16"/>
              </w:rPr>
              <w:t>в том числе:</w:t>
            </w:r>
          </w:p>
        </w:tc>
        <w:tc>
          <w:tcPr>
            <w:tcW w:w="8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i/>
                <w:i/>
                <w:iCs/>
                <w:sz w:val="16"/>
                <w:szCs w:val="16"/>
              </w:rPr>
            </w:pPr>
            <w:r>
              <w:rPr>
                <w:rFonts w:cs="Arial" w:ascii="Arial" w:hAnsi="Arial"/>
                <w:i/>
                <w:iCs/>
                <w:sz w:val="16"/>
                <w:szCs w:val="16"/>
              </w:rPr>
            </w:r>
          </w:p>
        </w:tc>
        <w:tc>
          <w:tcPr>
            <w:tcW w:w="69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0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0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5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3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7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3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9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3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5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3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40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3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строительных работ</w:t>
            </w:r>
          </w:p>
        </w:tc>
        <w:tc>
          <w:tcPr>
            <w:tcW w:w="869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4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0,00</w:t>
            </w:r>
          </w:p>
        </w:tc>
        <w:tc>
          <w:tcPr>
            <w:tcW w:w="820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  <w:tc>
          <w:tcPr>
            <w:tcW w:w="150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5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3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110" w:type="dxa"/>
            <w:gridSpan w:val="8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Средства на оплату труда рабочих</w:t>
            </w:r>
          </w:p>
        </w:tc>
        <w:tc>
          <w:tcPr>
            <w:tcW w:w="79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30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1251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</w:tr>
      <w:tr>
        <w:trPr>
          <w:trHeight w:val="240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монтажных работ</w:t>
            </w:r>
          </w:p>
        </w:tc>
        <w:tc>
          <w:tcPr>
            <w:tcW w:w="869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4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cs="Arial" w:ascii="Arial" w:hAnsi="Arial"/>
                <w:sz w:val="16"/>
                <w:szCs w:val="16"/>
                <w:lang w:val="en-US"/>
              </w:rPr>
              <w:t>0.00</w:t>
            </w:r>
          </w:p>
        </w:tc>
        <w:tc>
          <w:tcPr>
            <w:tcW w:w="820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  <w:tc>
          <w:tcPr>
            <w:tcW w:w="150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5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3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110" w:type="dxa"/>
            <w:gridSpan w:val="8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Средства на оплату труда машинистов</w:t>
            </w:r>
          </w:p>
        </w:tc>
        <w:tc>
          <w:tcPr>
            <w:tcW w:w="79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30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1251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</w:tr>
      <w:tr>
        <w:trPr>
          <w:trHeight w:val="240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оборудования</w:t>
            </w:r>
          </w:p>
        </w:tc>
        <w:tc>
          <w:tcPr>
            <w:tcW w:w="869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4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0,00</w:t>
            </w:r>
          </w:p>
        </w:tc>
        <w:tc>
          <w:tcPr>
            <w:tcW w:w="820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  <w:tc>
          <w:tcPr>
            <w:tcW w:w="150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5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3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110" w:type="dxa"/>
            <w:gridSpan w:val="8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Нормативные затраты труда рабочих</w:t>
            </w:r>
          </w:p>
        </w:tc>
        <w:tc>
          <w:tcPr>
            <w:tcW w:w="79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830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1251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03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чел.-ч.</w:t>
            </w:r>
          </w:p>
        </w:tc>
      </w:tr>
      <w:tr>
        <w:trPr>
          <w:trHeight w:val="240" w:hRule="atLeas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cs="Arial" w:ascii="Arial" w:hAnsi="Arial"/>
                <w:b/>
                <w:bCs/>
                <w:sz w:val="16"/>
                <w:szCs w:val="16"/>
              </w:rPr>
              <w:t>прочих затрат</w:t>
            </w:r>
          </w:p>
        </w:tc>
        <w:tc>
          <w:tcPr>
            <w:tcW w:w="869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694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0,00</w:t>
            </w:r>
          </w:p>
        </w:tc>
        <w:tc>
          <w:tcPr>
            <w:tcW w:w="820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тыс.руб.</w:t>
            </w:r>
          </w:p>
        </w:tc>
        <w:tc>
          <w:tcPr>
            <w:tcW w:w="150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25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3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907" w:type="dxa"/>
            <w:gridSpan w:val="1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Нормативные затраты труда машинистов</w:t>
            </w:r>
          </w:p>
        </w:tc>
        <w:tc>
          <w:tcPr>
            <w:tcW w:w="830" w:type="dxa"/>
            <w:gridSpan w:val="2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 </w:t>
            </w:r>
          </w:p>
        </w:tc>
        <w:tc>
          <w:tcPr>
            <w:tcW w:w="1251" w:type="dxa"/>
            <w:gridSpan w:val="3"/>
            <w:tcBorders>
              <w:bottom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03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  <w:t>чел.-ч.</w:t>
            </w:r>
          </w:p>
        </w:tc>
      </w:tr>
      <w:tr>
        <w:trPr>
          <w:trHeight w:val="195" w:hRule="exact"/>
        </w:trPr>
        <w:tc>
          <w:tcPr>
            <w:tcW w:w="1020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cs="Arial" w:ascii="Arial" w:hAnsi="Arial"/>
                <w:sz w:val="16"/>
                <w:szCs w:val="16"/>
              </w:rPr>
            </w:r>
          </w:p>
        </w:tc>
        <w:tc>
          <w:tcPr>
            <w:tcW w:w="1349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69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694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20" w:type="dxa"/>
            <w:gridSpan w:val="2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504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51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0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03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663" w:type="dxa"/>
            <w:gridSpan w:val="6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73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3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797" w:type="dxa"/>
            <w:gridSpan w:val="4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830" w:type="dxa"/>
            <w:gridSpan w:val="2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251" w:type="dxa"/>
            <w:gridSpan w:val="3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1032" w:type="dxa"/>
            <w:tcBorders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269" w:hRule="atLeast"/>
        </w:trPr>
        <w:tc>
          <w:tcPr>
            <w:tcW w:w="10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 xml:space="preserve">№ </w:t>
            </w:r>
            <w:r>
              <w:rPr>
                <w:rFonts w:cs="Arial" w:ascii="Arial" w:hAnsi="Arial"/>
                <w:color w:val="000000"/>
                <w:sz w:val="16"/>
                <w:szCs w:val="16"/>
              </w:rPr>
              <w:t>п/п</w:t>
            </w:r>
          </w:p>
        </w:tc>
        <w:tc>
          <w:tcPr>
            <w:tcW w:w="13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Обоснование</w:t>
            </w:r>
          </w:p>
        </w:tc>
        <w:tc>
          <w:tcPr>
            <w:tcW w:w="2987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Наименование работ и затрат</w:t>
            </w:r>
          </w:p>
        </w:tc>
        <w:tc>
          <w:tcPr>
            <w:tcW w:w="100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Единица измерения</w:t>
            </w:r>
          </w:p>
        </w:tc>
        <w:tc>
          <w:tcPr>
            <w:tcW w:w="3527" w:type="dxa"/>
            <w:gridSpan w:val="1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Количество</w:t>
            </w:r>
          </w:p>
        </w:tc>
        <w:tc>
          <w:tcPr>
            <w:tcW w:w="5025" w:type="dxa"/>
            <w:gridSpan w:val="18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Сметная стоимость, руб.</w:t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69" w:hRule="atLeast"/>
        </w:trPr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3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987" w:type="dxa"/>
            <w:gridSpan w:val="8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08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3527" w:type="dxa"/>
            <w:gridSpan w:val="1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5025" w:type="dxa"/>
            <w:gridSpan w:val="18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873" w:hRule="atLeast"/>
        </w:trPr>
        <w:tc>
          <w:tcPr>
            <w:tcW w:w="102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34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2987" w:type="dxa"/>
            <w:gridSpan w:val="8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1008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</w:r>
          </w:p>
        </w:tc>
        <w:tc>
          <w:tcPr>
            <w:tcW w:w="804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на ед</w:t>
            </w:r>
            <w:r>
              <w:rPr>
                <w:rFonts w:cs="Arial" w:ascii="Arial" w:hAnsi="Arial"/>
                <w:color w:val="000000"/>
                <w:sz w:val="16"/>
                <w:szCs w:val="16"/>
                <w:lang w:val="en-US"/>
              </w:rPr>
              <w:t>.</w:t>
            </w:r>
            <w:r>
              <w:rPr>
                <w:rFonts w:cs="Arial" w:ascii="Arial" w:hAnsi="Arial"/>
                <w:color w:val="000000"/>
                <w:sz w:val="16"/>
                <w:szCs w:val="16"/>
              </w:rPr>
              <w:t xml:space="preserve"> изм</w:t>
            </w:r>
          </w:p>
        </w:tc>
        <w:tc>
          <w:tcPr>
            <w:tcW w:w="1332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13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всего с учетом коэффициентов</w:t>
            </w:r>
          </w:p>
        </w:tc>
        <w:tc>
          <w:tcPr>
            <w:tcW w:w="1038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на ед изм в базисном уровне цен</w:t>
            </w:r>
          </w:p>
        </w:tc>
        <w:tc>
          <w:tcPr>
            <w:tcW w:w="714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индекс</w:t>
            </w:r>
          </w:p>
        </w:tc>
        <w:tc>
          <w:tcPr>
            <w:tcW w:w="1097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на ед изм в текущем уровне цен</w:t>
            </w:r>
          </w:p>
        </w:tc>
        <w:tc>
          <w:tcPr>
            <w:tcW w:w="1333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коэффициенты</w:t>
            </w:r>
          </w:p>
        </w:tc>
        <w:tc>
          <w:tcPr>
            <w:tcW w:w="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всего в текущем уровне цен</w:t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70" w:hRule="atLeast"/>
        </w:trPr>
        <w:tc>
          <w:tcPr>
            <w:tcW w:w="1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2987" w:type="dxa"/>
            <w:gridSpan w:val="8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08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804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32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38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14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97" w:type="dxa"/>
            <w:gridSpan w:val="4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333" w:type="dxa"/>
            <w:gridSpan w:val="5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4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cs="Arial" w:ascii="Arial" w:hAnsi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48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  <w:tc>
          <w:tcPr>
            <w:tcW w:w="1032" w:type="dxa"/>
            <w:tcBorders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sectPr>
          <w:footerReference w:type="default" r:id="rId13"/>
          <w:footerReference w:type="first" r:id="rId14"/>
          <w:type w:val="nextPage"/>
          <w:pgSz w:orient="landscape" w:w="16838" w:h="11906"/>
          <w:pgMar w:left="720" w:right="284" w:gutter="0" w:header="0" w:top="426" w:footer="709" w:bottom="924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ind w:left="6373" w:firstLine="720"/>
        <w:jc w:val="right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</w:r>
    </w:p>
    <w:p>
      <w:pPr>
        <w:pStyle w:val="ConsPlusNormal1"/>
        <w:widowControl/>
        <w:ind w:left="5811" w:hanging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cs="Times New Roman"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ind w:left="5811" w:hanging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№2</w:t>
      </w:r>
    </w:p>
    <w:p>
      <w:pPr>
        <w:pStyle w:val="Normal"/>
        <w:spacing w:lineRule="auto" w:line="240" w:before="0" w:after="0"/>
        <w:ind w:left="5811" w:hanging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left="5811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Образец расчета командировочных расходов </w:t>
      </w:r>
    </w:p>
    <w:p>
      <w:pPr>
        <w:pStyle w:val="Normal"/>
        <w:spacing w:lineRule="auto" w:line="240" w:before="0" w:after="0"/>
        <w:ind w:hanging="567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Приложение № __ к смете № __</w:t>
      </w:r>
    </w:p>
    <w:p>
      <w:pPr>
        <w:pStyle w:val="Normal"/>
        <w:spacing w:lineRule="auto" w:line="240" w:before="0" w:after="0"/>
        <w:ind w:hanging="567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Расчет командировочных расходов</w:t>
      </w:r>
    </w:p>
    <w:p>
      <w:pPr>
        <w:pStyle w:val="Normal"/>
        <w:spacing w:lineRule="auto" w:line="240" w:before="0" w:after="0"/>
        <w:ind w:left="6373" w:hanging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tbl>
      <w:tblPr>
        <w:tblW w:w="14850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noVBand="1" w:noHBand="0" w:lastColumn="0" w:firstColumn="1" w:lastRow="0" w:firstRow="1"/>
      </w:tblPr>
      <w:tblGrid>
        <w:gridCol w:w="493"/>
        <w:gridCol w:w="2052"/>
        <w:gridCol w:w="1844"/>
        <w:gridCol w:w="1984"/>
        <w:gridCol w:w="2125"/>
        <w:gridCol w:w="1276"/>
        <w:gridCol w:w="1702"/>
        <w:gridCol w:w="1700"/>
        <w:gridCol w:w="1672"/>
      </w:tblGrid>
      <w:tr>
        <w:trPr/>
        <w:tc>
          <w:tcPr>
            <w:tcW w:w="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п/п</w:t>
            </w:r>
          </w:p>
        </w:tc>
        <w:tc>
          <w:tcPr>
            <w:tcW w:w="205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Пункт назначения</w:t>
            </w:r>
          </w:p>
        </w:tc>
        <w:tc>
          <w:tcPr>
            <w:tcW w:w="18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Количество специалистов</w:t>
            </w:r>
          </w:p>
        </w:tc>
        <w:tc>
          <w:tcPr>
            <w:tcW w:w="198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Проезд к месту командировки (туда и обратно)</w:t>
            </w:r>
          </w:p>
        </w:tc>
        <w:tc>
          <w:tcPr>
            <w:tcW w:w="21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 xml:space="preserve">Проживание в номере гостиницы класса "3 звезды", </w:t>
            </w:r>
          </w:p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чел/сутки.</w:t>
            </w:r>
          </w:p>
        </w:tc>
        <w:tc>
          <w:tcPr>
            <w:tcW w:w="1276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Суточные</w:t>
            </w:r>
          </w:p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 сутки/руб.</w:t>
            </w:r>
          </w:p>
        </w:tc>
        <w:tc>
          <w:tcPr>
            <w:tcW w:w="170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Продолжи-тельность командировки, сутки</w:t>
            </w:r>
          </w:p>
        </w:tc>
        <w:tc>
          <w:tcPr>
            <w:tcW w:w="17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Продолжи-тельность проживания в гостинице, сутки</w:t>
            </w:r>
          </w:p>
        </w:tc>
        <w:tc>
          <w:tcPr>
            <w:tcW w:w="167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Итого затрат, рубли</w:t>
            </w:r>
          </w:p>
        </w:tc>
      </w:tr>
      <w:tr>
        <w:trPr/>
        <w:tc>
          <w:tcPr>
            <w:tcW w:w="4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1</w:t>
            </w:r>
          </w:p>
        </w:tc>
        <w:tc>
          <w:tcPr>
            <w:tcW w:w="20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2</w:t>
            </w: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3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4</w:t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5</w:t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6</w:t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7</w:t>
            </w:r>
          </w:p>
        </w:tc>
        <w:tc>
          <w:tcPr>
            <w:tcW w:w="17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8</w:t>
            </w:r>
          </w:p>
        </w:tc>
        <w:tc>
          <w:tcPr>
            <w:tcW w:w="16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9</w:t>
            </w:r>
          </w:p>
        </w:tc>
      </w:tr>
      <w:tr>
        <w:trPr/>
        <w:tc>
          <w:tcPr>
            <w:tcW w:w="4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9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05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84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  <w:tr>
        <w:trPr/>
        <w:tc>
          <w:tcPr>
            <w:tcW w:w="4389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  <w:t>Итого по сметному расчету</w:t>
            </w:r>
          </w:p>
        </w:tc>
        <w:tc>
          <w:tcPr>
            <w:tcW w:w="1984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2125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276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7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  <w:tc>
          <w:tcPr>
            <w:tcW w:w="1672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ConsPlusNormal1"/>
              <w:widowControl w:val="false"/>
              <w:ind w:firstLine="60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</w:rPr>
            </w:r>
          </w:p>
        </w:tc>
      </w:tr>
    </w:tbl>
    <w:p>
      <w:pPr>
        <w:pStyle w:val="ConsPlusNormal1"/>
        <w:jc w:val="both"/>
        <w:rPr>
          <w:rFonts w:ascii="Times New Roman" w:hAnsi="Times New Roman" w:eastAsia="Calibri" w:cs="Times New Roman" w:eastAsiaTheme="minorHAnsi"/>
          <w:sz w:val="22"/>
          <w:szCs w:val="22"/>
        </w:rPr>
      </w:pPr>
      <w:r>
        <w:rPr>
          <w:rFonts w:eastAsia="Calibri" w:cs="Times New Roman" w:eastAsiaTheme="minorHAnsi" w:ascii="Times New Roman" w:hAnsi="Times New Roman"/>
          <w:sz w:val="22"/>
          <w:szCs w:val="22"/>
        </w:rPr>
      </w:r>
    </w:p>
    <w:p>
      <w:pPr>
        <w:pStyle w:val="Normal"/>
        <w:spacing w:lineRule="auto" w:line="240" w:before="0" w:after="0"/>
        <w:ind w:right="2947" w:hanging="0"/>
        <w:jc w:val="both"/>
        <w:rPr>
          <w:rFonts w:ascii="Times New Roman" w:hAnsi="Times New Roman"/>
          <w:sz w:val="20"/>
          <w:szCs w:val="20"/>
        </w:rPr>
      </w:pPr>
      <w:bookmarkStart w:id="45" w:name="_Hlk152600818"/>
      <w:r>
        <w:rPr>
          <w:rFonts w:ascii="Times New Roman" w:hAnsi="Times New Roman"/>
          <w:sz w:val="20"/>
          <w:szCs w:val="20"/>
        </w:rPr>
        <w:t>Руководитель проектной организации ________________________________________________________________________________</w:t>
      </w:r>
    </w:p>
    <w:p>
      <w:pPr>
        <w:pStyle w:val="Normal"/>
        <w:spacing w:lineRule="auto" w:line="240" w:before="0" w:after="0"/>
        <w:ind w:right="2947" w:hanging="0"/>
        <w:jc w:val="center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[подпись (инициалы, фамилия)]</w:t>
      </w:r>
    </w:p>
    <w:p>
      <w:pPr>
        <w:pStyle w:val="Normal"/>
        <w:spacing w:lineRule="auto" w:line="240" w:before="0" w:after="0"/>
        <w:ind w:right="2947" w:hanging="0"/>
        <w:jc w:val="both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</w:r>
    </w:p>
    <w:p>
      <w:pPr>
        <w:pStyle w:val="Normal"/>
        <w:spacing w:lineRule="auto" w:line="240" w:before="0" w:after="0"/>
        <w:ind w:right="2947" w:hang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Главный инженер проекта _____________________________________________________________________________________________</w:t>
      </w:r>
    </w:p>
    <w:p>
      <w:pPr>
        <w:pStyle w:val="Normal"/>
        <w:spacing w:lineRule="auto" w:line="240" w:before="0" w:after="0"/>
        <w:ind w:right="2947" w:hanging="0"/>
        <w:jc w:val="center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  <w:t>[подпись (инициалы, фамилия)]</w:t>
      </w:r>
    </w:p>
    <w:p>
      <w:pPr>
        <w:pStyle w:val="Normal"/>
        <w:spacing w:lineRule="auto" w:line="240" w:before="0" w:after="0"/>
        <w:ind w:right="2947" w:hanging="0"/>
        <w:jc w:val="both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</w:r>
    </w:p>
    <w:p>
      <w:pPr>
        <w:pStyle w:val="Normal"/>
        <w:spacing w:lineRule="auto" w:line="240" w:before="0" w:after="0"/>
        <w:ind w:right="2947" w:hang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Начальник ______________________ отдела __________________________________________________________</w:t>
      </w:r>
    </w:p>
    <w:p>
      <w:pPr>
        <w:pStyle w:val="Normal"/>
        <w:spacing w:lineRule="auto" w:line="240" w:before="0" w:after="0"/>
        <w:ind w:right="2947" w:hanging="0"/>
        <w:jc w:val="both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                             </w:t>
      </w:r>
      <w:r>
        <w:rPr>
          <w:rFonts w:ascii="Times New Roman" w:hAnsi="Times New Roman"/>
          <w:i/>
          <w:iCs/>
          <w:sz w:val="20"/>
          <w:szCs w:val="20"/>
        </w:rPr>
        <w:t>(наименование)                                                                        [подпись (инициалы, фамилия)]</w:t>
      </w:r>
    </w:p>
    <w:p>
      <w:pPr>
        <w:pStyle w:val="Normal"/>
        <w:spacing w:lineRule="auto" w:line="240" w:before="0" w:after="0"/>
        <w:ind w:right="2947" w:hanging="0"/>
        <w:jc w:val="both"/>
        <w:rPr>
          <w:rFonts w:ascii="Times New Roman" w:hAnsi="Times New Roman"/>
          <w:i/>
          <w:i/>
          <w:iCs/>
          <w:sz w:val="20"/>
          <w:szCs w:val="20"/>
        </w:rPr>
      </w:pPr>
      <w:r>
        <w:rPr>
          <w:rFonts w:ascii="Times New Roman" w:hAnsi="Times New Roman"/>
          <w:i/>
          <w:iCs/>
          <w:sz w:val="20"/>
          <w:szCs w:val="20"/>
        </w:rPr>
      </w:r>
    </w:p>
    <w:p>
      <w:pPr>
        <w:pStyle w:val="Normal"/>
        <w:spacing w:lineRule="auto" w:line="240" w:before="0" w:after="0"/>
        <w:ind w:right="2947" w:hanging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Заказчик ___________________________________________________________________________________</w:t>
      </w:r>
    </w:p>
    <w:p>
      <w:pPr>
        <w:pStyle w:val="Normal"/>
        <w:spacing w:lineRule="auto" w:line="240" w:before="0" w:after="0"/>
        <w:ind w:right="2947" w:hanging="0"/>
        <w:jc w:val="center"/>
        <w:rPr>
          <w:rFonts w:ascii="Times New Roman" w:hAnsi="Times New Roman"/>
          <w:i/>
          <w:i/>
          <w:iCs/>
          <w:sz w:val="20"/>
          <w:szCs w:val="20"/>
        </w:rPr>
      </w:pPr>
      <w:bookmarkStart w:id="46" w:name="_Hlk152600818"/>
      <w:r>
        <w:rPr>
          <w:rFonts w:ascii="Times New Roman" w:hAnsi="Times New Roman"/>
          <w:i/>
          <w:iCs/>
          <w:sz w:val="20"/>
          <w:szCs w:val="20"/>
        </w:rPr>
        <w:t>[должность, подпись (инициалы, фамилия)]</w:t>
      </w:r>
      <w:bookmarkEnd w:id="46"/>
    </w:p>
    <w:p>
      <w:pPr>
        <w:pStyle w:val="Normal"/>
        <w:spacing w:lineRule="auto" w:line="240" w:before="0" w:after="0"/>
        <w:ind w:hanging="567"/>
        <w:jc w:val="center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</w:r>
    </w:p>
    <w:p>
      <w:pPr>
        <w:sectPr>
          <w:footerReference w:type="default" r:id="rId17"/>
          <w:footerReference w:type="first" r:id="rId18"/>
          <w:type w:val="nextPage"/>
          <w:pgSz w:orient="landscape" w:w="16838" w:h="11906"/>
          <w:pgMar w:left="1418" w:right="851" w:gutter="0" w:header="0" w:top="1134" w:footer="709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ind w:left="284" w:hanging="0"/>
        <w:rPr>
          <w:rFonts w:ascii="Times New Roman" w:hAnsi="Times New Roman"/>
          <w:sz w:val="20"/>
          <w:szCs w:val="20"/>
        </w:rPr>
      </w:pPr>
      <w:r>
        <w:rPr/>
        <w:object>
          <v:shapetype id="_x0000_tole_rId15" coordsize="21600,21600" o:spt="ole_rId1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15" type="_x0000_tole_rId15" style="width:79.6pt;height:50.8pt;mso-wrap-distance-right:0pt" filled="f" o:ole="">
            <v:imagedata r:id="rId16" o:title=""/>
          </v:shape>
          <o:OLEObject Type="Embed" ProgID="Excel.Sheet.12" ShapeID="ole_rId15" DrawAspect="Icon" ObjectID="_479362349" r:id="rId15"/>
        </w:object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14"/>
        <w:gridCol w:w="2967"/>
        <w:gridCol w:w="2200"/>
        <w:gridCol w:w="2726"/>
        <w:gridCol w:w="3538"/>
        <w:gridCol w:w="3074"/>
      </w:tblGrid>
      <w:tr>
        <w:trPr>
          <w:trHeight w:val="408" w:hRule="atLeast"/>
        </w:trPr>
        <w:tc>
          <w:tcPr>
            <w:tcW w:w="15419" w:type="dxa"/>
            <w:gridSpan w:val="6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47" w:name="P105"/>
            <w:bookmarkStart w:id="48" w:name="P104"/>
            <w:bookmarkStart w:id="49" w:name="P102"/>
            <w:bookmarkStart w:id="50" w:name="P90"/>
            <w:bookmarkStart w:id="51" w:name="P83"/>
            <w:bookmarkStart w:id="52" w:name="P81"/>
            <w:bookmarkStart w:id="53" w:name="P80"/>
            <w:bookmarkStart w:id="54" w:name="P79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r>
              <w:rPr>
                <w:rFonts w:ascii="Times New Roman" w:hAnsi="Times New Roman"/>
                <w:sz w:val="24"/>
                <w:szCs w:val="24"/>
              </w:rPr>
              <w:t>Основные условия ценообразования к договору</w:t>
            </w:r>
          </w:p>
        </w:tc>
      </w:tr>
      <w:tr>
        <w:trPr>
          <w:trHeight w:val="324" w:hRule="exact"/>
        </w:trPr>
        <w:tc>
          <w:tcPr>
            <w:tcW w:w="91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u w:val="single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32"/>
                <w:szCs w:val="32"/>
                <w:u w:val="single"/>
              </w:rPr>
            </w:r>
          </w:p>
        </w:tc>
        <w:tc>
          <w:tcPr>
            <w:tcW w:w="2967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20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2726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38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074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</w:tr>
      <w:tr>
        <w:trPr>
          <w:trHeight w:val="660" w:hRule="atLeast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п.п.</w:t>
            </w:r>
          </w:p>
        </w:tc>
        <w:tc>
          <w:tcPr>
            <w:tcW w:w="2967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 требований</w:t>
            </w:r>
          </w:p>
        </w:tc>
        <w:tc>
          <w:tcPr>
            <w:tcW w:w="8464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Значение требований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Примечание/Обоснование</w:t>
            </w:r>
          </w:p>
        </w:tc>
      </w:tr>
      <w:tr>
        <w:trPr>
          <w:trHeight w:val="1380" w:hRule="atLeast"/>
        </w:trPr>
        <w:tc>
          <w:tcPr>
            <w:tcW w:w="3881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Требования </w:t>
            </w:r>
          </w:p>
        </w:tc>
        <w:tc>
          <w:tcPr>
            <w:tcW w:w="8464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 составление сметной документации на работы по реконструкции и техническому перевооружению (не относящихся к работам, стоимость которых определяется в соответствии со Статьей 8.3 Градостроительного кодекса РФ).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 </w:t>
            </w:r>
          </w:p>
        </w:tc>
      </w:tr>
      <w:tr>
        <w:trPr>
          <w:trHeight w:val="450" w:hRule="atLeast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967" w:type="dxa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Версия ПК «Гранд-Смета»</w:t>
            </w:r>
          </w:p>
        </w:tc>
        <w:tc>
          <w:tcPr>
            <w:tcW w:w="8464" w:type="dxa"/>
            <w:gridSpan w:val="3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 ниже 2026.2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rPr>
          <w:trHeight w:val="1905" w:hRule="atLeast"/>
        </w:trPr>
        <w:tc>
          <w:tcPr>
            <w:tcW w:w="914" w:type="dxa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967" w:type="dxa"/>
            <w:tcBorders>
              <w:bottom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Метод определения сметной стоимости работ</w:t>
            </w:r>
          </w:p>
        </w:tc>
        <w:tc>
          <w:tcPr>
            <w:tcW w:w="84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Ресурсно-индексный (приоритетный)- с использованием сметных норм, сметных цен строительных ресурсов в базисном уровне цен и одновременным применением сметных цен строительных ресурсов в текущем уровне цен, информации об индексах изменения сметной стоимости строительства по группам однородных строительных ресурсов и с учетом иной информации, используемой для определения сметной стоимости строительства, размещенных в федеральной государственной информационной системе ценообразования в строительстве (далее - ФГИС ЦС). Сметная стоимость, определенная с применением ресурсно-индексного метода, приводится в ЛСР (ЛС) в текущем уровне цен</w:t>
            </w:r>
          </w:p>
        </w:tc>
        <w:tc>
          <w:tcPr>
            <w:tcW w:w="30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 </w:t>
            </w:r>
          </w:p>
        </w:tc>
      </w:tr>
      <w:tr>
        <w:trPr>
          <w:trHeight w:val="1812" w:hRule="atLeast"/>
        </w:trPr>
        <w:tc>
          <w:tcPr>
            <w:tcW w:w="914" w:type="dxa"/>
            <w:vMerge w:val="restart"/>
            <w:tcBorders>
              <w:left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9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сметно-нормативной базы</w:t>
            </w:r>
          </w:p>
        </w:tc>
        <w:tc>
          <w:tcPr>
            <w:tcW w:w="4926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ФСНБ-2022</w:t>
            </w:r>
          </w:p>
        </w:tc>
        <w:tc>
          <w:tcPr>
            <w:tcW w:w="3538" w:type="dxa"/>
            <w:tcBorders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 изм. 1-18</w:t>
            </w:r>
          </w:p>
        </w:tc>
        <w:tc>
          <w:tcPr>
            <w:tcW w:w="3074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В случае отсутствия единичных расценок в действующей СНБ возможно определение сметной стоимости с применением ГЭСН) сборников СНБ ФСНБ-2022 (актуальной на момент составления сметной документации), сметных норм сборников  ЕНиР и ВНиР. При этом уровень оплаты труда для ГЭСН, ЕНиР и ВНиР определять аналогично примененному в сметной документации методу расчета в соответствии с тарифными ставками сборника «Показатели часовой оплаты труда» (далее - ТС 2001), внесенного в ФРСН. Применение сметных норм сборников ГЭСН является приоритетным.</w:t>
            </w:r>
          </w:p>
        </w:tc>
      </w:tr>
      <w:tr>
        <w:trPr>
          <w:trHeight w:val="1812" w:hRule="atLeast"/>
        </w:trPr>
        <w:tc>
          <w:tcPr>
            <w:tcW w:w="914" w:type="dxa"/>
            <w:vMerge w:val="continue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9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Ремонт энергетического оборудования (с доп.1-12; ЦКБ Энергоремонт)</w:t>
            </w:r>
          </w:p>
        </w:tc>
        <w:tc>
          <w:tcPr>
            <w:tcW w:w="353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74" w:type="dxa"/>
            <w:vMerge w:val="continue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</w:r>
          </w:p>
        </w:tc>
      </w:tr>
      <w:tr>
        <w:trPr>
          <w:trHeight w:val="1812" w:hRule="atLeast"/>
        </w:trPr>
        <w:tc>
          <w:tcPr>
            <w:tcW w:w="914" w:type="dxa"/>
            <w:vMerge w:val="continue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6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92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ГЭСН, ЕНиР и ВНиР</w:t>
            </w:r>
          </w:p>
        </w:tc>
        <w:tc>
          <w:tcPr>
            <w:tcW w:w="353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3074" w:type="dxa"/>
            <w:vMerge w:val="continue"/>
            <w:tcBorders>
              <w:top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</w:r>
          </w:p>
        </w:tc>
      </w:tr>
      <w:tr>
        <w:trPr>
          <w:trHeight w:val="2460" w:hRule="atLeast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967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индексов пересчета в текущие цены</w:t>
            </w:r>
          </w:p>
        </w:tc>
        <w:tc>
          <w:tcPr>
            <w:tcW w:w="8464" w:type="dxa"/>
            <w:gridSpan w:val="3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• </w:t>
            </w:r>
            <w:r>
              <w:rPr>
                <w:rFonts w:ascii="Times New Roman" w:hAnsi="Times New Roman"/>
                <w:sz w:val="24"/>
                <w:szCs w:val="24"/>
              </w:rPr>
              <w:t>индексы к отдельным строительным ресурсам, индексы к группам строительных ресурсов (индексы к сметной стоимости отдельных материалов, изделий, конструкций, оборудования, эксплуатации машин и механизмов или к стоимости однородных групп таких строительных ресурсов);</w:t>
              <w:br/>
              <w:t>• индексы изменения сметных цен на перевозку грузов – применяются к сметной стоимости затрат на перевозку грузов для строительства автомобильным транспортом, в том числе на дополнительное расстояние, сверх учтенного сметными ценами на материальные ресурсы и оборудование, в соответствии с типом автотранспортных средств;</w:t>
              <w:br/>
              <w:t>• индексы изменения сметной стоимости оборудования – применяются к сметной стоимости оборудования;</w:t>
              <w:br/>
              <w:t>• индексы изменения сметной стоимости, рассчитываемые для применения к сметной стоимости отдельных видов прочих работ и затрат;</w:t>
            </w:r>
          </w:p>
        </w:tc>
        <w:tc>
          <w:tcPr>
            <w:tcW w:w="30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 </w:t>
            </w:r>
          </w:p>
        </w:tc>
      </w:tr>
      <w:tr>
        <w:trPr>
          <w:trHeight w:val="1080" w:hRule="atLeast"/>
        </w:trPr>
        <w:tc>
          <w:tcPr>
            <w:tcW w:w="9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96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Применение индексов-дефляторов</w:t>
            </w:r>
          </w:p>
        </w:tc>
        <w:tc>
          <w:tcPr>
            <w:tcW w:w="8464" w:type="dxa"/>
            <w:gridSpan w:val="3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сметных расчетах на этап работ применяются индексы-дефляторы Министерства экономического развития российской Федерации. Индексы-дефляторы применяются для пересчета сметной стоимости строительства из уровня цен на дату определения стоимости работ в уровень цен, соответствующих периоду выполнения работ по договору.</w:t>
            </w:r>
          </w:p>
        </w:tc>
        <w:tc>
          <w:tcPr>
            <w:tcW w:w="3074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1) если срок выполнения работ указан в целом по договору (дата начала работ – дата окончание работ), применяется единый дефлятор, в соответствии с формулой (2)</w:t>
              <w:br/>
              <w:t>2) если договором предусмотрен график выполнения работ с разбивкой на этапы (дата начала работ по этапу – дата окончания работ по этапу), дефлятор применяется в соответствии с таким графиком, и рассчитывается на каждый этап, в соответствии с формулой (2).</w:t>
            </w:r>
          </w:p>
        </w:tc>
      </w:tr>
      <w:tr>
        <w:trPr>
          <w:trHeight w:val="1305" w:hRule="atLeast"/>
        </w:trPr>
        <w:tc>
          <w:tcPr>
            <w:tcW w:w="91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67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926" w:type="dxa"/>
            <w:gridSpan w:val="2"/>
            <w:tcBorders>
              <w:bottom w:val="single" w:sz="8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Новое строительство, ТПиР, капитальный ремонт  (индексы дефляторы принимаются по данным макроэкономических показателей (вариант - базовый), Министерства экономического развития Российской Федерации, по строке - индекс-дефлятор инвестиций.</w:t>
            </w:r>
          </w:p>
        </w:tc>
        <w:tc>
          <w:tcPr>
            <w:tcW w:w="3538" w:type="dxa"/>
            <w:tcBorders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актуальные на момент заключения Договора</w:t>
            </w:r>
          </w:p>
        </w:tc>
        <w:tc>
          <w:tcPr>
            <w:tcW w:w="3074" w:type="dxa"/>
            <w:vMerge w:val="continue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</w:r>
          </w:p>
        </w:tc>
      </w:tr>
      <w:tr>
        <w:trPr>
          <w:trHeight w:val="2415" w:hRule="atLeast"/>
        </w:trPr>
        <w:tc>
          <w:tcPr>
            <w:tcW w:w="91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67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464" w:type="dxa"/>
            <w:gridSpan w:val="3"/>
            <w:tcBorders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tbl>
            <w:tblPr>
              <w:tblW w:w="8239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10" w:type="dxa"/>
              </w:tblCellMar>
              <w:tblLook w:val="04a0" w:noVBand="1" w:noHBand="0" w:lastColumn="0" w:firstColumn="1" w:lastRow="0" w:firstRow="1"/>
            </w:tblPr>
            <w:tblGrid>
              <w:gridCol w:w="8239"/>
            </w:tblGrid>
            <w:tr>
              <w:trPr>
                <w:trHeight w:val="2415" w:hRule="atLeast"/>
              </w:trPr>
              <w:tc>
                <w:tcPr>
                  <w:tcW w:w="8239" w:type="dxa"/>
                  <w:tcBorders>
                    <w:top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color="000000" w:fill="E7E6E6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mc:AlternateContent>
                      <mc:Choice Requires="wps">
                        <w:drawing>
                          <wp:anchor behindDoc="0" distT="0" distB="0" distL="0" distR="0" simplePos="0" locked="0" layoutInCell="0" allowOverlap="1" relativeHeight="2" wp14:anchorId="6972E648">
                            <wp:simplePos x="0" y="0"/>
                            <wp:positionH relativeFrom="column">
                              <wp:posOffset>1732280</wp:posOffset>
                            </wp:positionH>
                            <wp:positionV relativeFrom="paragraph">
                              <wp:posOffset>864870</wp:posOffset>
                            </wp:positionV>
                            <wp:extent cx="2225040" cy="195580"/>
                            <wp:effectExtent l="0" t="0" r="0" b="0"/>
                            <wp:wrapNone/>
                            <wp:docPr id="1" name="Надпись 2"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25160" cy="1954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pStyle w:val="NormalWeb"/>
                                          <w:widowControl w:val="false"/>
                                          <w:spacing w:before="0" w:after="0"/>
                                          <w:jc w:val="center"/>
                                          <w:rPr/>
                                        </w:pPr>
                                        <w:r>
                                          <w:rPr/>
                                        </w:r>
                                        <m:oMathPara xmlns:m="http://schemas.openxmlformats.org/officeDocument/2006/math">
                                          <m:oMathParaPr>
                                            <m:jc m:val="center"/>
                                          </m:oMathParaPr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 xml:space="preserve">И</m:t>
                                            </m:r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 xml:space="preserve">инф</m:t>
                                            </m:r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 xml:space="preserve">мес</m:t>
                                            </m:r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 xml:space="preserve">=</m:t>
                                            </m:r>
                                            <m:rad>
                                              <m:deg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 xml:space="preserve">12</m:t>
                                                </m:r>
                                              </m:deg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 xml:space="preserve">И</m:t>
                                                </m:r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 xml:space="preserve">инфл</m:t>
                                                </m:r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 xml:space="preserve">год</m:t>
                                                </m:r>
                                              </m:e>
                                            </m:rad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lIns="0" rIns="0" tIns="0" bIns="0" anchor="t">
                                    <a:sp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shape_0" ID="Надпись 2" path="m0,0l-2147483645,0l-2147483645,-2147483646l0,-2147483646xe" stroked="f" o:allowincell="f" style="position:absolute;margin-left:136.4pt;margin-top:68.1pt;width:175.15pt;height:15.35pt;mso-wrap-style:none;v-text-anchor:middle" wp14:anchorId="6972E648">
                            <v:fill o:detectmouseclick="t" on="false"/>
                            <v:stroke color="#3465a4" joinstyle="round" endcap="flat"/>
                            <v:textbox>
                              <w:txbxContent>
                                <w:p>
                                  <w:pPr>
                                    <w:pStyle w:val="NormalWeb"/>
                                    <w:widowControl w:val="false"/>
                                    <w:spacing w:before="0" w:after="0"/>
                                    <w:jc w:val="center"/>
                                    <w:rPr/>
                                  </w:pPr>
                                  <w:r>
                                    <w:rPr/>
                                  </w:r>
                                  <m:oMathPara xmlns:m="http://schemas.openxmlformats.org/officeDocument/2006/math"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И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инф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мес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=</m:t>
                                      </m:r>
                                      <m:rad>
                                        <m:deg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 xml:space="preserve">12</m:t>
                                          </m:r>
                                        </m:deg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 xml:space="preserve">И</m:t>
                                          </m:r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 xml:space="preserve">инфл</m:t>
                                          </m:r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 xml:space="preserve">год</m:t>
                                          </m:r>
                                        </m:e>
                                      </m:rad>
                                    </m:oMath>
                                  </m:oMathPara>
                                </w:p>
                              </w:txbxContent>
                            </v:textbox>
                            <w10:wrap type="none"/>
                          </v:rect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 случае, если планируемый период выполнения работ составляет</w:t>
                  </w:r>
                  <w:r>
                    <w:rPr>
                      <w:rFonts w:ascii="Times New Roman" w:hAnsi="Times New Roman"/>
                      <w:sz w:val="24"/>
                      <w:szCs w:val="24"/>
                      <w:u w:val="single"/>
                    </w:rPr>
                    <w:t xml:space="preserve"> до одного календарного года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и сметная документация составлена в уровне цен того же года, индекс прогнозной инфляции на один месяц осуществляется извлечением квадратного корня двенадцатой степени из индекса прогнозной установленного в целом за год:</w:t>
                    <w:br/>
                    <w:t xml:space="preserve"> </w:t>
                    <w:br/>
                    <w:t>И инфл мес – индекс прогнозной инфляции на один месяц, полученное значение округляется до 4 знаков после запятой;</w:t>
                    <w:br/>
                    <w:t>И инфл год – индекс-дефлятор Министерства экономического развития Российской Федерации.</w:t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074" w:type="dxa"/>
            <w:vMerge w:val="continue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</w:r>
          </w:p>
        </w:tc>
      </w:tr>
      <w:tr>
        <w:trPr>
          <w:trHeight w:val="2040" w:hRule="atLeast"/>
        </w:trPr>
        <w:tc>
          <w:tcPr>
            <w:tcW w:w="91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67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464" w:type="dxa"/>
            <w:gridSpan w:val="3"/>
            <w:tcBorders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tbl>
            <w:tblPr>
              <w:tblW w:w="8239" w:type="dxa"/>
              <w:jc w:val="left"/>
              <w:tblInd w:w="0" w:type="dxa"/>
              <w:tblLayout w:type="fixed"/>
              <w:tblCellMar>
                <w:top w:w="0" w:type="dxa"/>
                <w:left w:w="0" w:type="dxa"/>
                <w:bottom w:w="0" w:type="dxa"/>
                <w:right w:w="10" w:type="dxa"/>
              </w:tblCellMar>
              <w:tblLook w:val="04a0" w:noVBand="1" w:noHBand="0" w:lastColumn="0" w:firstColumn="1" w:lastRow="0" w:firstRow="1"/>
            </w:tblPr>
            <w:tblGrid>
              <w:gridCol w:w="8239"/>
            </w:tblGrid>
            <w:tr>
              <w:trPr>
                <w:trHeight w:val="2040" w:hRule="atLeast"/>
              </w:trPr>
              <w:tc>
                <w:tcPr>
                  <w:tcW w:w="8239" w:type="dxa"/>
                  <w:tcBorders>
                    <w:top w:val="single" w:sz="4" w:space="0" w:color="000000"/>
                    <w:bottom w:val="single" w:sz="4" w:space="0" w:color="000000"/>
                    <w:right w:val="single" w:sz="8" w:space="0" w:color="000000"/>
                  </w:tcBorders>
                  <w:shd w:color="000000" w:fill="E7E6E6" w:val="clear"/>
                  <w:vAlign w:val="center"/>
                </w:tcPr>
                <w:p>
                  <w:pPr>
                    <w:pStyle w:val="Normal"/>
                    <w:widowControl w:val="false"/>
                    <w:spacing w:lineRule="auto" w:line="240" w:before="0" w:after="0"/>
                    <w:jc w:val="center"/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</w:pPr>
                  <w:r>
                    <mc:AlternateContent>
                      <mc:Choice Requires="wps">
                        <w:drawing>
                          <wp:anchor behindDoc="0" distT="0" distB="0" distL="0" distR="0" simplePos="0" locked="0" layoutInCell="0" allowOverlap="1" relativeHeight="4" wp14:anchorId="32FEFBC2">
                            <wp:simplePos x="0" y="0"/>
                            <wp:positionH relativeFrom="column">
                              <wp:posOffset>1503680</wp:posOffset>
                            </wp:positionH>
                            <wp:positionV relativeFrom="paragraph">
                              <wp:posOffset>1047750</wp:posOffset>
                            </wp:positionV>
                            <wp:extent cx="3017520" cy="419100"/>
                            <wp:effectExtent l="0" t="0" r="0" b="0"/>
                            <wp:wrapNone/>
                            <wp:docPr id="3" name="Надпись 3"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017520" cy="419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0">
                                      <a:noFill/>
                                    </a:ln>
                                  </wps:spPr>
                                  <wps:style>
                                    <a:lnRef idx="0"/>
                                    <a:fillRef idx="0"/>
                                    <a:effectRef idx="0"/>
                                    <a:fontRef idx="minor"/>
                                  </wps:style>
                                  <wps:txbx>
                                    <w:txbxContent>
                                      <w:p>
                                        <w:pPr>
                                          <w:pStyle w:val="NormalWeb"/>
                                          <w:widowControl w:val="false"/>
                                          <w:spacing w:before="0" w:after="0"/>
                                          <w:jc w:val="center"/>
                                          <w:rPr/>
                                        </w:pPr>
                                        <w:r>
                                          <w:rPr/>
                                        </w:r>
                                        <m:oMathPara xmlns:m="http://schemas.openxmlformats.org/officeDocument/2006/math">
                                          <m:oMathParaPr>
                                            <m:jc m:val="center"/>
                                          </m:oMathParaPr>
                                          <m:oMath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 xml:space="preserve">И</m:t>
                                            </m:r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 xml:space="preserve">инфл</m:t>
                                            </m:r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 xml:space="preserve">пер</m:t>
                                            </m:r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 xml:space="preserve">=</m:t>
                                            </m:r>
                                            <m:d>
                                              <m:dPr>
                                                <m:begChr m:val="("/>
                                                <m:endChr m:val=")"/>
                                              </m:dPr>
                                              <m:e>
                                                <m:f>
                                                  <m:num>
                                                    <m:sSup>
                                                      <m:e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</w:rPr>
                                                          <m:t xml:space="preserve">И</m:t>
                                                        </m:r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</w:rPr>
                                                          <m:t xml:space="preserve">инфл</m:t>
                                                        </m:r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</w:rPr>
                                                          <m:t xml:space="preserve">.</m:t>
                                                        </m:r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</w:rPr>
                                                          <m:t xml:space="preserve">мес</m:t>
                                                        </m:r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</w:rPr>
                                                          <m:t xml:space="preserve">.</m:t>
                                                        </m:r>
                                                      </m:e>
                                                      <m:sup>
                                                        <m:r>
                                                          <w:rPr>
                                                            <w:rFonts w:ascii="Cambria Math" w:hAnsi="Cambria Math"/>
                                                          </w:rPr>
                                                          <m:t xml:space="preserve">n</m:t>
                                                        </m:r>
                                                      </m:sup>
                                                    </m:sSup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</w:rPr>
                                                      <m:t xml:space="preserve">−</m:t>
                                                    </m:r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</w:rPr>
                                                      <m:t xml:space="preserve">1</m:t>
                                                    </m:r>
                                                  </m:num>
                                                  <m:den>
                                                    <m:r>
                                                      <w:rPr>
                                                        <w:rFonts w:ascii="Cambria Math" w:hAnsi="Cambria Math"/>
                                                      </w:rPr>
                                                      <m:t xml:space="preserve">2</m:t>
                                                    </m:r>
                                                  </m:den>
                                                </m:f>
                                              </m:e>
                                            </m:d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 xml:space="preserve">+</m:t>
                                            </m:r>
                                            <m:r>
                                              <w:rPr>
                                                <w:rFonts w:ascii="Cambria Math" w:hAnsi="Cambria Math"/>
                                              </w:rPr>
                                              <m:t xml:space="preserve">1</m:t>
                                            </m:r>
                                            <m:d>
                                              <m:dPr>
                                                <m:begChr m:val="("/>
                                                <m:endChr m:val=")"/>
                                              </m:d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</w:rPr>
                                                  <m:t xml:space="preserve">1</m:t>
                                                </m:r>
                                              </m:e>
                                            </m:d>
                                          </m:oMath>
                                        </m:oMathPara>
                                      </w:p>
                                    </w:txbxContent>
                                  </wps:txbx>
                                  <wps:bodyPr lIns="0" rIns="0" tIns="0" bIns="0" anchor="t">
                                    <a:sp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ect id="shape_0" ID="Надпись 3" path="m0,0l-2147483645,0l-2147483645,-2147483646l0,-2147483646xe" stroked="f" o:allowincell="f" style="position:absolute;margin-left:118.4pt;margin-top:82.5pt;width:237.55pt;height:32.95pt;mso-wrap-style:none;v-text-anchor:middle" wp14:anchorId="32FEFBC2">
                            <v:fill o:detectmouseclick="t" on="false"/>
                            <v:stroke color="#3465a4" joinstyle="round" endcap="flat"/>
                            <v:textbox>
                              <w:txbxContent>
                                <w:p>
                                  <w:pPr>
                                    <w:pStyle w:val="NormalWeb"/>
                                    <w:widowControl w:val="false"/>
                                    <w:spacing w:before="0" w:after="0"/>
                                    <w:jc w:val="center"/>
                                    <w:rPr/>
                                  </w:pPr>
                                  <w:r>
                                    <w:rPr/>
                                  </w:r>
                                  <m:oMathPara xmlns:m="http://schemas.openxmlformats.org/officeDocument/2006/math">
                                    <m:oMathParaPr>
                                      <m:jc m:val="center"/>
                                    </m:oMathParaPr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И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инфл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пер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=</m:t>
                                      </m:r>
                                      <m:d>
                                        <m:dPr>
                                          <m:begChr m:val="("/>
                                          <m:endChr m:val=")"/>
                                        </m:dPr>
                                        <m:e>
                                          <m:f>
                                            <m:num>
                                              <m:sSup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 xml:space="preserve">И</m:t>
                                                  </m:r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 xml:space="preserve">инфл</m:t>
                                                  </m:r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 xml:space="preserve">.</m:t>
                                                  </m:r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 xml:space="preserve">мес</m:t>
                                                  </m:r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 xml:space="preserve">.</m:t>
                                                  </m:r>
                                                </m:e>
                                                <m:sup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</w:rPr>
                                                    <m:t xml:space="preserve">n</m:t>
                                                  </m:r>
                                                </m:sup>
                                              </m:sSup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 xml:space="preserve">−</m:t>
                                              </m:r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 xml:space="preserve">1</m:t>
                                              </m:r>
                                            </m:num>
                                            <m:den>
                                              <m:r>
                                                <w:rPr>
                                                  <w:rFonts w:ascii="Cambria Math" w:hAnsi="Cambria Math"/>
                                                </w:rPr>
                                                <m:t xml:space="preserve">2</m:t>
                                              </m:r>
                                            </m:den>
                                          </m:f>
                                        </m:e>
                                      </m:d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+</m:t>
                                      </m:r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 xml:space="preserve">1</m:t>
                                      </m:r>
                                      <m:d>
                                        <m:dPr>
                                          <m:begChr m:val="("/>
                                          <m:endChr m:val=")"/>
                                        </m:dPr>
                                        <m:e>
                                          <m:r>
                                            <w:rPr>
                                              <w:rFonts w:ascii="Cambria Math" w:hAnsi="Cambria Math"/>
                                            </w:rPr>
                                            <m:t xml:space="preserve">1</m:t>
                                          </m:r>
                                        </m:e>
                                      </m:d>
                                    </m:oMath>
                                  </m:oMathPara>
                                </w:p>
                              </w:txbxContent>
                            </v:textbox>
                            <w10:wrap type="none"/>
                          </v:rect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Для определения размера индекса прогнозной инфляции периодом в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  <w:u w:val="single"/>
                    </w:rPr>
                    <w:t xml:space="preserve"> несколько месяцев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szCs w:val="24"/>
                    </w:rPr>
                    <w:t>, величина индекса прогнозной инфляции на один месяц возводится в степень размер которой соответствует количеству месяцев от даты определения стоимости работ до даты окончания работ. Индекс прогнозной инфляции для периода выполнения работ, не превышающего один календарный год рассчитывается по формуле:</w:t>
                    <w:br/>
                    <w:br/>
                    <w:br/>
                    <w:t>И инф пер – индекс прогнозной инфляции для периода выполнения работ, полученное значение округляется до 4 знаков после запятой.</w:t>
                  </w:r>
                </w:p>
              </w:tc>
            </w:tr>
          </w:tbl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</w:tc>
        <w:tc>
          <w:tcPr>
            <w:tcW w:w="3074" w:type="dxa"/>
            <w:vMerge w:val="continue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</w:r>
          </w:p>
        </w:tc>
      </w:tr>
      <w:tr>
        <w:trPr>
          <w:trHeight w:val="1425" w:hRule="atLeast"/>
        </w:trPr>
        <w:tc>
          <w:tcPr>
            <w:tcW w:w="91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67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46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случае если срок выполнения работ превышает календарный год, то индекс прогнозной инфляции для второго и последующих годов, определяется с учетом установленных договором сроков строительства по формуле: </w:t>
              <w:br/>
              <w:t xml:space="preserve">  Цд=С * Иинфл                         (2)</w:t>
              <w:br/>
              <w:t xml:space="preserve">Цд – стоимость договора; С - сметная стоимость подрядных работ, подлежащих выполнению подрядчиком; </w:t>
            </w:r>
          </w:p>
        </w:tc>
        <w:tc>
          <w:tcPr>
            <w:tcW w:w="3074" w:type="dxa"/>
            <w:vMerge w:val="continue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</w:r>
          </w:p>
        </w:tc>
      </w:tr>
      <w:tr>
        <w:trPr>
          <w:trHeight w:val="4605" w:hRule="atLeast"/>
        </w:trPr>
        <w:tc>
          <w:tcPr>
            <w:tcW w:w="91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67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464" w:type="dxa"/>
            <w:gridSpan w:val="3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Иинф – индекс инфляции, рассчитываемый по формуле: </w:t>
              <w:br/>
              <w:t>И инф = Д1*К1+Д2*К2+...+Дi*Кi                 (3)</w:t>
              <w:br/>
              <w:t>Д1,Д2,Дi - доля сметной стоимости работ, подлежащих выполнению соответственно в 1-й, 2-й, 3-й, i-ый годы строительства;</w:t>
              <w:br/>
              <w:t>i - год завершения строительства объекта;</w:t>
              <w:br/>
              <w:t>К1 - индекс прогнозной инфляции за первый год строительства объекта, определяемый как среднее арифметическое между индексом прогнозной инфляции на дату начала строительства объекта и индексом прогнозной инфляции на декабрь первого года строительства объекта;</w:t>
              <w:br/>
              <w:t>К2 - индекс прогнозной инфляции, учитывающий инфляцию за первый и второй годы строительства объекта. Рассчитывается как произведение индекса прогнозной инфляции, устанавливаемого нарастающим итогом на декабрь первого года строительства объекта, и индекса прогнозной инфляции на второй год строительства объекта, определенного как среднее арифметическое между индексом прогнозной инфляции на январь второго года строительства объекта и индекса прогнозной инфляции на декабрь второго года строительства объекта;</w:t>
              <w:br/>
              <w:t xml:space="preserve">К3 - индекс прогнозной инфляции, учитывающий инфляцию за весь период строительства объекта. Указанный индекс рассчитывается как произведение индекса прогнозной инфляции, устанавливаемого нарастающим итогом на декабрь предшествующего года строительства объекта, и индекса прогнозной инфляции на последний год строительства объекта, определенного как среднее арифметическое между индексом прогнозной инфляции на январь последнего года строительства объекта и индексом прогнозной инфляции на дату окончания строительства объекта в последнем году. </w:t>
            </w:r>
          </w:p>
        </w:tc>
        <w:tc>
          <w:tcPr>
            <w:tcW w:w="3074" w:type="dxa"/>
            <w:vMerge w:val="continue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</w:r>
          </w:p>
        </w:tc>
      </w:tr>
      <w:tr>
        <w:trPr>
          <w:trHeight w:val="2115" w:hRule="atLeast"/>
        </w:trPr>
        <w:tc>
          <w:tcPr>
            <w:tcW w:w="91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67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464" w:type="dxa"/>
            <w:gridSpan w:val="3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Если для определения ПЦ используется сметная документация, разработанная на основании СНБ применяемой на дату формирования ПЦ, то пересчет сметной стоимости работ в уровень цен на дату определения ПЦ осуществляется с использованием индексов изменения сметной стоимости, размещенных Минстроем России в ФРСН, действующих на дату определения ПЦ. </w:t>
              <w:br/>
              <w:t>В случае если сметная документация разработана в СНБ не применяемой на дату определения ПЦ, то пересчет сметной стоимости работ в уровень цен на дату определения ПЦ осуществляется с использованием индекса фактической инфляции (опубликованный на сайте https://www.fedstat.ru/, индексы цен на продукцию (затраты, услуги) инвестиционного назначения с 2017г., по Российской Федерации в целом, с учетом вида экономической деятельности).</w:t>
            </w:r>
          </w:p>
        </w:tc>
        <w:tc>
          <w:tcPr>
            <w:tcW w:w="3074" w:type="dxa"/>
            <w:vMerge w:val="continue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</w:r>
          </w:p>
        </w:tc>
      </w:tr>
      <w:tr>
        <w:trPr>
          <w:trHeight w:val="780" w:hRule="atLeast"/>
        </w:trPr>
        <w:tc>
          <w:tcPr>
            <w:tcW w:w="91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967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Транспортные затраты</w:t>
            </w:r>
          </w:p>
        </w:tc>
        <w:tc>
          <w:tcPr>
            <w:tcW w:w="2200" w:type="dxa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доставке материальных ресурсов</w:t>
            </w:r>
          </w:p>
        </w:tc>
        <w:tc>
          <w:tcPr>
            <w:tcW w:w="6264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размере до 3-х процентов от отпускной цены материальных ресурсов (при невозможности определить затраты расчетом или по результатам конъюнктурного анализа), по решению заказчика.</w:t>
            </w:r>
          </w:p>
        </w:tc>
        <w:tc>
          <w:tcPr>
            <w:tcW w:w="307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Только для МТР и индивидуального стандартизированного (адаптированного) оборудования в текущем уровне цен, информация о которых отсутствует во ФГИС ЦС и ФРСН</w:t>
            </w:r>
          </w:p>
        </w:tc>
      </w:tr>
      <w:tr>
        <w:trPr>
          <w:trHeight w:val="780" w:hRule="atLeast"/>
        </w:trPr>
        <w:tc>
          <w:tcPr>
            <w:tcW w:w="914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67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200" w:type="dxa"/>
            <w:tcBorders>
              <w:bottom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доставке оборудования</w:t>
            </w:r>
          </w:p>
        </w:tc>
        <w:tc>
          <w:tcPr>
            <w:tcW w:w="6264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 размере до 3-х процентов от отпускной цены оборудования (при невозможности определить затраты расчетом или по результатам конъюнктурного анализа), по решению заказчика.</w:t>
            </w:r>
          </w:p>
        </w:tc>
        <w:tc>
          <w:tcPr>
            <w:tcW w:w="3074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</w:r>
          </w:p>
        </w:tc>
      </w:tr>
      <w:tr>
        <w:trPr>
          <w:trHeight w:val="780" w:hRule="atLeast"/>
        </w:trPr>
        <w:tc>
          <w:tcPr>
            <w:tcW w:w="91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967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Заготовительно-складские расходы</w:t>
            </w:r>
          </w:p>
        </w:tc>
        <w:tc>
          <w:tcPr>
            <w:tcW w:w="2200" w:type="dxa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доставке материальных ресурсов</w:t>
            </w:r>
          </w:p>
        </w:tc>
        <w:tc>
          <w:tcPr>
            <w:tcW w:w="6264" w:type="dxa"/>
            <w:gridSpan w:val="2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•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2% от отпускной цены материальных ресурсов (кроме металлоконструкций);</w:t>
              <w:br/>
              <w:t>• 0,75% от отпускной цены для металлоконструкций,</w:t>
            </w:r>
          </w:p>
        </w:tc>
        <w:tc>
          <w:tcPr>
            <w:tcW w:w="30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Только для МТР и индивидуального стандартизированного (адаптированного) оборудования в текущем уровне цен, информация о которых отсутствует во ФГИС ЦС и ФРСН</w:t>
            </w:r>
          </w:p>
        </w:tc>
      </w:tr>
      <w:tr>
        <w:trPr>
          <w:trHeight w:val="780" w:hRule="atLeast"/>
        </w:trPr>
        <w:tc>
          <w:tcPr>
            <w:tcW w:w="914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67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200" w:type="dxa"/>
            <w:tcBorders>
              <w:bottom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доставке оборудования</w:t>
            </w:r>
          </w:p>
        </w:tc>
        <w:tc>
          <w:tcPr>
            <w:tcW w:w="6264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•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1,2% от отпускной цены оборудования.</w:t>
            </w:r>
          </w:p>
        </w:tc>
        <w:tc>
          <w:tcPr>
            <w:tcW w:w="307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</w:r>
          </w:p>
        </w:tc>
      </w:tr>
      <w:tr>
        <w:trPr>
          <w:trHeight w:val="1185" w:hRule="atLeast"/>
        </w:trPr>
        <w:tc>
          <w:tcPr>
            <w:tcW w:w="91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967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Определение стоимости дополнительных работ </w:t>
            </w:r>
          </w:p>
        </w:tc>
        <w:tc>
          <w:tcPr>
            <w:tcW w:w="2200" w:type="dxa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работы, входящие в договорную стоимость (в т.ч. непредвиденные работы и затраты, ВЗиС и пр.)</w:t>
            </w:r>
          </w:p>
        </w:tc>
        <w:tc>
          <w:tcPr>
            <w:tcW w:w="6264" w:type="dxa"/>
            <w:gridSpan w:val="2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 составлении сметной документации необходимо руководствоваться условиями ценообразования, учтенными в сметной документации к основному договору (дополнительному соглашению) в том числе: сметно-нормативная база, индексы перевода в текущие цены, понижающие договорные коэффициенты, индексы-дефляторы.</w:t>
            </w:r>
          </w:p>
        </w:tc>
        <w:tc>
          <w:tcPr>
            <w:tcW w:w="307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 </w:t>
            </w:r>
          </w:p>
        </w:tc>
      </w:tr>
      <w:tr>
        <w:trPr>
          <w:trHeight w:val="795" w:hRule="atLeast"/>
        </w:trPr>
        <w:tc>
          <w:tcPr>
            <w:tcW w:w="914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67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200" w:type="dxa"/>
            <w:tcBorders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работы, не учтенных основным договором</w:t>
            </w:r>
          </w:p>
        </w:tc>
        <w:tc>
          <w:tcPr>
            <w:tcW w:w="6264" w:type="dxa"/>
            <w:gridSpan w:val="2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 составлении сметной документации необходимо учитывать условия ценообразования актуальные на момент составления сметной документации</w:t>
            </w:r>
          </w:p>
        </w:tc>
        <w:tc>
          <w:tcPr>
            <w:tcW w:w="3074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</w:r>
          </w:p>
        </w:tc>
      </w:tr>
      <w:tr>
        <w:trPr>
          <w:trHeight w:val="555" w:hRule="atLeast"/>
        </w:trPr>
        <w:tc>
          <w:tcPr>
            <w:tcW w:w="914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67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200" w:type="dxa"/>
            <w:tcBorders>
              <w:bottom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аварийно-восстановительные работы</w:t>
            </w:r>
          </w:p>
        </w:tc>
        <w:tc>
          <w:tcPr>
            <w:tcW w:w="6264" w:type="dxa"/>
            <w:gridSpan w:val="2"/>
            <w:tcBorders>
              <w:top w:val="single" w:sz="4" w:space="0" w:color="000000"/>
              <w:bottom w:val="single" w:sz="8" w:space="0" w:color="000000"/>
              <w:right w:val="single" w:sz="8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 составлении сметной документации руководствоваться ЛНА Заказчика</w:t>
            </w:r>
          </w:p>
        </w:tc>
        <w:tc>
          <w:tcPr>
            <w:tcW w:w="3074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</w:r>
          </w:p>
        </w:tc>
      </w:tr>
      <w:tr>
        <w:trPr>
          <w:trHeight w:val="885" w:hRule="atLeast"/>
        </w:trPr>
        <w:tc>
          <w:tcPr>
            <w:tcW w:w="91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967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Резерв средств на непредвиденные работы и затраты </w:t>
            </w:r>
          </w:p>
        </w:tc>
        <w:tc>
          <w:tcPr>
            <w:tcW w:w="4926" w:type="dxa"/>
            <w:gridSpan w:val="2"/>
            <w:tcBorders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Начислять в смете / ССР в процентах, в соответствии с указаниями в утвержденных ТТ. </w:t>
            </w:r>
          </w:p>
        </w:tc>
        <w:tc>
          <w:tcPr>
            <w:tcW w:w="353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3%</w:t>
            </w:r>
          </w:p>
        </w:tc>
        <w:tc>
          <w:tcPr>
            <w:tcW w:w="307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Порядок расчета за непредвиденные работы и затраты оговаривать в договоре подряда.</w:t>
            </w:r>
          </w:p>
        </w:tc>
      </w:tr>
      <w:tr>
        <w:trPr>
          <w:trHeight w:val="780" w:hRule="atLeast"/>
        </w:trPr>
        <w:tc>
          <w:tcPr>
            <w:tcW w:w="914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67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464" w:type="dxa"/>
            <w:gridSpan w:val="3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Сметная документация на непредвиденные работы и затраты составляется на основании ведомостей объемов работ, проектной/рабочей либо иной технической документации. </w:t>
            </w:r>
          </w:p>
        </w:tc>
        <w:tc>
          <w:tcPr>
            <w:tcW w:w="3074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</w:r>
          </w:p>
        </w:tc>
      </w:tr>
      <w:tr>
        <w:trPr>
          <w:trHeight w:val="1200" w:hRule="atLeast"/>
        </w:trPr>
        <w:tc>
          <w:tcPr>
            <w:tcW w:w="91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967" w:type="dxa"/>
            <w:vMerge w:val="restart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Размер средств на устройство и ликвидацию временных зданий и сооружений</w:t>
            </w:r>
          </w:p>
        </w:tc>
        <w:tc>
          <w:tcPr>
            <w:tcW w:w="4926" w:type="dxa"/>
            <w:gridSpan w:val="2"/>
            <w:tcBorders>
              <w:top w:val="single" w:sz="8" w:space="0" w:color="000000"/>
              <w:bottom w:val="single" w:sz="8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Определять нормативным методом с применением нормативов затрат на строительство титульных временных зданий и сооружений, сведения о которых включены в ФРСН; </w:t>
            </w:r>
          </w:p>
        </w:tc>
        <w:tc>
          <w:tcPr>
            <w:tcW w:w="3538" w:type="dxa"/>
            <w:tcBorders/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отсутствуют в ТТ</w:t>
            </w:r>
          </w:p>
        </w:tc>
        <w:tc>
          <w:tcPr>
            <w:tcW w:w="307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Порядок расчета за ВЗиС оговаривать в договоре подряда.</w:t>
            </w:r>
          </w:p>
        </w:tc>
      </w:tr>
      <w:tr>
        <w:trPr>
          <w:trHeight w:val="855" w:hRule="atLeast"/>
        </w:trPr>
        <w:tc>
          <w:tcPr>
            <w:tcW w:w="914" w:type="dxa"/>
            <w:vMerge w:val="continue"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67" w:type="dxa"/>
            <w:vMerge w:val="continue"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464" w:type="dxa"/>
            <w:gridSpan w:val="3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Учитываются только при наличии соответствующих указаниях в ПОС, ТТ.</w:t>
            </w:r>
          </w:p>
        </w:tc>
        <w:tc>
          <w:tcPr>
            <w:tcW w:w="3074" w:type="dxa"/>
            <w:tcBorders>
              <w:left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> </w:t>
            </w:r>
          </w:p>
        </w:tc>
      </w:tr>
      <w:tr>
        <w:trPr>
          <w:trHeight w:val="1590" w:hRule="atLeast"/>
        </w:trPr>
        <w:tc>
          <w:tcPr>
            <w:tcW w:w="914" w:type="dxa"/>
            <w:vMerge w:val="restart"/>
            <w:tcBorders>
              <w:left w:val="single" w:sz="8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96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Командировочные расходы</w:t>
              <w:br/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При необходимости учета командировочных расходов в сметной документации составляется расчет. </w:t>
            </w:r>
          </w:p>
        </w:tc>
        <w:tc>
          <w:tcPr>
            <w:tcW w:w="22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Суточные</w:t>
            </w:r>
          </w:p>
        </w:tc>
        <w:tc>
          <w:tcPr>
            <w:tcW w:w="27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СМР, ПНР, ТО, при командировании на территории относящиеся к местностям, приравненным к районам Крайнего Севера</w:t>
            </w:r>
          </w:p>
        </w:tc>
        <w:tc>
          <w:tcPr>
            <w:tcW w:w="353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945</w:t>
            </w:r>
          </w:p>
        </w:tc>
        <w:tc>
          <w:tcPr>
            <w:tcW w:w="307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  <w:t xml:space="preserve">Размер суточных командировочных расходов определяется в соответствии с законодательством РФ и с учетом норм, определяемых внутренним документом организации. </w:t>
              <w:br/>
              <w:t>Лимиты командировочных расходов не должны превышать лимитов установленных Приказом ПАО «РусГидро» от 30.06.2023 №432 «О внесении изменений в приказ ПАО «РусГидро» от 22.11.2022 №891»*</w:t>
              <w:br/>
              <w:br/>
              <w:br/>
              <w:t xml:space="preserve">* за исключением лимитов согласованных Департаментом закупок, маркетинга и ценообразования.  </w:t>
            </w:r>
          </w:p>
        </w:tc>
      </w:tr>
      <w:tr>
        <w:trPr>
          <w:trHeight w:val="1590" w:hRule="atLeast"/>
        </w:trPr>
        <w:tc>
          <w:tcPr>
            <w:tcW w:w="914" w:type="dxa"/>
            <w:vMerge w:val="continue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6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7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ПИР, НИР при составлении смет на шефмонтажные и шефналадочные работы на территории  не относящиеся к районам Крайнего Севера</w:t>
            </w:r>
          </w:p>
        </w:tc>
        <w:tc>
          <w:tcPr>
            <w:tcW w:w="353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3074" w:type="dxa"/>
            <w:vMerge w:val="continue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</w:r>
          </w:p>
        </w:tc>
      </w:tr>
      <w:tr>
        <w:trPr>
          <w:trHeight w:val="1590" w:hRule="atLeast"/>
        </w:trPr>
        <w:tc>
          <w:tcPr>
            <w:tcW w:w="914" w:type="dxa"/>
            <w:vMerge w:val="continue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6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20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Проживание</w:t>
            </w:r>
          </w:p>
        </w:tc>
        <w:tc>
          <w:tcPr>
            <w:tcW w:w="27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СМР, ПНР, ТО, при командировании на территории не относящиеся к районам Крайнего Севера</w:t>
            </w:r>
          </w:p>
        </w:tc>
        <w:tc>
          <w:tcPr>
            <w:tcW w:w="3538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3074" w:type="dxa"/>
            <w:vMerge w:val="continue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</w:r>
          </w:p>
        </w:tc>
      </w:tr>
      <w:tr>
        <w:trPr>
          <w:trHeight w:val="1590" w:hRule="atLeast"/>
        </w:trPr>
        <w:tc>
          <w:tcPr>
            <w:tcW w:w="914" w:type="dxa"/>
            <w:vMerge w:val="continue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6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7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3П при составлении смет на шеф-монтажные и шеф-наладочные работы на территории не относящиеся к районам Крайнего Севера</w:t>
            </w:r>
          </w:p>
        </w:tc>
        <w:tc>
          <w:tcPr>
            <w:tcW w:w="3538" w:type="dxa"/>
            <w:tcBorders>
              <w:bottom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7000</w:t>
            </w:r>
          </w:p>
        </w:tc>
        <w:tc>
          <w:tcPr>
            <w:tcW w:w="3074" w:type="dxa"/>
            <w:vMerge w:val="continue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</w:r>
          </w:p>
        </w:tc>
      </w:tr>
      <w:tr>
        <w:trPr>
          <w:trHeight w:val="1590" w:hRule="atLeast"/>
        </w:trPr>
        <w:tc>
          <w:tcPr>
            <w:tcW w:w="914" w:type="dxa"/>
            <w:vMerge w:val="continue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6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20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726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3П при составлении смет на шеф-монтажные и шеф-наладочные работы на территории относящиеся к местностям, приравненным к районам Крайнего Севера</w:t>
            </w:r>
          </w:p>
        </w:tc>
        <w:tc>
          <w:tcPr>
            <w:tcW w:w="3538" w:type="dxa"/>
            <w:tcBorders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7000</w:t>
            </w:r>
          </w:p>
        </w:tc>
        <w:tc>
          <w:tcPr>
            <w:tcW w:w="3074" w:type="dxa"/>
            <w:vMerge w:val="continue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</w:r>
          </w:p>
        </w:tc>
      </w:tr>
      <w:tr>
        <w:trPr>
          <w:trHeight w:val="1425" w:hRule="atLeast"/>
        </w:trPr>
        <w:tc>
          <w:tcPr>
            <w:tcW w:w="914" w:type="dxa"/>
            <w:vMerge w:val="continue"/>
            <w:tcBorders>
              <w:left w:val="single" w:sz="8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67" w:type="dxa"/>
            <w:vMerge w:val="continue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926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Проезд: поезд (купе) или самолет (класс–эконом с багажом до 20 (двадцати) кг, ручная кладь до 10 (десяти) кг).</w:t>
              <w:br/>
            </w:r>
            <w:r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>Документы обосновывающие стоимость проезда прикладываютсся в обязательном порядке</w:t>
            </w:r>
          </w:p>
        </w:tc>
        <w:tc>
          <w:tcPr>
            <w:tcW w:w="3538" w:type="dxa"/>
            <w:tcBorders>
              <w:top w:val="single" w:sz="4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 основании конъюнктурного анализа</w:t>
            </w:r>
          </w:p>
        </w:tc>
        <w:tc>
          <w:tcPr>
            <w:tcW w:w="3074" w:type="dxa"/>
            <w:vMerge w:val="continue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i/>
                <w:i/>
                <w:iCs/>
                <w:color w:val="000000"/>
              </w:rPr>
            </w:pPr>
            <w:r>
              <w:rPr>
                <w:rFonts w:ascii="Times New Roman" w:hAnsi="Times New Roman"/>
                <w:i/>
                <w:iCs/>
                <w:color w:val="000000"/>
              </w:rPr>
            </w:r>
          </w:p>
        </w:tc>
      </w:tr>
      <w:tr>
        <w:trPr>
          <w:trHeight w:val="1920" w:hRule="atLeast"/>
        </w:trPr>
        <w:tc>
          <w:tcPr>
            <w:tcW w:w="91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96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E7E6E6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Исключение затрат из норм и расценок в соответствии с условиями ТТ</w:t>
            </w:r>
          </w:p>
        </w:tc>
        <w:tc>
          <w:tcPr>
            <w:tcW w:w="8464" w:type="dxa"/>
            <w:gridSpan w:val="3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предоставляемой электроэнергии (в том числе, в составе стоимости машино-часа):</w:t>
              <w:br/>
              <w:t>- Рассчитанная сумма возврата стоимости электрической энергии (со знаком «–») учитывается в последней главе ССРСС, где имеется смета на СМР (как правило, в главах 1-7, если затраты по главе 8 определены на основании смет, то сумма возврата стоимости электрической энергии учитывается в главе 8).</w:t>
              <w:br/>
              <w:t>- Индекс пересчета в текущие цены применять аналогичный примененному в сметной документации.</w:t>
              <w:br/>
              <w:t>- При применении индексов по статьям затрат в сметной документации для данного ресурса применять индекс на материалы.</w:t>
            </w:r>
          </w:p>
        </w:tc>
        <w:tc>
          <w:tcPr>
            <w:tcW w:w="307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 </w:t>
            </w:r>
          </w:p>
        </w:tc>
      </w:tr>
      <w:tr>
        <w:trPr>
          <w:trHeight w:val="750" w:hRule="atLeast"/>
        </w:trPr>
        <w:tc>
          <w:tcPr>
            <w:tcW w:w="914" w:type="dxa"/>
            <w:vMerge w:val="continue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967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464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DDEBF7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предоставляемой воде из норм и расценок исключать стоимость воды. </w:t>
            </w:r>
          </w:p>
        </w:tc>
        <w:tc>
          <w:tcPr>
            <w:tcW w:w="3074" w:type="dxa"/>
            <w:vMerge w:val="continue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</w:r>
            <w:bookmarkStart w:id="55" w:name="_GoBack"/>
            <w:bookmarkStart w:id="56" w:name="_GoBack"/>
            <w:bookmarkEnd w:id="56"/>
          </w:p>
        </w:tc>
      </w:tr>
    </w:tbl>
    <w:p>
      <w:pPr>
        <w:sectPr>
          <w:footerReference w:type="default" r:id="rId19"/>
          <w:footerReference w:type="first" r:id="rId20"/>
          <w:type w:val="nextPage"/>
          <w:pgSz w:orient="landscape" w:w="16838" w:h="11906"/>
          <w:pgMar w:left="709" w:right="709" w:gutter="0" w:header="0" w:top="1134" w:footer="709" w:bottom="766"/>
          <w:pgNumType w:fmt="decimal"/>
          <w:formProt w:val="false"/>
          <w:textDirection w:val="lrTb"/>
          <w:docGrid w:type="default" w:linePitch="360" w:charSpace="0"/>
        </w:sectPr>
        <w:pStyle w:val="Normal"/>
        <w:spacing w:lineRule="auto" w:line="240" w:before="0" w:after="0"/>
        <w:ind w:left="637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6373" w:hanging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left="6373" w:hanging="0"/>
        <w:rPr>
          <w:rFonts w:ascii="Times New Roman" w:hAnsi="Times New Roman"/>
          <w:sz w:val="20"/>
          <w:szCs w:val="20"/>
        </w:rPr>
      </w:pPr>
      <w:r>
        <w:rPr/>
      </w:r>
    </w:p>
    <w:sectPr>
      <w:footerReference w:type="default" r:id="rId21"/>
      <w:footerReference w:type="first" r:id="rId22"/>
      <w:type w:val="nextPage"/>
      <w:pgSz w:w="11906" w:h="16838"/>
      <w:pgMar w:left="1134" w:right="709" w:gutter="0" w:header="0" w:top="709" w:footer="709" w:bottom="76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Courier New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618461913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10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55646469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13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1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21</w:t>
    </w:r>
    <w:r>
      <w:rPr/>
      <w:fldChar w:fldCharType="end"/>
    </w:r>
  </w:p>
  <w:p>
    <w:pPr>
      <w:pStyle w:val="Footer"/>
      <w:rPr/>
    </w:pPr>
    <w:r>
      <w:rPr/>
    </w:r>
  </w:p>
</w:ftr>
</file>

<file path=word/footer1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1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22</w:t>
    </w:r>
    <w:r>
      <w:rPr/>
      <w:fldChar w:fldCharType="end"/>
    </w:r>
  </w:p>
  <w:p>
    <w:pPr>
      <w:pStyle w:val="Footer"/>
      <w:rPr/>
    </w:pPr>
    <w:r>
      <w:rPr/>
    </w:r>
  </w:p>
</w:ftr>
</file>

<file path=word/footer1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071931007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784168019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76161163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10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7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8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37501155"/>
    </w:sdtPr>
    <w:sdtContent>
      <w:p>
        <w:pPr>
          <w:pStyle w:val="Foot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12</w:t>
        </w:r>
        <w:r>
          <w:rPr/>
          <w:fldChar w:fldCharType="end"/>
        </w:r>
      </w:p>
      <w:p>
        <w:pPr>
          <w:pStyle w:val="Footer"/>
          <w:rPr/>
        </w:pPr>
        <w:r>
          <w:rPr/>
        </w:r>
      </w:p>
    </w:sdtContent>
  </w:sdt>
</w:ftr>
</file>

<file path=word/footer9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279"/>
      </w:pPr>
      <w:rPr/>
    </w:lvl>
    <w:lvl w:ilvl="1">
      <w:start w:val="1"/>
      <w:numFmt w:val="decimal"/>
      <w:lvlText w:val="%1.%2."/>
      <w:lvlJc w:val="left"/>
      <w:pPr>
        <w:tabs>
          <w:tab w:val="num" w:pos="1844"/>
        </w:tabs>
        <w:ind w:left="1844" w:hanging="567"/>
      </w:pPr>
      <w:rPr>
        <w:u w:val="none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dstrike w:val="false"/>
        <w:strike w:val="false"/>
      </w:rPr>
    </w:lvl>
    <w:lvl w:ilvl="3">
      <w:start w:val="1"/>
      <w:numFmt w:val="decimal"/>
      <w:lvlText w:val="%1.%2.%3.%4."/>
      <w:lvlJc w:val="left"/>
      <w:pPr>
        <w:tabs>
          <w:tab w:val="num" w:pos="1277"/>
        </w:tabs>
        <w:ind w:left="1277" w:hanging="567"/>
      </w:pPr>
      <w:rPr/>
    </w:lvl>
    <w:lvl w:ilvl="4">
      <w:start w:val="1"/>
      <w:numFmt w:val="lowerLetter"/>
      <w:lvlText w:val="%5)"/>
      <w:lvlJc w:val="left"/>
      <w:pPr>
        <w:tabs>
          <w:tab w:val="num" w:pos="1718"/>
        </w:tabs>
        <w:ind w:left="1718" w:hanging="1008"/>
      </w:pPr>
      <w:rPr/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/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i w:val="false"/>
        <w:rFonts w:ascii="Garamond" w:hAnsi="Garamond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1211" w:hanging="360"/>
      </w:pPr>
      <w:rPr>
        <w:rFonts w:ascii="Symbol" w:hAnsi="Symbol" w:cs="Symbol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3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8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80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5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24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96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407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4"/>
        <w:i w:val="false"/>
        <w:b w:val="false"/>
        <w:szCs w:val="24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52" w:hanging="450"/>
      </w:pPr>
      <w:rPr>
        <w:sz w:val="22"/>
        <w:b w:val="false"/>
        <w:szCs w:val="22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2" w:hanging="720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42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62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22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2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  <w:rPr>
        <w:sz w:val="28"/>
      </w:rPr>
    </w:lvl>
  </w:abstractNum>
  <w:abstractNum w:abstractNumId="5"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397"/>
        </w:tabs>
        <w:ind w:left="0" w:hanging="0"/>
      </w:pPr>
      <w:rPr>
        <w:i w:val="false"/>
        <w:b w:val="false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284" w:hanging="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000000"/>
        <w14:cntxtAlts>
          <w14:cntxtAlts/>
        </w14:cntxtAlts>
        <w14:glow w14:rad="0">
          <w14:srgbClr w14:val="000000"/>
        </w14:glow>
        <w14:ligatures w14:val="none"/>
        <w14:numForm w14:val="default"/>
        <w14:numSpacing w14:val="default"/>
        <w14:props3d w14:extrusionH="0" w14:contourW="0" w14:prstMaterial="none"/>
        <w14:reflection w14:blurRad="0" w14:stA="0" w14:stPos="0" w14:endA="0" w14:endPos="0" w14:dist="0" w14:dir="0" w14:fadeDir="0" w14:sx="0" w14:sy="0" w14:kx="0" w14:ky="0" w14:algn="none"/>
        <w14:scene3d>
          <w14:camera w14:prst="orthographicFront"/>
          <w14:lightRig w14:rig="threePt" w14:dir="t">
            <w14:rot w14:lat="0" w14:lon="0" w14:rev="0"/>
          </w14:lightRig>
        </w14:scene3d>
        <w14:shadow w14:blurRad="0" w14:dist="0" w14:dir="0" w14:sx="0" w14:sy="0" w14:kx="0" w14:ky="0" w14:algn="none">
          <w14:srgbClr w14:val="000000"/>
        </w14:shadow>
        <w14:stylisticSets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d2f0e"/>
    <w:pPr>
      <w:widowControl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1"/>
    <w:uiPriority w:val="9"/>
    <w:qFormat/>
    <w:rsid w:val="00bb18d9"/>
    <w:pPr>
      <w:keepNext w:val="true"/>
      <w:keepLines/>
      <w:spacing w:lineRule="auto" w:line="240"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4745f"/>
    <w:pPr>
      <w:keepNext w:val="true"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qFormat/>
    <w:rsid w:val="00bb18d9"/>
    <w:pPr>
      <w:keepNext w:val="true"/>
      <w:keepLines/>
      <w:spacing w:lineRule="auto" w:line="240" w:before="200" w:after="0"/>
      <w:outlineLvl w:val="2"/>
    </w:pPr>
    <w:rPr>
      <w:rFonts w:ascii="Cambria" w:hAnsi="Cambria"/>
      <w:b/>
      <w:bCs/>
      <w:color w:val="4F81BD"/>
      <w:sz w:val="20"/>
      <w:szCs w:val="20"/>
    </w:rPr>
  </w:style>
  <w:style w:type="paragraph" w:styleId="Heading4">
    <w:name w:val="Heading 4"/>
    <w:basedOn w:val="Normal"/>
    <w:next w:val="Normal"/>
    <w:link w:val="4"/>
    <w:uiPriority w:val="9"/>
    <w:qFormat/>
    <w:rsid w:val="00bb18d9"/>
    <w:pPr>
      <w:keepNext w:val="true"/>
      <w:keepLines/>
      <w:spacing w:lineRule="auto" w:line="240" w:before="200" w:after="0"/>
      <w:outlineLvl w:val="3"/>
    </w:pPr>
    <w:rPr>
      <w:rFonts w:ascii="Cambria" w:hAnsi="Cambria"/>
      <w:b/>
      <w:bCs/>
      <w:i/>
      <w:iCs/>
      <w:color w:val="4F81BD"/>
      <w:sz w:val="20"/>
      <w:szCs w:val="20"/>
    </w:rPr>
  </w:style>
  <w:style w:type="paragraph" w:styleId="Heading5">
    <w:name w:val="Heading 5"/>
    <w:basedOn w:val="Normal"/>
    <w:next w:val="Normal"/>
    <w:link w:val="5"/>
    <w:uiPriority w:val="9"/>
    <w:qFormat/>
    <w:rsid w:val="00bb18d9"/>
    <w:pPr>
      <w:keepNext w:val="true"/>
      <w:keepLines/>
      <w:spacing w:lineRule="auto" w:line="240"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Heading6">
    <w:name w:val="Heading 6"/>
    <w:basedOn w:val="Normal"/>
    <w:next w:val="Normal"/>
    <w:link w:val="6"/>
    <w:uiPriority w:val="9"/>
    <w:qFormat/>
    <w:rsid w:val="00bb18d9"/>
    <w:pPr>
      <w:keepNext w:val="true"/>
      <w:keepLines/>
      <w:spacing w:lineRule="auto" w:line="240"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7"/>
    <w:uiPriority w:val="9"/>
    <w:qFormat/>
    <w:rsid w:val="00bb18d9"/>
    <w:pPr>
      <w:keepNext w:val="true"/>
      <w:keepLines/>
      <w:spacing w:lineRule="auto" w:line="240"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8"/>
    <w:uiPriority w:val="9"/>
    <w:qFormat/>
    <w:rsid w:val="00bb18d9"/>
    <w:pPr>
      <w:keepNext w:val="true"/>
      <w:keepLines/>
      <w:spacing w:lineRule="auto" w:line="240"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qFormat/>
    <w:rsid w:val="00bb18d9"/>
    <w:pPr>
      <w:keepNext w:val="true"/>
      <w:keepLines/>
      <w:spacing w:lineRule="auto" w:line="240"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nnotationreference">
    <w:name w:val="annotation reference"/>
    <w:qFormat/>
    <w:rsid w:val="00cb04da"/>
    <w:rPr>
      <w:sz w:val="16"/>
      <w:szCs w:val="16"/>
    </w:rPr>
  </w:style>
  <w:style w:type="character" w:styleId="Style" w:customStyle="1">
    <w:name w:val="Текст примечания Знак"/>
    <w:link w:val="Annotationtext"/>
    <w:qFormat/>
    <w:rsid w:val="00cb04da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" w:customStyle="1">
    <w:name w:val="Текст выноски Знак"/>
    <w:link w:val="BalloonText"/>
    <w:uiPriority w:val="99"/>
    <w:semiHidden/>
    <w:qFormat/>
    <w:rsid w:val="00cb04da"/>
    <w:rPr>
      <w:rFonts w:ascii="Tahoma" w:hAnsi="Tahoma" w:cs="Tahoma"/>
      <w:sz w:val="16"/>
      <w:szCs w:val="16"/>
    </w:rPr>
  </w:style>
  <w:style w:type="character" w:styleId="2" w:customStyle="1">
    <w:name w:val="Заголовок 2 Знак"/>
    <w:uiPriority w:val="9"/>
    <w:qFormat/>
    <w:rsid w:val="00d4745f"/>
    <w:rPr>
      <w:rFonts w:ascii="Cambria" w:hAnsi="Cambria" w:eastAsia="Times New Roman" w:cs="Times New Roman"/>
      <w:b/>
      <w:bCs/>
      <w:color w:val="4F81BD"/>
      <w:sz w:val="26"/>
      <w:szCs w:val="26"/>
    </w:rPr>
  </w:style>
  <w:style w:type="character" w:styleId="Hyperlink">
    <w:name w:val="Hyperlink"/>
    <w:uiPriority w:val="99"/>
    <w:rsid w:val="00d4745f"/>
    <w:rPr>
      <w:color w:val="0000FF"/>
      <w:u w:val="single"/>
    </w:rPr>
  </w:style>
  <w:style w:type="character" w:styleId="Apple-style-span" w:customStyle="1">
    <w:name w:val="apple-style-span"/>
    <w:basedOn w:val="DefaultParagraphFont"/>
    <w:qFormat/>
    <w:rsid w:val="00b4339d"/>
    <w:rPr/>
  </w:style>
  <w:style w:type="character" w:styleId="Apple-converted-space" w:customStyle="1">
    <w:name w:val="apple-converted-space"/>
    <w:basedOn w:val="DefaultParagraphFont"/>
    <w:qFormat/>
    <w:rsid w:val="00b4339d"/>
    <w:rPr/>
  </w:style>
  <w:style w:type="character" w:styleId="Style2" w:customStyle="1">
    <w:name w:val="Текст сноски Знак"/>
    <w:uiPriority w:val="99"/>
    <w:qFormat/>
    <w:rsid w:val="0080406e"/>
    <w:rPr>
      <w:rFonts w:ascii="Times New Roman" w:hAnsi="Times New Roman" w:eastAsia="Calibri" w:cs="Times New Roman"/>
      <w:sz w:val="20"/>
      <w:szCs w:val="20"/>
      <w:lang w:eastAsia="ru-RU"/>
    </w:rPr>
  </w:style>
  <w:style w:type="character" w:styleId="Style3">
    <w:name w:val="Символ сноски"/>
    <w:uiPriority w:val="99"/>
    <w:unhideWhenUsed/>
    <w:qFormat/>
    <w:rsid w:val="0080406e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1" w:customStyle="1">
    <w:name w:val="Подпункт Знак1"/>
    <w:link w:val="Style25"/>
    <w:qFormat/>
    <w:locked/>
    <w:rsid w:val="00192f26"/>
    <w:rPr>
      <w:rFonts w:ascii="Times New Roman" w:hAnsi="Times New Roman"/>
      <w:b/>
      <w:sz w:val="28"/>
    </w:rPr>
  </w:style>
  <w:style w:type="character" w:styleId="Style4" w:customStyle="1">
    <w:name w:val="Верхний колонтитул Знак"/>
    <w:basedOn w:val="DefaultParagraphFont"/>
    <w:uiPriority w:val="99"/>
    <w:qFormat/>
    <w:rsid w:val="00ff6229"/>
    <w:rPr/>
  </w:style>
  <w:style w:type="character" w:styleId="Style5" w:customStyle="1">
    <w:name w:val="Нижний колонтитул Знак"/>
    <w:basedOn w:val="DefaultParagraphFont"/>
    <w:uiPriority w:val="99"/>
    <w:qFormat/>
    <w:rsid w:val="00ff6229"/>
    <w:rPr/>
  </w:style>
  <w:style w:type="character" w:styleId="Linenumber">
    <w:name w:val="line number"/>
    <w:basedOn w:val="DefaultParagraphFont"/>
    <w:uiPriority w:val="99"/>
    <w:semiHidden/>
    <w:unhideWhenUsed/>
    <w:qFormat/>
    <w:rsid w:val="00ff6229"/>
    <w:rPr/>
  </w:style>
  <w:style w:type="character" w:styleId="Style6" w:customStyle="1">
    <w:name w:val="Схема документа Знак"/>
    <w:link w:val="DocumentMap"/>
    <w:uiPriority w:val="99"/>
    <w:semiHidden/>
    <w:qFormat/>
    <w:rsid w:val="0040689f"/>
    <w:rPr>
      <w:rFonts w:ascii="Tahoma" w:hAnsi="Tahoma" w:cs="Tahoma"/>
      <w:sz w:val="16"/>
      <w:szCs w:val="16"/>
    </w:rPr>
  </w:style>
  <w:style w:type="character" w:styleId="11" w:customStyle="1">
    <w:name w:val="Заголовок 1 Знак"/>
    <w:uiPriority w:val="9"/>
    <w:qFormat/>
    <w:rsid w:val="00bb18d9"/>
    <w:rPr>
      <w:rFonts w:ascii="Cambria" w:hAnsi="Cambria" w:eastAsia="Times New Roman" w:cs="Times New Roman"/>
      <w:b/>
      <w:bCs/>
      <w:color w:val="365F91"/>
      <w:sz w:val="28"/>
      <w:szCs w:val="28"/>
    </w:rPr>
  </w:style>
  <w:style w:type="character" w:styleId="3" w:customStyle="1">
    <w:name w:val="Заголовок 3 Знак"/>
    <w:uiPriority w:val="9"/>
    <w:qFormat/>
    <w:rsid w:val="00bb18d9"/>
    <w:rPr>
      <w:rFonts w:ascii="Cambria" w:hAnsi="Cambria" w:eastAsia="Times New Roman" w:cs="Times New Roman"/>
      <w:b/>
      <w:bCs/>
      <w:color w:val="4F81BD"/>
      <w:sz w:val="20"/>
      <w:szCs w:val="20"/>
    </w:rPr>
  </w:style>
  <w:style w:type="character" w:styleId="4" w:customStyle="1">
    <w:name w:val="Заголовок 4 Знак"/>
    <w:uiPriority w:val="9"/>
    <w:qFormat/>
    <w:rsid w:val="00bb18d9"/>
    <w:rPr>
      <w:rFonts w:ascii="Cambria" w:hAnsi="Cambria" w:eastAsia="Times New Roman" w:cs="Times New Roman"/>
      <w:b/>
      <w:bCs/>
      <w:i/>
      <w:iCs/>
      <w:color w:val="4F81BD"/>
      <w:sz w:val="20"/>
      <w:szCs w:val="20"/>
    </w:rPr>
  </w:style>
  <w:style w:type="character" w:styleId="5" w:customStyle="1">
    <w:name w:val="Заголовок 5 Знак"/>
    <w:uiPriority w:val="9"/>
    <w:qFormat/>
    <w:rsid w:val="00bb18d9"/>
    <w:rPr>
      <w:rFonts w:ascii="Cambria" w:hAnsi="Cambria" w:eastAsia="Times New Roman" w:cs="Times New Roman"/>
      <w:color w:val="243F60"/>
      <w:sz w:val="20"/>
      <w:szCs w:val="20"/>
    </w:rPr>
  </w:style>
  <w:style w:type="character" w:styleId="6" w:customStyle="1">
    <w:name w:val="Заголовок 6 Знак"/>
    <w:uiPriority w:val="9"/>
    <w:qFormat/>
    <w:rsid w:val="00bb18d9"/>
    <w:rPr>
      <w:rFonts w:ascii="Cambria" w:hAnsi="Cambria" w:eastAsia="Times New Roman" w:cs="Times New Roman"/>
      <w:i/>
      <w:iCs/>
      <w:color w:val="243F60"/>
      <w:sz w:val="20"/>
      <w:szCs w:val="20"/>
    </w:rPr>
  </w:style>
  <w:style w:type="character" w:styleId="7" w:customStyle="1">
    <w:name w:val="Заголовок 7 Знак"/>
    <w:uiPriority w:val="9"/>
    <w:qFormat/>
    <w:rsid w:val="00bb18d9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8" w:customStyle="1">
    <w:name w:val="Заголовок 8 Знак"/>
    <w:uiPriority w:val="9"/>
    <w:qFormat/>
    <w:rsid w:val="00bb18d9"/>
    <w:rPr>
      <w:rFonts w:ascii="Cambria" w:hAnsi="Cambria" w:eastAsia="Times New Roman" w:cs="Times New Roman"/>
      <w:color w:val="4F81BD"/>
      <w:sz w:val="20"/>
      <w:szCs w:val="20"/>
    </w:rPr>
  </w:style>
  <w:style w:type="character" w:styleId="9" w:customStyle="1">
    <w:name w:val="Заголовок 9 Знак"/>
    <w:uiPriority w:val="9"/>
    <w:qFormat/>
    <w:rsid w:val="00bb18d9"/>
    <w:rPr>
      <w:rFonts w:ascii="Cambria" w:hAnsi="Cambria" w:eastAsia="Times New Roman" w:cs="Times New Roman"/>
      <w:i/>
      <w:iCs/>
      <w:color w:val="404040"/>
      <w:sz w:val="20"/>
      <w:szCs w:val="20"/>
    </w:rPr>
  </w:style>
  <w:style w:type="character" w:styleId="Style7" w:customStyle="1">
    <w:name w:val="Название Знак"/>
    <w:link w:val="15"/>
    <w:uiPriority w:val="10"/>
    <w:qFormat/>
    <w:rsid w:val="00bb18d9"/>
    <w:rPr>
      <w:rFonts w:ascii="Cambria" w:hAnsi="Cambria" w:eastAsia="Times New Roman" w:cs="Times New Roman"/>
      <w:color w:val="17365D"/>
      <w:spacing w:val="5"/>
      <w:kern w:val="2"/>
      <w:sz w:val="52"/>
      <w:szCs w:val="52"/>
    </w:rPr>
  </w:style>
  <w:style w:type="character" w:styleId="Style8" w:customStyle="1">
    <w:name w:val="Подзаголовок Знак"/>
    <w:uiPriority w:val="11"/>
    <w:qFormat/>
    <w:rsid w:val="00bb18d9"/>
    <w:rPr>
      <w:rFonts w:ascii="Cambria" w:hAnsi="Cambria" w:eastAsia="Times New Roman" w:cs="Times New Roman"/>
      <w:i/>
      <w:iCs/>
      <w:color w:val="4F81BD"/>
      <w:spacing w:val="15"/>
      <w:sz w:val="24"/>
      <w:szCs w:val="24"/>
    </w:rPr>
  </w:style>
  <w:style w:type="character" w:styleId="Strong">
    <w:name w:val="Strong"/>
    <w:uiPriority w:val="22"/>
    <w:qFormat/>
    <w:rsid w:val="00bb18d9"/>
    <w:rPr>
      <w:b/>
      <w:bCs/>
    </w:rPr>
  </w:style>
  <w:style w:type="character" w:styleId="Emphasis">
    <w:name w:val="Emphasis"/>
    <w:uiPriority w:val="20"/>
    <w:qFormat/>
    <w:rsid w:val="00bb18d9"/>
    <w:rPr>
      <w:i/>
      <w:iCs/>
    </w:rPr>
  </w:style>
  <w:style w:type="character" w:styleId="21" w:customStyle="1">
    <w:name w:val="Цитата 2 Знак"/>
    <w:link w:val="Quote"/>
    <w:uiPriority w:val="29"/>
    <w:qFormat/>
    <w:rsid w:val="00bb18d9"/>
    <w:rPr>
      <w:rFonts w:ascii="Calibri" w:hAnsi="Calibri" w:eastAsia="Calibri" w:cs="Times New Roman"/>
      <w:i/>
      <w:iCs/>
      <w:color w:val="000000"/>
      <w:sz w:val="20"/>
      <w:szCs w:val="20"/>
    </w:rPr>
  </w:style>
  <w:style w:type="character" w:styleId="Style9" w:customStyle="1">
    <w:name w:val="Выделенная цитата Знак"/>
    <w:link w:val="IntenseQuote"/>
    <w:uiPriority w:val="30"/>
    <w:qFormat/>
    <w:rsid w:val="00bb18d9"/>
    <w:rPr>
      <w:rFonts w:ascii="Calibri" w:hAnsi="Calibri" w:eastAsia="Calibri" w:cs="Times New Roman"/>
      <w:b/>
      <w:bCs/>
      <w:i/>
      <w:iCs/>
      <w:color w:val="4F81BD"/>
      <w:sz w:val="20"/>
      <w:szCs w:val="20"/>
    </w:rPr>
  </w:style>
  <w:style w:type="character" w:styleId="SubtleEmphasis">
    <w:name w:val="Subtle Emphasis"/>
    <w:uiPriority w:val="19"/>
    <w:qFormat/>
    <w:rsid w:val="00bb18d9"/>
    <w:rPr>
      <w:i/>
      <w:iCs/>
      <w:color w:val="808080"/>
    </w:rPr>
  </w:style>
  <w:style w:type="character" w:styleId="IntenseEmphasis">
    <w:name w:val="Intense Emphasis"/>
    <w:uiPriority w:val="21"/>
    <w:qFormat/>
    <w:rsid w:val="00bb18d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bb18d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bb18d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bb18d9"/>
    <w:rPr>
      <w:b/>
      <w:bCs/>
      <w:smallCaps/>
      <w:spacing w:val="5"/>
    </w:rPr>
  </w:style>
  <w:style w:type="character" w:styleId="Style10" w:customStyle="1">
    <w:name w:val="Электронная подпись Знак"/>
    <w:link w:val="E-mailSignature"/>
    <w:uiPriority w:val="99"/>
    <w:semiHidden/>
    <w:qFormat/>
    <w:rsid w:val="00bb18d9"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1" w:customStyle="1">
    <w:name w:val="Тема примечания Знак"/>
    <w:link w:val="Annotationsubject"/>
    <w:semiHidden/>
    <w:qFormat/>
    <w:rsid w:val="00bb18d9"/>
    <w:rPr>
      <w:rFonts w:ascii="Times New Roman" w:hAnsi="Times New Roman" w:eastAsia="Calibri" w:cs="Times New Roman"/>
      <w:b/>
      <w:bCs/>
      <w:sz w:val="20"/>
      <w:szCs w:val="20"/>
      <w:lang w:eastAsia="ru-RU"/>
    </w:rPr>
  </w:style>
  <w:style w:type="character" w:styleId="Style12" w:customStyle="1">
    <w:name w:val="Основной текст с отступом Знак"/>
    <w:qFormat/>
    <w:rsid w:val="008757e8"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FollowedHyperlink">
    <w:name w:val="FollowedHyperlink"/>
    <w:uiPriority w:val="99"/>
    <w:semiHidden/>
    <w:unhideWhenUsed/>
    <w:rsid w:val="00b211e3"/>
    <w:rPr>
      <w:color w:val="954F72"/>
      <w:u w:val="single"/>
    </w:rPr>
  </w:style>
  <w:style w:type="character" w:styleId="Style13" w:customStyle="1">
    <w:name w:val="Абзац списка Знак"/>
    <w:link w:val="ListParagraph"/>
    <w:uiPriority w:val="34"/>
    <w:qFormat/>
    <w:rsid w:val="00253374"/>
    <w:rPr>
      <w:sz w:val="22"/>
      <w:szCs w:val="22"/>
    </w:rPr>
  </w:style>
  <w:style w:type="character" w:styleId="61" w:customStyle="1">
    <w:name w:val="Основной текст (6)_"/>
    <w:basedOn w:val="DefaultParagraphFont"/>
    <w:link w:val="62"/>
    <w:qFormat/>
    <w:rsid w:val="00310980"/>
    <w:rPr>
      <w:rFonts w:ascii="Times New Roman" w:hAnsi="Times New Roman"/>
      <w:shd w:fill="FFFFFF" w:val="clear"/>
    </w:rPr>
  </w:style>
  <w:style w:type="character" w:styleId="Style14" w:customStyle="1">
    <w:name w:val="Колонтитул_"/>
    <w:basedOn w:val="DefaultParagraphFont"/>
    <w:link w:val="Style29"/>
    <w:qFormat/>
    <w:rsid w:val="006d08bc"/>
    <w:rPr>
      <w:rFonts w:ascii="Times New Roman" w:hAnsi="Times New Roman"/>
      <w:shd w:fill="FFFFFF" w:val="clear"/>
    </w:rPr>
  </w:style>
  <w:style w:type="character" w:styleId="Style15" w:customStyle="1">
    <w:name w:val="комментарий"/>
    <w:qFormat/>
    <w:rsid w:val="008d2ec1"/>
    <w:rPr>
      <w:b/>
      <w:i/>
      <w:shd w:fill="FFFF99" w:val="clear"/>
    </w:rPr>
  </w:style>
  <w:style w:type="character" w:styleId="ConsPlusNormal" w:customStyle="1">
    <w:name w:val="ConsPlusNormal Знак"/>
    <w:link w:val="ConsPlusNormal1"/>
    <w:qFormat/>
    <w:rsid w:val="00170c47"/>
    <w:rPr>
      <w:rFonts w:ascii="Arial" w:hAnsi="Arial" w:cs="Arial"/>
    </w:rPr>
  </w:style>
  <w:style w:type="character" w:styleId="12" w:customStyle="1">
    <w:name w:val="Абзац списка Знак1"/>
    <w:basedOn w:val="DefaultParagraphFont"/>
    <w:uiPriority w:val="34"/>
    <w:qFormat/>
    <w:rsid w:val="00a270f3"/>
    <w:rPr>
      <w:rFonts w:ascii="Calibri" w:hAnsi="Calibri"/>
      <w:sz w:val="22"/>
    </w:rPr>
  </w:style>
  <w:style w:type="character" w:styleId="Style16" w:customStyle="1">
    <w:name w:val="Текст концевой сноски Знак"/>
    <w:basedOn w:val="DefaultParagraphFont"/>
    <w:uiPriority w:val="99"/>
    <w:semiHidden/>
    <w:qFormat/>
    <w:rsid w:val="00dc37db"/>
    <w:rPr/>
  </w:style>
  <w:style w:type="character" w:styleId="Style17">
    <w:name w:val="Символ концевой сноски"/>
    <w:basedOn w:val="DefaultParagraphFont"/>
    <w:uiPriority w:val="99"/>
    <w:semiHidden/>
    <w:unhideWhenUsed/>
    <w:qFormat/>
    <w:rsid w:val="00dc37db"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qFormat/>
    <w:rsid w:val="00470434"/>
    <w:rPr>
      <w:color w:val="808080"/>
    </w:rPr>
  </w:style>
  <w:style w:type="character" w:styleId="Style18" w:customStyle="1">
    <w:name w:val="РГ_номер текста табл Знак"/>
    <w:basedOn w:val="12"/>
    <w:link w:val="Style34"/>
    <w:qFormat/>
    <w:rsid w:val="00470434"/>
    <w:rPr>
      <w:rFonts w:ascii="Calibri" w:hAnsi="Calibri" w:eastAsia="Calibri" w:cs="Calibri" w:asciiTheme="minorHAnsi" w:cstheme="minorHAnsi" w:hAnsiTheme="minorHAnsi"/>
      <w:sz w:val="24"/>
      <w:szCs w:val="22"/>
      <w:lang w:eastAsia="en-US"/>
    </w:rPr>
  </w:style>
  <w:style w:type="paragraph" w:styleId="Style1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/>
  </w:style>
  <w:style w:type="paragraph" w:styleId="ListParagraph">
    <w:name w:val="List Paragraph"/>
    <w:basedOn w:val="Normal"/>
    <w:link w:val="Style13"/>
    <w:uiPriority w:val="34"/>
    <w:qFormat/>
    <w:rsid w:val="00141d91"/>
    <w:pPr>
      <w:spacing w:before="0" w:after="200"/>
      <w:ind w:left="720" w:hanging="0"/>
      <w:contextualSpacing/>
    </w:pPr>
    <w:rPr/>
  </w:style>
  <w:style w:type="paragraph" w:styleId="Annotationtext">
    <w:name w:val="annotation text"/>
    <w:basedOn w:val="Normal"/>
    <w:link w:val="Style"/>
    <w:qFormat/>
    <w:rsid w:val="00cb04da"/>
    <w:pPr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BalloonText">
    <w:name w:val="Balloon Text"/>
    <w:basedOn w:val="Normal"/>
    <w:link w:val="Style1"/>
    <w:semiHidden/>
    <w:unhideWhenUsed/>
    <w:qFormat/>
    <w:rsid w:val="00cb04d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1" w:customStyle="1">
    <w:name w:val="Обычный+ без отступа"/>
    <w:basedOn w:val="Normal"/>
    <w:qFormat/>
    <w:rsid w:val="000a41f8"/>
    <w:pPr>
      <w:spacing w:lineRule="auto" w:line="360" w:before="120" w:after="0"/>
      <w:jc w:val="both"/>
    </w:pPr>
    <w:rPr>
      <w:rFonts w:ascii="Times New Roman" w:hAnsi="Times New Roman" w:eastAsia="MS Mincho"/>
      <w:sz w:val="28"/>
      <w:szCs w:val="28"/>
    </w:rPr>
  </w:style>
  <w:style w:type="paragraph" w:styleId="Style22" w:customStyle="1">
    <w:name w:val="Таблица шапка"/>
    <w:basedOn w:val="Normal"/>
    <w:qFormat/>
    <w:rsid w:val="008b7e3f"/>
    <w:pPr>
      <w:keepNext w:val="true"/>
      <w:spacing w:lineRule="auto" w:line="240" w:before="40" w:after="40"/>
      <w:ind w:left="57" w:right="57" w:hanging="0"/>
    </w:pPr>
    <w:rPr>
      <w:rFonts w:ascii="Times New Roman" w:hAnsi="Times New Roman"/>
      <w:sz w:val="18"/>
      <w:szCs w:val="18"/>
    </w:rPr>
  </w:style>
  <w:style w:type="paragraph" w:styleId="Style23" w:customStyle="1">
    <w:name w:val="Текст таблицы"/>
    <w:basedOn w:val="Normal"/>
    <w:qFormat/>
    <w:rsid w:val="008b7e3f"/>
    <w:pPr>
      <w:spacing w:lineRule="auto" w:line="240" w:before="40" w:after="40"/>
      <w:ind w:left="57" w:right="57" w:hanging="0"/>
    </w:pPr>
    <w:rPr>
      <w:rFonts w:ascii="Times New Roman" w:hAnsi="Times New Roman"/>
      <w:sz w:val="24"/>
      <w:szCs w:val="24"/>
    </w:rPr>
  </w:style>
  <w:style w:type="paragraph" w:styleId="Style24" w:customStyle="1">
    <w:name w:val="Пункт Знак"/>
    <w:basedOn w:val="Normal"/>
    <w:qFormat/>
    <w:rsid w:val="00112ebd"/>
    <w:pPr>
      <w:numPr>
        <w:ilvl w:val="1"/>
        <w:numId w:val="1"/>
      </w:numPr>
      <w:tabs>
        <w:tab w:val="clear" w:pos="709"/>
        <w:tab w:val="left" w:pos="851" w:leader="none"/>
        <w:tab w:val="left" w:pos="1134" w:leader="none"/>
      </w:tabs>
      <w:spacing w:lineRule="auto" w:line="360" w:before="0" w:after="0"/>
      <w:jc w:val="both"/>
    </w:pPr>
    <w:rPr>
      <w:rFonts w:ascii="Times New Roman" w:hAnsi="Times New Roman"/>
      <w:b/>
      <w:sz w:val="28"/>
      <w:szCs w:val="20"/>
    </w:rPr>
  </w:style>
  <w:style w:type="paragraph" w:styleId="Style25" w:customStyle="1">
    <w:name w:val="Подпункт"/>
    <w:basedOn w:val="Style24"/>
    <w:link w:val="1"/>
    <w:qFormat/>
    <w:rsid w:val="00b5006b"/>
    <w:pPr>
      <w:numPr>
        <w:ilvl w:val="2"/>
      </w:numPr>
      <w:tabs>
        <w:tab w:val="clear" w:pos="1134"/>
        <w:tab w:val="left" w:pos="851" w:leader="none"/>
      </w:tabs>
    </w:pPr>
    <w:rPr/>
  </w:style>
  <w:style w:type="paragraph" w:styleId="Style26" w:customStyle="1">
    <w:name w:val="Подподпункт"/>
    <w:basedOn w:val="Style25"/>
    <w:qFormat/>
    <w:rsid w:val="00b5006b"/>
    <w:pPr>
      <w:numPr>
        <w:ilvl w:val="3"/>
      </w:numPr>
      <w:tabs>
        <w:tab w:val="left" w:pos="851" w:leader="none"/>
        <w:tab w:val="left" w:pos="1134" w:leader="none"/>
        <w:tab w:val="left" w:pos="1418" w:leader="none"/>
      </w:tabs>
    </w:pPr>
    <w:rPr/>
  </w:style>
  <w:style w:type="paragraph" w:styleId="Style27" w:customStyle="1">
    <w:name w:val="Подподподпункт"/>
    <w:basedOn w:val="Normal"/>
    <w:qFormat/>
    <w:rsid w:val="00112ebd"/>
    <w:pPr>
      <w:numPr>
        <w:ilvl w:val="4"/>
        <w:numId w:val="1"/>
      </w:numPr>
      <w:tabs>
        <w:tab w:val="clear" w:pos="709"/>
        <w:tab w:val="left" w:pos="1134" w:leader="none"/>
        <w:tab w:val="left" w:pos="1701" w:leader="none"/>
      </w:tabs>
      <w:spacing w:lineRule="auto" w:line="360" w:before="0" w:after="0"/>
      <w:jc w:val="both"/>
    </w:pPr>
    <w:rPr>
      <w:rFonts w:ascii="Times New Roman" w:hAnsi="Times New Roman"/>
      <w:sz w:val="28"/>
      <w:szCs w:val="20"/>
    </w:rPr>
  </w:style>
  <w:style w:type="paragraph" w:styleId="13" w:customStyle="1">
    <w:name w:val="Пункт1"/>
    <w:basedOn w:val="Normal"/>
    <w:qFormat/>
    <w:rsid w:val="00b5006b"/>
    <w:pPr>
      <w:numPr>
        <w:ilvl w:val="0"/>
        <w:numId w:val="1"/>
      </w:numPr>
      <w:spacing w:lineRule="auto" w:line="360" w:before="240" w:after="0"/>
      <w:jc w:val="center"/>
    </w:pPr>
    <w:rPr>
      <w:rFonts w:ascii="Arial" w:hAnsi="Arial"/>
      <w:b/>
      <w:sz w:val="28"/>
      <w:szCs w:val="28"/>
    </w:rPr>
  </w:style>
  <w:style w:type="paragraph" w:styleId="31" w:customStyle="1">
    <w:name w:val="Пункт_3"/>
    <w:basedOn w:val="Normal"/>
    <w:uiPriority w:val="99"/>
    <w:qFormat/>
    <w:rsid w:val="00112ebd"/>
    <w:pPr>
      <w:tabs>
        <w:tab w:val="clear" w:pos="709"/>
        <w:tab w:val="left" w:pos="1134" w:leader="none"/>
      </w:tabs>
      <w:spacing w:lineRule="auto" w:line="360" w:before="0" w:after="0"/>
      <w:ind w:left="1134" w:hanging="1133"/>
      <w:jc w:val="both"/>
    </w:pPr>
    <w:rPr>
      <w:rFonts w:ascii="Times New Roman" w:hAnsi="Times New Roman"/>
      <w:sz w:val="28"/>
      <w:szCs w:val="20"/>
    </w:rPr>
  </w:style>
  <w:style w:type="paragraph" w:styleId="TOC1">
    <w:name w:val="TOC 1"/>
    <w:basedOn w:val="Normal"/>
    <w:next w:val="Normal"/>
    <w:autoRedefine/>
    <w:uiPriority w:val="39"/>
    <w:rsid w:val="00b17e73"/>
    <w:pPr>
      <w:tabs>
        <w:tab w:val="clear" w:pos="709"/>
        <w:tab w:val="right" w:pos="9344" w:leader="dot"/>
      </w:tabs>
      <w:spacing w:lineRule="auto" w:line="240" w:before="0" w:after="0"/>
      <w:jc w:val="center"/>
    </w:pPr>
    <w:rPr>
      <w:rFonts w:ascii="Times New Roman" w:hAnsi="Times New Roman"/>
      <w:b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87d05"/>
    <w:pPr>
      <w:tabs>
        <w:tab w:val="clear" w:pos="709"/>
        <w:tab w:val="left" w:pos="426" w:leader="none"/>
        <w:tab w:val="left" w:pos="1680" w:leader="none"/>
        <w:tab w:val="right" w:pos="9344" w:leader="dot"/>
        <w:tab w:val="right" w:pos="9639" w:leader="dot"/>
      </w:tabs>
      <w:spacing w:before="0" w:after="0"/>
      <w:ind w:left="220" w:hanging="0"/>
    </w:pPr>
    <w:rPr/>
  </w:style>
  <w:style w:type="paragraph" w:styleId="FootnoteText">
    <w:name w:val="Footnote Text"/>
    <w:basedOn w:val="Normal"/>
    <w:link w:val="Style2"/>
    <w:uiPriority w:val="99"/>
    <w:unhideWhenUsed/>
    <w:rsid w:val="0080406e"/>
    <w:pPr>
      <w:spacing w:lineRule="auto" w:line="240" w:before="0" w:after="0"/>
    </w:pPr>
    <w:rPr>
      <w:rFonts w:ascii="Times New Roman" w:hAnsi="Times New Roman" w:eastAsia="Calibri"/>
      <w:sz w:val="20"/>
      <w:szCs w:val="20"/>
    </w:rPr>
  </w:style>
  <w:style w:type="paragraph" w:styleId="ConsPlusNormal1" w:customStyle="1">
    <w:name w:val="ConsPlusNormal"/>
    <w:link w:val="ConsPlusNormal"/>
    <w:qFormat/>
    <w:rsid w:val="00192f26"/>
    <w:pPr>
      <w:widowControl w:val="fals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Style28" w:customStyle="1">
    <w:name w:val="Таблица"/>
    <w:basedOn w:val="Normal"/>
    <w:qFormat/>
    <w:rsid w:val="00192f26"/>
    <w:pPr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14" w:customStyle="1">
    <w:name w:val="Абзац списка1"/>
    <w:basedOn w:val="Normal"/>
    <w:qFormat/>
    <w:rsid w:val="00192f26"/>
    <w:pPr>
      <w:spacing w:before="0" w:after="200"/>
      <w:ind w:left="720" w:hanging="0"/>
      <w:contextualSpacing/>
    </w:pPr>
    <w:rPr/>
  </w:style>
  <w:style w:type="paragraph" w:styleId="Style29" w:customStyle="1">
    <w:name w:val="Колонтитул"/>
    <w:basedOn w:val="Normal"/>
    <w:link w:val="Style14"/>
    <w:qFormat/>
    <w:rsid w:val="006d08bc"/>
    <w:pPr>
      <w:widowControl w:val="false"/>
      <w:shd w:val="clear" w:color="auto" w:fill="FFFFFF"/>
      <w:spacing w:lineRule="auto" w:line="240" w:before="0" w:after="0"/>
    </w:pPr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Style4"/>
    <w:uiPriority w:val="99"/>
    <w:unhideWhenUsed/>
    <w:rsid w:val="00ff622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5"/>
    <w:uiPriority w:val="99"/>
    <w:unhideWhenUsed/>
    <w:rsid w:val="00ff6229"/>
    <w:pPr>
      <w:tabs>
        <w:tab w:val="clear" w:pos="709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DocumentMap">
    <w:name w:val="Document Map"/>
    <w:basedOn w:val="Normal"/>
    <w:link w:val="Style6"/>
    <w:uiPriority w:val="99"/>
    <w:semiHidden/>
    <w:unhideWhenUsed/>
    <w:qFormat/>
    <w:rsid w:val="0040689f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30" w:customStyle="1">
    <w:name w:val="Знак Знак Знак Знак Знак Знак Знак Знак Знак"/>
    <w:basedOn w:val="Normal"/>
    <w:qFormat/>
    <w:rsid w:val="00bb18d9"/>
    <w:pPr>
      <w:spacing w:lineRule="exact" w:line="240" w:before="0" w:after="160"/>
      <w:jc w:val="both"/>
    </w:pPr>
    <w:rPr>
      <w:rFonts w:ascii="Verdana" w:hAnsi="Verdana" w:cs="Verdana"/>
      <w:lang w:val="en-US"/>
    </w:rPr>
  </w:style>
  <w:style w:type="paragraph" w:styleId="NoSpacing">
    <w:name w:val="No Spacing"/>
    <w:basedOn w:val="Normal"/>
    <w:uiPriority w:val="1"/>
    <w:qFormat/>
    <w:rsid w:val="00bb18d9"/>
    <w:pPr>
      <w:spacing w:lineRule="auto" w:line="360" w:before="0" w:after="0"/>
    </w:pPr>
    <w:rPr>
      <w:rFonts w:ascii="Times New Roman" w:hAnsi="Times New Roman" w:eastAsia="Calibri"/>
      <w:sz w:val="24"/>
      <w:szCs w:val="24"/>
    </w:rPr>
  </w:style>
  <w:style w:type="paragraph" w:styleId="Caption1">
    <w:name w:val="caption1"/>
    <w:basedOn w:val="Normal"/>
    <w:next w:val="Normal"/>
    <w:uiPriority w:val="35"/>
    <w:qFormat/>
    <w:rsid w:val="00bb18d9"/>
    <w:pPr>
      <w:spacing w:lineRule="auto" w:line="240" w:before="0" w:after="0"/>
    </w:pPr>
    <w:rPr>
      <w:rFonts w:ascii="Times New Roman" w:hAnsi="Times New Roman" w:eastAsia="Calibri"/>
      <w:b/>
      <w:bCs/>
      <w:color w:val="4F81BD"/>
      <w:sz w:val="18"/>
      <w:szCs w:val="18"/>
    </w:rPr>
  </w:style>
  <w:style w:type="paragraph" w:styleId="15" w:customStyle="1">
    <w:name w:val="Название1"/>
    <w:basedOn w:val="Normal"/>
    <w:next w:val="Normal"/>
    <w:link w:val="Style7"/>
    <w:uiPriority w:val="10"/>
    <w:qFormat/>
    <w:rsid w:val="00bb18d9"/>
    <w:pPr>
      <w:pBdr>
        <w:bottom w:val="single" w:sz="8" w:space="4" w:color="4F81BD"/>
      </w:pBdr>
      <w:spacing w:lineRule="auto" w:line="240" w:before="0" w:after="300"/>
      <w:contextualSpacing/>
    </w:pPr>
    <w:rPr>
      <w:rFonts w:ascii="Cambria" w:hAnsi="Cambria"/>
      <w:color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tyle8"/>
    <w:uiPriority w:val="11"/>
    <w:qFormat/>
    <w:rsid w:val="00bb18d9"/>
    <w:pPr>
      <w:numPr>
        <w:ilvl w:val="1"/>
      </w:numPr>
      <w:spacing w:lineRule="auto" w:line="240" w:before="0" w:after="0"/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bb18d9"/>
    <w:pPr>
      <w:spacing w:lineRule="auto" w:line="240" w:before="0" w:after="0"/>
    </w:pPr>
    <w:rPr>
      <w:rFonts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link w:val="Style9"/>
    <w:uiPriority w:val="30"/>
    <w:qFormat/>
    <w:rsid w:val="00bb18d9"/>
    <w:pPr>
      <w:pBdr>
        <w:bottom w:val="single" w:sz="4" w:space="4" w:color="4F81BD"/>
      </w:pBdr>
      <w:spacing w:lineRule="auto" w:line="240" w:before="200" w:after="280"/>
      <w:ind w:left="936" w:right="936" w:hanging="0"/>
    </w:pPr>
    <w:rPr>
      <w:rFonts w:eastAsia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19"/>
    <w:pPr/>
    <w:rPr/>
  </w:style>
  <w:style w:type="paragraph" w:styleId="TOCHeading">
    <w:name w:val="TOC Heading"/>
    <w:basedOn w:val="Heading1"/>
    <w:next w:val="Normal"/>
    <w:uiPriority w:val="39"/>
    <w:qFormat/>
    <w:rsid w:val="00bb18d9"/>
    <w:pPr>
      <w:outlineLvl w:val="9"/>
    </w:pPr>
    <w:rPr/>
  </w:style>
  <w:style w:type="paragraph" w:styleId="E-mailSignature">
    <w:name w:val="E-mail Signature"/>
    <w:basedOn w:val="Normal"/>
    <w:link w:val="Style10"/>
    <w:uiPriority w:val="99"/>
    <w:semiHidden/>
    <w:unhideWhenUsed/>
    <w:qFormat/>
    <w:rsid w:val="00bb18d9"/>
    <w:pPr>
      <w:spacing w:lineRule="auto" w:line="240" w:before="0" w:after="0"/>
    </w:pPr>
    <w:rPr>
      <w:rFonts w:ascii="Times New Roman" w:hAnsi="Times New Roman" w:eastAsia="Calibri"/>
      <w:sz w:val="24"/>
      <w:szCs w:val="24"/>
    </w:rPr>
  </w:style>
  <w:style w:type="paragraph" w:styleId="Style31" w:customStyle="1">
    <w:name w:val="Знак"/>
    <w:basedOn w:val="Normal"/>
    <w:qFormat/>
    <w:rsid w:val="00bb18d9"/>
    <w:pPr>
      <w:spacing w:lineRule="exact" w:line="240" w:before="0" w:after="160"/>
    </w:pPr>
    <w:rPr>
      <w:rFonts w:ascii="Verdana" w:hAnsi="Verdana" w:cs="Verdana"/>
      <w:sz w:val="20"/>
      <w:szCs w:val="20"/>
      <w:lang w:val="en-US"/>
    </w:rPr>
  </w:style>
  <w:style w:type="paragraph" w:styleId="Annotationsubject">
    <w:name w:val="annotation subject"/>
    <w:basedOn w:val="Annotationtext"/>
    <w:next w:val="Annotationtext"/>
    <w:link w:val="Style11"/>
    <w:semiHidden/>
    <w:qFormat/>
    <w:rsid w:val="00bb18d9"/>
    <w:pPr/>
    <w:rPr>
      <w:rFonts w:eastAsia="Calibri"/>
      <w:b/>
      <w:bCs/>
    </w:rPr>
  </w:style>
  <w:style w:type="paragraph" w:styleId="32" w:customStyle="1">
    <w:name w:val="Нумерованный список ур3"/>
    <w:basedOn w:val="Normal"/>
    <w:qFormat/>
    <w:rsid w:val="00bb18d9"/>
    <w:pPr>
      <w:numPr>
        <w:ilvl w:val="2"/>
        <w:numId w:val="2"/>
      </w:numPr>
      <w:spacing w:lineRule="auto" w:line="240" w:before="0" w:after="0"/>
      <w:jc w:val="both"/>
    </w:pPr>
    <w:rPr>
      <w:rFonts w:ascii="Garamond" w:hAnsi="Garamond"/>
      <w:sz w:val="24"/>
      <w:szCs w:val="20"/>
    </w:rPr>
  </w:style>
  <w:style w:type="paragraph" w:styleId="List3" w:customStyle="1">
    <w:name w:val="List 3"/>
    <w:basedOn w:val="Normal"/>
    <w:rsid w:val="00b5006b"/>
    <w:pPr>
      <w:numPr>
        <w:ilvl w:val="0"/>
        <w:numId w:val="2"/>
      </w:numPr>
      <w:spacing w:lineRule="auto" w:line="240" w:before="120" w:after="0"/>
      <w:jc w:val="both"/>
    </w:pPr>
    <w:rPr>
      <w:rFonts w:ascii="Garamond" w:hAnsi="Garamond"/>
      <w:sz w:val="24"/>
      <w:szCs w:val="20"/>
    </w:rPr>
  </w:style>
  <w:style w:type="paragraph" w:styleId="22" w:customStyle="1">
    <w:name w:val="Нумерованный список ур2"/>
    <w:basedOn w:val="Normal"/>
    <w:qFormat/>
    <w:rsid w:val="00bb18d9"/>
    <w:pPr>
      <w:numPr>
        <w:ilvl w:val="1"/>
        <w:numId w:val="2"/>
      </w:numPr>
      <w:spacing w:lineRule="auto" w:line="240" w:before="120" w:after="0"/>
      <w:jc w:val="both"/>
    </w:pPr>
    <w:rPr>
      <w:rFonts w:ascii="Garamond" w:hAnsi="Garamond"/>
      <w:sz w:val="24"/>
      <w:szCs w:val="20"/>
    </w:rPr>
  </w:style>
  <w:style w:type="paragraph" w:styleId="NormalWeb">
    <w:name w:val="Normal (Web)"/>
    <w:basedOn w:val="Normal"/>
    <w:uiPriority w:val="99"/>
    <w:qFormat/>
    <w:rsid w:val="00bb18d9"/>
    <w:pPr>
      <w:spacing w:lineRule="auto" w:line="240" w:before="30" w:after="30"/>
    </w:pPr>
    <w:rPr>
      <w:rFonts w:ascii="Arial" w:hAnsi="Arial" w:eastAsia="Arial Unicode MS" w:cs="Arial"/>
      <w:color w:val="332E2D"/>
      <w:spacing w:val="2"/>
      <w:sz w:val="24"/>
      <w:szCs w:val="24"/>
    </w:rPr>
  </w:style>
  <w:style w:type="paragraph" w:styleId="Revision">
    <w:name w:val="Revision"/>
    <w:uiPriority w:val="99"/>
    <w:semiHidden/>
    <w:qFormat/>
    <w:rsid w:val="00bb18d9"/>
    <w:pPr>
      <w:widowControl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33" w:customStyle="1">
    <w:name w:val="Знак Знак3 Знак Знак"/>
    <w:basedOn w:val="Normal"/>
    <w:qFormat/>
    <w:rsid w:val="00bb18d9"/>
    <w:pPr>
      <w:spacing w:lineRule="exact" w:line="240" w:before="0" w:after="160"/>
      <w:jc w:val="both"/>
    </w:pPr>
    <w:rPr>
      <w:rFonts w:ascii="Verdana" w:hAnsi="Verdana" w:cs="Verdana"/>
      <w:lang w:val="en-US"/>
    </w:rPr>
  </w:style>
  <w:style w:type="paragraph" w:styleId="Style32" w:customStyle="1">
    <w:name w:val="Пункт"/>
    <w:basedOn w:val="Normal"/>
    <w:qFormat/>
    <w:rsid w:val="00bb18d9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 w:val="28"/>
      <w:szCs w:val="20"/>
    </w:rPr>
  </w:style>
  <w:style w:type="paragraph" w:styleId="23" w:customStyle="1">
    <w:name w:val="Абзац списка2"/>
    <w:basedOn w:val="Normal"/>
    <w:qFormat/>
    <w:rsid w:val="00bb18d9"/>
    <w:pPr>
      <w:spacing w:before="0" w:after="200"/>
      <w:ind w:left="720" w:hanging="0"/>
      <w:contextualSpacing/>
    </w:pPr>
    <w:rPr/>
  </w:style>
  <w:style w:type="paragraph" w:styleId="BodyTextIndent">
    <w:name w:val="Body Text Indent"/>
    <w:basedOn w:val="Normal"/>
    <w:link w:val="Style12"/>
    <w:rsid w:val="008757e8"/>
    <w:pPr>
      <w:spacing w:lineRule="auto" w:line="240" w:before="0" w:after="120"/>
      <w:ind w:left="283" w:hanging="0"/>
    </w:pPr>
    <w:rPr>
      <w:rFonts w:ascii="Times New Roman" w:hAnsi="Times New Roman"/>
      <w:sz w:val="28"/>
      <w:szCs w:val="28"/>
    </w:rPr>
  </w:style>
  <w:style w:type="paragraph" w:styleId="Style33" w:customStyle="1">
    <w:name w:val="Знак Знак"/>
    <w:basedOn w:val="Normal"/>
    <w:qFormat/>
    <w:rsid w:val="00d30377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TOC3">
    <w:name w:val="TOC 3"/>
    <w:basedOn w:val="Normal"/>
    <w:next w:val="Normal"/>
    <w:autoRedefine/>
    <w:uiPriority w:val="39"/>
    <w:unhideWhenUsed/>
    <w:rsid w:val="00bb55ba"/>
    <w:pPr>
      <w:spacing w:before="0" w:after="100"/>
      <w:ind w:left="440" w:hanging="0"/>
    </w:pPr>
    <w:rPr/>
  </w:style>
  <w:style w:type="paragraph" w:styleId="62" w:customStyle="1">
    <w:name w:val="Основной текст (6)"/>
    <w:basedOn w:val="Normal"/>
    <w:link w:val="61"/>
    <w:qFormat/>
    <w:rsid w:val="00310980"/>
    <w:pPr>
      <w:widowControl w:val="false"/>
      <w:shd w:val="clear" w:color="auto" w:fill="FFFFFF"/>
      <w:spacing w:lineRule="auto" w:line="240" w:before="0" w:after="0"/>
      <w:ind w:firstLine="720"/>
      <w:jc w:val="both"/>
    </w:pPr>
    <w:rPr>
      <w:rFonts w:ascii="Times New Roman" w:hAnsi="Times New Roman"/>
      <w:sz w:val="20"/>
      <w:szCs w:val="20"/>
    </w:rPr>
  </w:style>
  <w:style w:type="paragraph" w:styleId="TableListParagraph" w:customStyle="1">
    <w:name w:val="Table List Paragraph"/>
    <w:basedOn w:val="Normal"/>
    <w:qFormat/>
    <w:rsid w:val="00a270f3"/>
    <w:pPr>
      <w:numPr>
        <w:ilvl w:val="0"/>
        <w:numId w:val="5"/>
      </w:numPr>
      <w:tabs>
        <w:tab w:val="clear" w:pos="709"/>
        <w:tab w:val="left" w:pos="360" w:leader="none"/>
      </w:tabs>
      <w:spacing w:lineRule="auto" w:line="240" w:before="0" w:after="0"/>
      <w:jc w:val="both"/>
    </w:pPr>
    <w:rPr>
      <w:rFonts w:ascii="Times New Roman" w:hAnsi="Times New Roman"/>
      <w:sz w:val="24"/>
      <w:szCs w:val="24"/>
    </w:rPr>
  </w:style>
  <w:style w:type="paragraph" w:styleId="ConsPlusNonformat" w:customStyle="1">
    <w:name w:val="ConsPlusNonformat"/>
    <w:basedOn w:val="Normal"/>
    <w:qFormat/>
    <w:rsid w:val="000753e1"/>
    <w:pPr>
      <w:spacing w:lineRule="auto" w:line="240" w:before="0" w:after="0"/>
    </w:pPr>
    <w:rPr>
      <w:rFonts w:ascii="Courier New" w:hAnsi="Courier New" w:eastAsia="Calibri" w:cs="Courier New" w:eastAsiaTheme="minorHAnsi"/>
      <w:sz w:val="20"/>
      <w:szCs w:val="20"/>
    </w:rPr>
  </w:style>
  <w:style w:type="paragraph" w:styleId="Dt-p" w:customStyle="1">
    <w:name w:val="dt-p"/>
    <w:basedOn w:val="Normal"/>
    <w:qFormat/>
    <w:rsid w:val="00a05152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EndnoteText">
    <w:name w:val="Endnote Text"/>
    <w:basedOn w:val="Normal"/>
    <w:link w:val="Style16"/>
    <w:uiPriority w:val="99"/>
    <w:semiHidden/>
    <w:unhideWhenUsed/>
    <w:rsid w:val="00dc37db"/>
    <w:pPr>
      <w:spacing w:lineRule="auto" w:line="240" w:before="0" w:after="0"/>
    </w:pPr>
    <w:rPr>
      <w:sz w:val="20"/>
      <w:szCs w:val="20"/>
    </w:rPr>
  </w:style>
  <w:style w:type="paragraph" w:styleId="Style34" w:customStyle="1">
    <w:name w:val="РГ_номер текста табл"/>
    <w:basedOn w:val="ListParagraph"/>
    <w:link w:val="Style18"/>
    <w:qFormat/>
    <w:rsid w:val="00470434"/>
    <w:pPr>
      <w:numPr>
        <w:ilvl w:val="0"/>
        <w:numId w:val="6"/>
      </w:numPr>
      <w:spacing w:lineRule="auto" w:line="240" w:before="0" w:after="0"/>
      <w:contextualSpacing/>
      <w:jc w:val="both"/>
    </w:pPr>
    <w:rPr>
      <w:rFonts w:ascii="Calibri" w:hAnsi="Calibri" w:eastAsia="Calibri" w:cs="Calibri" w:asciiTheme="minorHAnsi" w:cstheme="minorHAnsi" w:hAnsiTheme="minorHAnsi"/>
      <w:sz w:val="24"/>
      <w:lang w:eastAsia="en-US"/>
    </w:rPr>
  </w:style>
  <w:style w:type="paragraph" w:styleId="111" w:customStyle="1">
    <w:name w:val="1.1. таблица"/>
    <w:basedOn w:val="Style34"/>
    <w:qFormat/>
    <w:rsid w:val="00470434"/>
    <w:pPr>
      <w:numPr>
        <w:ilvl w:val="1"/>
      </w:numPr>
      <w:tabs>
        <w:tab w:val="clear" w:pos="709"/>
      </w:tabs>
      <w:ind w:left="1440" w:hanging="360"/>
    </w:pPr>
    <w:rPr/>
  </w:style>
  <w:style w:type="paragraph" w:styleId="Xmsolistparagraph" w:customStyle="1">
    <w:name w:val="x_msolistparagraph"/>
    <w:basedOn w:val="Normal"/>
    <w:qFormat/>
    <w:rsid w:val="001d51d9"/>
    <w:pPr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Style3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6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6"/>
    <w:uiPriority w:val="39"/>
    <w:rsid w:val="00b918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package" Target="embeddings/oleObject1.xlsx"/><Relationship Id="rId4" Type="http://schemas.openxmlformats.org/officeDocument/2006/relationships/image" Target="media/image1.wmf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package" Target="embeddings/oleObject2.xlsx"/><Relationship Id="rId8" Type="http://schemas.openxmlformats.org/officeDocument/2006/relationships/image" Target="media/image2.wmf"/><Relationship Id="rId9" Type="http://schemas.openxmlformats.org/officeDocument/2006/relationships/footer" Target="footer4.xml"/><Relationship Id="rId10" Type="http://schemas.openxmlformats.org/officeDocument/2006/relationships/footer" Target="footer5.xml"/><Relationship Id="rId11" Type="http://schemas.openxmlformats.org/officeDocument/2006/relationships/footer" Target="footer6.xml"/><Relationship Id="rId12" Type="http://schemas.openxmlformats.org/officeDocument/2006/relationships/footer" Target="footer7.xml"/><Relationship Id="rId13" Type="http://schemas.openxmlformats.org/officeDocument/2006/relationships/footer" Target="footer8.xml"/><Relationship Id="rId14" Type="http://schemas.openxmlformats.org/officeDocument/2006/relationships/footer" Target="footer9.xml"/><Relationship Id="rId15" Type="http://schemas.openxmlformats.org/officeDocument/2006/relationships/package" Target="embeddings/oleObject3.xlsx"/><Relationship Id="rId16" Type="http://schemas.openxmlformats.org/officeDocument/2006/relationships/image" Target="media/image3.wmf"/><Relationship Id="rId17" Type="http://schemas.openxmlformats.org/officeDocument/2006/relationships/footer" Target="footer10.xml"/><Relationship Id="rId18" Type="http://schemas.openxmlformats.org/officeDocument/2006/relationships/footer" Target="footer11.xml"/><Relationship Id="rId19" Type="http://schemas.openxmlformats.org/officeDocument/2006/relationships/footer" Target="footer12.xml"/><Relationship Id="rId20" Type="http://schemas.openxmlformats.org/officeDocument/2006/relationships/footer" Target="footer13.xml"/><Relationship Id="rId21" Type="http://schemas.openxmlformats.org/officeDocument/2006/relationships/footer" Target="footer14.xml"/><Relationship Id="rId22" Type="http://schemas.openxmlformats.org/officeDocument/2006/relationships/footer" Target="footer15.xml"/><Relationship Id="rId23" Type="http://schemas.openxmlformats.org/officeDocument/2006/relationships/numbering" Target="numbering.xml"/><Relationship Id="rId24" Type="http://schemas.openxmlformats.org/officeDocument/2006/relationships/fontTable" Target="fontTable.xml"/><Relationship Id="rId25" Type="http://schemas.openxmlformats.org/officeDocument/2006/relationships/settings" Target="settings.xml"/><Relationship Id="rId26" Type="http://schemas.openxmlformats.org/officeDocument/2006/relationships/theme" Target="theme/theme1.xml"/><Relationship Id="rId2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A69C1-FC29-4DA3-8329-39378A2EA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AlterOffice/3.4.0.9$Linux_X86_64 LibreOffice_project/b8daf9e823b1a5463a2f48435ddc2e8696e7d4fc</Application>
  <AppVersion>15.0000</AppVersion>
  <Pages>22</Pages>
  <Words>3848</Words>
  <Characters>26430</Characters>
  <CharactersWithSpaces>30326</CharactersWithSpaces>
  <Paragraphs>585</Paragraphs>
  <Company>####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2026-08-11T09:31:00Z</dcterms:created>
  <dc:creator>Торопов Денис Владимирович</dc:creator>
  <dc:description/>
  <dc:language>ru-RU</dc:language>
  <cp:lastModifiedBy>chumanovrv@corp.gidroogk.com</cp:lastModifiedBy>
  <cp:lastPrinted>2021-07-09T09:18:00Z</cp:lastPrinted>
  <dcterms:modified xsi:type="dcterms:W3CDTF">2026-08-11T14:42:18Z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ID">
    <vt:i4>0</vt:i4>
  </property>
</Properties>
</file>