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overflowPunct w:val="true"/>
        <w:ind w:left="5670" w:hanging="141"/>
        <w:rPr>
          <w:color w:val="000000"/>
          <w:lang w:eastAsia="zh-CN"/>
        </w:rPr>
      </w:pPr>
      <w:r>
        <w:rPr>
          <w:color w:val="000000"/>
          <w:lang w:eastAsia="zh-CN"/>
        </w:rPr>
      </w:r>
    </w:p>
    <w:p>
      <w:pPr>
        <w:pStyle w:val="Normal"/>
        <w:jc w:val="right"/>
        <w:rPr>
          <w:b/>
          <w:bCs/>
          <w:color w:val="000000"/>
          <w:sz w:val="26"/>
          <w:szCs w:val="26"/>
          <w:lang w:eastAsia="zh-CN"/>
        </w:rPr>
      </w:pPr>
      <w:r>
        <w:rPr>
          <w:b/>
          <w:bCs/>
          <w:color w:val="000000"/>
          <w:sz w:val="26"/>
          <w:szCs w:val="26"/>
          <w:lang w:eastAsia="zh-CN"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>
      <w:pPr>
        <w:pStyle w:val="Normal"/>
        <w:keepNext w:val="true"/>
        <w:keepLines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327"/>
          <w:tab w:val="left" w:pos="426" w:leader="none"/>
        </w:tabs>
        <w:spacing w:before="120" w:after="120"/>
        <w:contextualSpacing w:val="false"/>
        <w:jc w:val="center"/>
        <w:rPr>
          <w:color w:val="FF0000"/>
        </w:rPr>
      </w:pPr>
      <w:r>
        <w:rPr>
          <w:rFonts w:eastAsia="Calibri"/>
          <w:b/>
          <w:bCs/>
          <w:color w:val="000000"/>
          <w:sz w:val="26"/>
          <w:szCs w:val="26"/>
        </w:rPr>
        <w:t xml:space="preserve">«ОКПД2 28.99.39.190. </w:t>
      </w:r>
      <w:r>
        <w:rPr>
          <w:rFonts w:eastAsia="Calibri"/>
          <w:b/>
          <w:bCs/>
          <w:i w:val="false"/>
          <w:iCs w:val="false"/>
          <w:color w:val="000000"/>
          <w:sz w:val="26"/>
          <w:szCs w:val="26"/>
        </w:rPr>
        <w:t xml:space="preserve"> </w:t>
      </w:r>
      <w:r>
        <w:rPr>
          <w:rFonts w:eastAsia="Calibri"/>
          <w:b/>
          <w:bCs/>
          <w:color w:val="000000"/>
          <w:sz w:val="26"/>
          <w:szCs w:val="26"/>
        </w:rPr>
        <w:t>Поставка, монтаж, наладка оборудования в</w:t>
      </w:r>
      <w:r>
        <w:rPr>
          <w:rFonts w:eastAsia="Times New Roman" w:cs="Times New Roman"/>
          <w:b/>
          <w:bCs/>
          <w:color w:val="00000A"/>
          <w:spacing w:val="-6"/>
          <w:sz w:val="26"/>
          <w:szCs w:val="26"/>
          <w:lang w:val="ru-RU" w:eastAsia="zh-CN" w:bidi="ar-SA"/>
        </w:rPr>
        <w:t xml:space="preserve">ышки наблюдательной БР4 </w:t>
      </w:r>
      <w:r>
        <w:rPr>
          <w:rFonts w:eastAsia="Calibri" w:cs="Times New Roman"/>
          <w:b/>
          <w:bCs/>
          <w:color w:val="000000"/>
          <w:spacing w:val="-6"/>
          <w:sz w:val="26"/>
          <w:szCs w:val="26"/>
          <w:lang w:val="ru-RU" w:eastAsia="ru-RU" w:bidi="ar-SA"/>
        </w:rPr>
        <w:t>(ДАБР.1202.00.00)</w:t>
      </w:r>
      <w:r>
        <w:rPr>
          <w:rFonts w:eastAsia="Calibri"/>
          <w:b/>
          <w:bCs/>
          <w:color w:val="000000"/>
          <w:sz w:val="26"/>
          <w:szCs w:val="26"/>
        </w:rPr>
        <w:t>»</w:t>
      </w:r>
      <w:r>
        <w:rPr>
          <w:rFonts w:eastAsia="Calibri"/>
          <w:b/>
          <w:color w:val="000000"/>
          <w:sz w:val="26"/>
          <w:szCs w:val="26"/>
        </w:rPr>
        <w:t xml:space="preserve"> для нужд филиала ПАО «РусГидро» – «Саратовская ГЭС»</w:t>
      </w:r>
    </w:p>
    <w:p>
      <w:pPr>
        <w:pStyle w:val="Normal"/>
        <w:keepNext w:val="true"/>
        <w:keepLines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br w:type="page"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327"/>
              <w:tab w:val="left" w:pos="560" w:leader="none"/>
              <w:tab w:val="right" w:pos="9911" w:leader="dot"/>
            </w:tabs>
            <w:rPr>
              <w:rFonts w:ascii="Calibri" w:hAnsi="Calibri" w:cs="Times New Roman"/>
              <w:b w:val="false"/>
              <w:bCs w:val="false"/>
              <w:color w:val="000000"/>
              <w:sz w:val="22"/>
              <w:szCs w:val="22"/>
              <w:lang w:val="ru-RU" w:eastAsia="ru-RU"/>
            </w:rPr>
          </w:pPr>
          <w:r>
            <w:fldChar w:fldCharType="begin"/>
          </w:r>
          <w:r>
            <w:rPr>
              <w:webHidden/>
              <w:rStyle w:val="Style21"/>
              <w:vanish w:val="false"/>
              <w:rFonts w:eastAsia="Calibri"/>
              <w:lang w:val="ru-RU" w:eastAsia="ru-RU"/>
            </w:rPr>
            <w:instrText xml:space="preserve"> TOC \z \o "1-4" \u \h</w:instrText>
          </w:r>
          <w:r>
            <w:rPr>
              <w:webHidden/>
              <w:rStyle w:val="Style21"/>
              <w:vanish w:val="false"/>
              <w:rFonts w:eastAsia="Calibri"/>
              <w:lang w:val="ru-RU" w:eastAsia="ru-RU"/>
            </w:rPr>
            <w:fldChar w:fldCharType="separate"/>
          </w:r>
          <w:hyperlink w:anchor="__RefHeading___Toc172817174">
            <w:r>
              <w:rPr>
                <w:webHidden/>
                <w:rStyle w:val="Style21"/>
                <w:rFonts w:eastAsia="Calibri"/>
                <w:vanish w:val="false"/>
                <w:lang w:val="ru-RU" w:eastAsia="ru-RU"/>
              </w:rPr>
              <w:t>1.</w:t>
            </w:r>
            <w:r>
              <w:rPr>
                <w:rStyle w:val="Style21"/>
                <w:rFonts w:cs="Times New Roman" w:ascii="Calibri" w:hAnsi="Calibri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ab/>
            </w:r>
            <w:r>
              <w:rPr>
                <w:rStyle w:val="Style21"/>
                <w:rFonts w:eastAsia="Calibri"/>
                <w:lang w:val="ru-RU" w:eastAsia="ru-RU"/>
              </w:rPr>
              <w:t>Общие сведения</w:t>
            </w:r>
            <w:r>
              <w:rPr>
                <w:rStyle w:val="Style21"/>
                <w:lang w:val="ru-RU" w:eastAsia="ru-RU"/>
              </w:rPr>
              <w:tab/>
              <w:t>3</w:t>
            </w:r>
          </w:hyperlink>
        </w:p>
        <w:p>
          <w:pPr>
            <w:pStyle w:val="TOC4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cs="Times New Roman"/>
              <w:color w:val="000000"/>
              <w:sz w:val="22"/>
              <w:szCs w:val="22"/>
              <w:lang w:val="ru-RU" w:eastAsia="ru-RU"/>
            </w:rPr>
          </w:pPr>
          <w:hyperlink w:anchor="__RefHeading___Toc172817175">
            <w:r>
              <w:rPr>
                <w:webHidden/>
                <w:rStyle w:val="Style21"/>
                <w:rFonts w:eastAsia="Calibri"/>
                <w:iCs/>
                <w:vanish w:val="false"/>
                <w:lang w:val="ru-RU" w:eastAsia="ru-RU"/>
              </w:rPr>
              <w:t>1.1.</w:t>
            </w:r>
            <w:r>
              <w:rPr>
                <w:rStyle w:val="Style21"/>
                <w:rFonts w:cs="Times New Roman" w:ascii="Calibri" w:hAnsi="Calibri"/>
                <w:color w:val="000000"/>
                <w:sz w:val="22"/>
                <w:szCs w:val="22"/>
                <w:lang w:val="ru-RU" w:eastAsia="ru-RU"/>
              </w:rPr>
              <w:tab/>
            </w:r>
            <w:r>
              <w:rPr>
                <w:rStyle w:val="Style21"/>
                <w:rFonts w:eastAsia="Calibri"/>
                <w:lang w:val="ru-RU" w:eastAsia="ru-RU"/>
              </w:rPr>
              <w:t>Обозначения и сокращения</w:t>
            </w:r>
            <w:r>
              <w:rPr>
                <w:rStyle w:val="Style21"/>
                <w:lang w:val="ru-RU" w:eastAsia="ru-RU"/>
              </w:rPr>
              <w:tab/>
              <w:t>3</w:t>
            </w:r>
          </w:hyperlink>
        </w:p>
        <w:p>
          <w:pPr>
            <w:pStyle w:val="TOC4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cs="Times New Roman"/>
              <w:color w:val="000000"/>
              <w:sz w:val="22"/>
              <w:szCs w:val="22"/>
              <w:lang w:val="ru-RU" w:eastAsia="ru-RU"/>
            </w:rPr>
          </w:pPr>
          <w:hyperlink w:anchor="__RefHeading___Toc172817176">
            <w:r>
              <w:rPr>
                <w:webHidden/>
                <w:rStyle w:val="Style21"/>
                <w:rFonts w:eastAsia="Calibri"/>
                <w:iCs/>
                <w:vanish w:val="false"/>
                <w:lang w:val="ru-RU" w:eastAsia="ru-RU"/>
              </w:rPr>
              <w:t>1.2.</w:t>
            </w:r>
            <w:r>
              <w:rPr>
                <w:rStyle w:val="Style21"/>
                <w:rFonts w:cs="Times New Roman" w:ascii="Calibri" w:hAnsi="Calibri"/>
                <w:color w:val="000000"/>
                <w:sz w:val="22"/>
                <w:szCs w:val="22"/>
                <w:lang w:val="ru-RU" w:eastAsia="ru-RU"/>
              </w:rPr>
              <w:tab/>
            </w:r>
            <w:r>
              <w:rPr>
                <w:rStyle w:val="Style21"/>
                <w:rFonts w:eastAsia="Calibri"/>
                <w:lang w:val="ru-RU" w:eastAsia="ru-RU"/>
              </w:rPr>
              <w:t>Наименование закупаемой продукции</w:t>
            </w:r>
            <w:r>
              <w:rPr>
                <w:rStyle w:val="Style21"/>
                <w:lang w:val="ru-RU" w:eastAsia="ru-RU"/>
              </w:rPr>
              <w:tab/>
              <w:t>4</w:t>
            </w:r>
          </w:hyperlink>
        </w:p>
        <w:p>
          <w:pPr>
            <w:pStyle w:val="TOC4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cs="Times New Roman"/>
              <w:color w:val="000000"/>
              <w:sz w:val="22"/>
              <w:szCs w:val="22"/>
              <w:lang w:val="ru-RU" w:eastAsia="ru-RU"/>
            </w:rPr>
          </w:pPr>
          <w:hyperlink w:anchor="__RefHeading___Toc172817177">
            <w:r>
              <w:rPr>
                <w:webHidden/>
                <w:rStyle w:val="Style21"/>
                <w:rFonts w:eastAsia="Calibri"/>
                <w:iCs/>
                <w:vanish w:val="false"/>
                <w:lang w:val="ru-RU" w:eastAsia="ru-RU"/>
              </w:rPr>
              <w:t>1.3.</w:t>
            </w:r>
            <w:r>
              <w:rPr>
                <w:rStyle w:val="Style21"/>
                <w:rFonts w:cs="Times New Roman" w:ascii="Calibri" w:hAnsi="Calibri"/>
                <w:color w:val="000000"/>
                <w:sz w:val="22"/>
                <w:szCs w:val="22"/>
                <w:lang w:val="ru-RU" w:eastAsia="ru-RU"/>
              </w:rPr>
              <w:tab/>
            </w:r>
            <w:r>
              <w:rPr>
                <w:rStyle w:val="Style21"/>
                <w:rFonts w:eastAsia="Calibri"/>
                <w:lang w:val="ru-RU" w:eastAsia="ru-RU"/>
              </w:rPr>
              <w:t>Цель использования закупаемой продукции</w:t>
            </w:r>
            <w:r>
              <w:rPr>
                <w:rStyle w:val="Style21"/>
                <w:lang w:val="ru-RU" w:eastAsia="ru-RU"/>
              </w:rPr>
              <w:tab/>
              <w:t>4</w:t>
            </w:r>
          </w:hyperlink>
        </w:p>
        <w:p>
          <w:pPr>
            <w:pStyle w:val="TOC4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cs="Times New Roman"/>
              <w:color w:val="000000"/>
              <w:sz w:val="22"/>
              <w:szCs w:val="22"/>
              <w:lang w:val="ru-RU" w:eastAsia="ru-RU"/>
            </w:rPr>
          </w:pPr>
          <w:hyperlink w:anchor="__RefHeading___Toc172817178">
            <w:r>
              <w:rPr>
                <w:webHidden/>
                <w:rStyle w:val="Style21"/>
                <w:rFonts w:eastAsia="Calibri"/>
                <w:iCs/>
                <w:vanish w:val="false"/>
                <w:lang w:val="ru-RU" w:eastAsia="ru-RU"/>
              </w:rPr>
              <w:t>1.4.</w:t>
            </w:r>
            <w:r>
              <w:rPr>
                <w:rStyle w:val="Style21"/>
                <w:rFonts w:cs="Times New Roman" w:ascii="Calibri" w:hAnsi="Calibri"/>
                <w:color w:val="000000"/>
                <w:sz w:val="22"/>
                <w:szCs w:val="22"/>
                <w:lang w:val="ru-RU" w:eastAsia="ru-RU"/>
              </w:rPr>
              <w:tab/>
            </w:r>
            <w:r>
              <w:rPr>
                <w:rStyle w:val="Style21"/>
                <w:rFonts w:eastAsia="Calibri"/>
                <w:lang w:val="ru-RU" w:eastAsia="ru-RU"/>
              </w:rPr>
              <w:t>Существующее положение</w:t>
            </w:r>
            <w:r>
              <w:rPr>
                <w:rStyle w:val="Style21"/>
                <w:lang w:val="ru-RU" w:eastAsia="ru-RU"/>
              </w:rPr>
              <w:tab/>
              <w:t>4</w:t>
            </w:r>
          </w:hyperlink>
        </w:p>
        <w:p>
          <w:pPr>
            <w:pStyle w:val="TOC4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cs="Times New Roman"/>
              <w:color w:val="000000"/>
              <w:sz w:val="22"/>
              <w:szCs w:val="22"/>
              <w:lang w:val="ru-RU" w:eastAsia="ru-RU"/>
            </w:rPr>
          </w:pPr>
          <w:hyperlink w:anchor="__RefHeading___Toc172817179">
            <w:r>
              <w:rPr>
                <w:webHidden/>
                <w:rStyle w:val="Style21"/>
                <w:rFonts w:eastAsia="Calibri"/>
                <w:iCs/>
                <w:vanish w:val="false"/>
                <w:lang w:val="ru-RU" w:eastAsia="ru-RU"/>
              </w:rPr>
              <w:t>1.5.</w:t>
            </w:r>
            <w:r>
              <w:rPr>
                <w:rStyle w:val="Style21"/>
                <w:rFonts w:cs="Times New Roman" w:ascii="Calibri" w:hAnsi="Calibri"/>
                <w:color w:val="000000"/>
                <w:sz w:val="22"/>
                <w:szCs w:val="22"/>
                <w:lang w:val="ru-RU" w:eastAsia="ru-RU"/>
              </w:rPr>
              <w:tab/>
            </w:r>
            <w:r>
              <w:rPr>
                <w:rStyle w:val="Style21"/>
                <w:rFonts w:eastAsia="Calibri"/>
                <w:lang w:val="ru-RU" w:eastAsia="ru-RU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rStyle w:val="Style21"/>
                <w:lang w:val="ru-RU" w:eastAsia="ru-RU"/>
              </w:rPr>
              <w:tab/>
              <w:t>4</w:t>
            </w:r>
          </w:hyperlink>
        </w:p>
        <w:p>
          <w:pPr>
            <w:pStyle w:val="TOC4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cs="Times New Roman"/>
              <w:color w:val="000000"/>
              <w:sz w:val="22"/>
              <w:szCs w:val="22"/>
              <w:lang w:val="ru-RU" w:eastAsia="ru-RU"/>
            </w:rPr>
          </w:pPr>
          <w:hyperlink w:anchor="__RefHeading___Toc172817180">
            <w:r>
              <w:rPr>
                <w:webHidden/>
                <w:rStyle w:val="Style21"/>
                <w:rFonts w:eastAsia="Calibri"/>
                <w:iCs/>
                <w:vanish w:val="false"/>
                <w:lang w:val="ru-RU" w:eastAsia="ru-RU"/>
              </w:rPr>
              <w:t>1.6.</w:t>
            </w:r>
            <w:r>
              <w:rPr>
                <w:rStyle w:val="Style21"/>
                <w:rFonts w:cs="Times New Roman" w:ascii="Calibri" w:hAnsi="Calibri"/>
                <w:color w:val="000000"/>
                <w:sz w:val="22"/>
                <w:szCs w:val="22"/>
                <w:lang w:val="ru-RU" w:eastAsia="ru-RU"/>
              </w:rPr>
              <w:tab/>
            </w:r>
            <w:r>
              <w:rPr>
                <w:rStyle w:val="Style21"/>
                <w:rFonts w:eastAsia="Calibri"/>
                <w:lang w:val="ru-RU" w:eastAsia="ru-RU"/>
              </w:rPr>
              <w:t>Иные требования и сведения общего характера</w:t>
            </w:r>
            <w:r>
              <w:rPr>
                <w:rStyle w:val="Style21"/>
                <w:lang w:val="ru-RU" w:eastAsia="ru-RU"/>
              </w:rPr>
              <w:tab/>
              <w:t>4</w:t>
            </w:r>
          </w:hyperlink>
        </w:p>
        <w:p>
          <w:pPr>
            <w:pStyle w:val="TOC1"/>
            <w:tabs>
              <w:tab w:val="clear" w:pos="327"/>
              <w:tab w:val="left" w:pos="560" w:leader="none"/>
              <w:tab w:val="right" w:pos="9911" w:leader="dot"/>
            </w:tabs>
            <w:rPr>
              <w:rFonts w:ascii="Calibri" w:hAnsi="Calibri" w:cs="Times New Roman"/>
              <w:b w:val="false"/>
              <w:bCs w:val="false"/>
              <w:color w:val="000000"/>
              <w:sz w:val="22"/>
              <w:szCs w:val="22"/>
              <w:lang w:val="ru-RU" w:eastAsia="ru-RU"/>
            </w:rPr>
          </w:pPr>
          <w:hyperlink w:anchor="__RefHeading___Toc172817181">
            <w:r>
              <w:rPr>
                <w:webHidden/>
                <w:rStyle w:val="Style21"/>
                <w:rFonts w:eastAsia="Calibri"/>
                <w:vanish w:val="false"/>
                <w:lang w:val="ru-RU" w:eastAsia="ru-RU"/>
              </w:rPr>
              <w:t>2.</w:t>
            </w:r>
            <w:r>
              <w:rPr>
                <w:rStyle w:val="Style21"/>
                <w:rFonts w:cs="Times New Roman" w:ascii="Calibri" w:hAnsi="Calibri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ab/>
            </w:r>
            <w:r>
              <w:rPr>
                <w:rStyle w:val="Style21"/>
                <w:rFonts w:eastAsia="Calibri"/>
                <w:iCs/>
                <w:lang w:val="ru-RU" w:eastAsia="ru-RU"/>
              </w:rPr>
              <w:t>Требования к продукции</w:t>
            </w:r>
            <w:r>
              <w:rPr>
                <w:rStyle w:val="Style21"/>
                <w:lang w:val="ru-RU" w:eastAsia="ru-RU"/>
              </w:rPr>
              <w:tab/>
            </w:r>
            <w:r>
              <w:rPr>
                <w:rStyle w:val="Style21"/>
                <w:rFonts w:cs="Times New Roman" w:ascii="Calibri" w:hAnsi="Calibri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>5</w:t>
            </w:r>
          </w:hyperlink>
        </w:p>
        <w:p>
          <w:pPr>
            <w:pStyle w:val="TOC4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cs="Times New Roman"/>
              <w:color w:val="000000"/>
              <w:sz w:val="22"/>
              <w:szCs w:val="22"/>
              <w:lang w:val="ru-RU" w:eastAsia="ru-RU"/>
            </w:rPr>
          </w:pPr>
          <w:hyperlink w:anchor="__RefHeading___Toc172817182">
            <w:r>
              <w:rPr>
                <w:webHidden/>
                <w:rStyle w:val="Style21"/>
                <w:rFonts w:eastAsia="Calibri"/>
                <w:iCs/>
                <w:vanish w:val="false"/>
                <w:lang w:val="ru-RU" w:eastAsia="ru-RU"/>
              </w:rPr>
              <w:t>2.1.</w:t>
            </w:r>
            <w:r>
              <w:rPr>
                <w:rStyle w:val="Style21"/>
                <w:rFonts w:cs="Times New Roman" w:ascii="Calibri" w:hAnsi="Calibri"/>
                <w:color w:val="000000"/>
                <w:sz w:val="22"/>
                <w:szCs w:val="22"/>
                <w:lang w:val="ru-RU" w:eastAsia="ru-RU"/>
              </w:rPr>
              <w:tab/>
            </w:r>
            <w:r>
              <w:rPr>
                <w:rStyle w:val="Style21"/>
                <w:rFonts w:eastAsia="Calibri"/>
                <w:lang w:val="ru-RU" w:eastAsia="ru-RU"/>
              </w:rPr>
              <w:t>Требования к объемам и срокам поставки,</w:t>
            </w:r>
            <w:r>
              <w:rPr>
                <w:rStyle w:val="Style21"/>
                <w:lang w:val="ru-RU" w:eastAsia="ru-RU"/>
              </w:rPr>
              <w:tab/>
            </w:r>
          </w:hyperlink>
          <w:r>
            <w:rPr>
              <w:rFonts w:cs="Times New Roman" w:ascii="Calibri" w:hAnsi="Calibri"/>
              <w:color w:val="000000"/>
              <w:sz w:val="22"/>
              <w:szCs w:val="22"/>
              <w:lang w:val="ru-RU" w:eastAsia="ru-RU"/>
            </w:rPr>
            <w:t>5</w:t>
          </w:r>
        </w:p>
        <w:p>
          <w:pPr>
            <w:pStyle w:val="TOC3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cs="Times New Roman"/>
              <w:color w:val="000000"/>
              <w:sz w:val="22"/>
              <w:szCs w:val="22"/>
              <w:lang w:val="ru-RU" w:eastAsia="ru-RU"/>
            </w:rPr>
          </w:pPr>
          <w:r>
            <w:rPr>
              <w:rFonts w:eastAsia="Calibri"/>
              <w:vanish w:val="false"/>
              <w:lang w:val="ru-RU" w:eastAsia="ru-RU"/>
            </w:rPr>
            <w:t xml:space="preserve">      </w:t>
          </w:r>
          <w:r>
            <w:rPr>
              <w:rFonts w:eastAsia="Calibri"/>
              <w:vanish w:val="false"/>
              <w:lang w:val="ru-RU" w:eastAsia="ru-RU"/>
            </w:rPr>
            <w:t>2.2.     Требования к качеству продукции</w:t>
          </w:r>
          <w:hyperlink w:anchor="__RefHeading___Toc172817183">
            <w:r>
              <w:rPr>
                <w:webHidden/>
                <w:rStyle w:val="Style21"/>
                <w:vanish w:val="false"/>
                <w:lang w:val="ru-RU" w:eastAsia="ru-RU"/>
              </w:rPr>
              <w:tab/>
            </w:r>
          </w:hyperlink>
          <w:r>
            <w:rPr>
              <w:vanish w:val="false"/>
              <w:lang w:val="ru-RU" w:eastAsia="ru-RU"/>
            </w:rPr>
            <w:t>7</w:t>
          </w:r>
        </w:p>
        <w:p>
          <w:pPr>
            <w:pStyle w:val="TOC1"/>
            <w:tabs>
              <w:tab w:val="clear" w:pos="327"/>
              <w:tab w:val="left" w:pos="560" w:leader="none"/>
              <w:tab w:val="right" w:pos="9911" w:leader="dot"/>
            </w:tabs>
            <w:rPr>
              <w:rFonts w:ascii="Calibri" w:hAnsi="Calibri" w:cs="Times New Roman"/>
              <w:b w:val="false"/>
              <w:bCs w:val="false"/>
              <w:color w:val="000000"/>
              <w:sz w:val="22"/>
              <w:szCs w:val="22"/>
              <w:lang w:val="ru-RU" w:eastAsia="ru-RU"/>
            </w:rPr>
          </w:pPr>
          <w:hyperlink w:anchor="__RefHeading___Toc172817189">
            <w:r>
              <w:rPr>
                <w:webHidden/>
                <w:rStyle w:val="Style21"/>
                <w:rFonts w:eastAsia="Calibri"/>
                <w:vanish w:val="false"/>
                <w:lang w:val="ru-RU" w:eastAsia="ru-RU"/>
              </w:rPr>
              <w:t>3.</w:t>
            </w:r>
            <w:r>
              <w:rPr>
                <w:rStyle w:val="Style21"/>
                <w:rFonts w:cs="Times New Roman" w:ascii="Calibri" w:hAnsi="Calibri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ab/>
            </w:r>
            <w:r>
              <w:rPr>
                <w:rStyle w:val="Style21"/>
                <w:rFonts w:eastAsia="Calibri"/>
                <w:lang w:val="ru-RU" w:eastAsia="ru-RU"/>
              </w:rPr>
              <w:t>Требования к документации по ценообразованию на этапе закупки</w:t>
            </w:r>
            <w:r>
              <w:rPr>
                <w:rStyle w:val="Style21"/>
                <w:lang w:val="ru-RU" w:eastAsia="ru-RU"/>
              </w:rPr>
              <w:tab/>
              <w:t>1</w:t>
            </w:r>
            <w:r>
              <w:rPr>
                <w:rStyle w:val="Style21"/>
                <w:rFonts w:cs="Times New Roman" w:ascii="Calibri" w:hAnsi="Calibri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>8</w:t>
            </w:r>
          </w:hyperlink>
        </w:p>
        <w:p>
          <w:pPr>
            <w:pStyle w:val="TOC1"/>
            <w:tabs>
              <w:tab w:val="clear" w:pos="327"/>
              <w:tab w:val="left" w:pos="560" w:leader="none"/>
              <w:tab w:val="right" w:pos="9911" w:leader="dot"/>
            </w:tabs>
            <w:rPr>
              <w:rFonts w:ascii="Calibri" w:hAnsi="Calibri" w:cs="Times New Roman"/>
              <w:b w:val="false"/>
              <w:bCs w:val="false"/>
              <w:color w:val="000000"/>
              <w:sz w:val="22"/>
              <w:szCs w:val="22"/>
              <w:lang w:val="ru-RU" w:eastAsia="ru-RU"/>
            </w:rPr>
          </w:pPr>
          <w:hyperlink w:anchor="__RefHeading___Toc172817190">
            <w:r>
              <w:rPr>
                <w:webHidden/>
                <w:rStyle w:val="Style21"/>
                <w:rFonts w:eastAsia="Calibri"/>
                <w:vanish w:val="false"/>
                <w:lang w:val="ru-RU" w:eastAsia="ru-RU"/>
              </w:rPr>
              <w:t>4.</w:t>
            </w:r>
            <w:r>
              <w:rPr>
                <w:rStyle w:val="Style21"/>
                <w:rFonts w:cs="Times New Roman" w:ascii="Calibri" w:hAnsi="Calibri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ab/>
            </w:r>
            <w:r>
              <w:rPr>
                <w:rStyle w:val="Style21"/>
                <w:rFonts w:eastAsia="Calibri"/>
                <w:lang w:val="ru-RU" w:eastAsia="ru-RU"/>
              </w:rPr>
              <w:t>Приложения</w:t>
            </w:r>
            <w:r>
              <w:rPr>
                <w:rStyle w:val="Style21"/>
                <w:lang w:val="ru-RU" w:eastAsia="ru-RU"/>
              </w:rPr>
              <w:tab/>
              <w:t>1</w:t>
            </w:r>
            <w:r>
              <w:rPr>
                <w:rStyle w:val="Style21"/>
                <w:rFonts w:cs="Times New Roman" w:ascii="Calibri" w:hAnsi="Calibri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>8</w:t>
            </w:r>
          </w:hyperlink>
        </w:p>
        <w:p>
          <w:pPr>
            <w:pStyle w:val="Heading1"/>
            <w:keepLines/>
            <w:numPr>
              <w:ilvl w:val="0"/>
              <w:numId w:val="1"/>
            </w:numPr>
            <w:tabs>
              <w:tab w:val="clear" w:pos="327"/>
            </w:tabs>
            <w:spacing w:before="0" w:after="0"/>
            <w:ind w:left="0" w:hanging="0"/>
            <w:rPr>
              <w:color w:val="000000"/>
            </w:rPr>
          </w:pPr>
          <w:r>
            <w:rPr>
              <w:b w:val="false"/>
              <w:iCs/>
              <w:color w:val="000000"/>
              <w:sz w:val="24"/>
              <w:szCs w:val="24"/>
            </w:rPr>
            <w:tab/>
            <w:tab/>
          </w:r>
          <w:r>
            <w:rPr>
              <w:sz w:val="24"/>
              <w:b w:val="false"/>
              <w:szCs w:val="24"/>
              <w:iCs/>
              <w:color w:val="000000"/>
            </w:rPr>
            <w:fldChar w:fldCharType="end"/>
          </w:r>
        </w:p>
      </w:sdtContent>
    </w:sdt>
    <w:p>
      <w:pPr>
        <w:pStyle w:val="TOC1"/>
        <w:tabs>
          <w:tab w:val="clear" w:pos="327"/>
          <w:tab w:val="right" w:pos="9921" w:leader="dot"/>
        </w:tabs>
        <w:rPr>
          <w:rFonts w:ascii="Times New Roman" w:hAnsi="Times New Roman" w:eastAsia="Calibri" w:cs="Calibri"/>
          <w:vanish w:val="false"/>
          <w:color w:val="00000A"/>
          <w:kern w:val="0"/>
          <w:sz w:val="20"/>
          <w:szCs w:val="20"/>
          <w:lang w:val="ru-RU" w:eastAsia="ru-RU" w:bidi="ar-SA"/>
        </w:rPr>
      </w:pPr>
      <w:r>
        <w:rPr>
          <w:rFonts w:eastAsia="Calibri" w:cs="Calibri"/>
          <w:vanish w:val="false"/>
          <w:color w:val="00000A"/>
          <w:kern w:val="0"/>
          <w:sz w:val="20"/>
          <w:szCs w:val="20"/>
          <w:lang w:val="ru-RU" w:eastAsia="ru-RU" w:bidi="ar-SA"/>
        </w:rPr>
      </w:r>
    </w:p>
    <w:p>
      <w:pPr>
        <w:pStyle w:val="TOC1"/>
        <w:tabs>
          <w:tab w:val="clear" w:pos="327"/>
          <w:tab w:val="left" w:pos="560" w:leader="none"/>
          <w:tab w:val="right" w:pos="9911" w:leader="dot"/>
        </w:tabs>
        <w:rPr>
          <w:rFonts w:ascii="Calibri" w:hAnsi="Calibri" w:eastAsia="Calibri" w:cs="Calibri"/>
          <w:b w:val="false"/>
          <w:bCs w:val="false"/>
          <w:color w:val="000000"/>
          <w:sz w:val="22"/>
          <w:szCs w:val="22"/>
        </w:rPr>
      </w:pPr>
      <w:r>
        <w:rPr>
          <w:rFonts w:eastAsia="Calibri" w:cs="Calibri" w:ascii="Calibri" w:hAnsi="Calibri"/>
          <w:b w:val="false"/>
          <w:bCs w:val="false"/>
          <w:color w:val="000000"/>
          <w:sz w:val="22"/>
          <w:szCs w:val="22"/>
        </w:rPr>
      </w:r>
      <w:r>
        <w:br w:type="page"/>
      </w:r>
    </w:p>
    <w:p>
      <w:pPr>
        <w:pStyle w:val="Heading2"/>
        <w:numPr>
          <w:ilvl w:val="1"/>
          <w:numId w:val="1"/>
        </w:numPr>
        <w:ind w:left="0" w:hanging="0"/>
        <w:rPr>
          <w:rFonts w:ascii="Calibri" w:hAnsi="Calibri" w:eastAsia="Calibri" w:cs="Calibri"/>
          <w:b w:val="false"/>
          <w:bCs w:val="false"/>
          <w:i/>
          <w:i/>
          <w:color w:val="000000"/>
          <w:sz w:val="22"/>
          <w:szCs w:val="22"/>
        </w:rPr>
      </w:pPr>
      <w:r>
        <w:rPr>
          <w:rFonts w:eastAsia="Calibri" w:cs="Calibri" w:ascii="Calibri" w:hAnsi="Calibri"/>
          <w:b w:val="false"/>
          <w:bCs w:val="false"/>
          <w:i/>
          <w:color w:val="000000"/>
          <w:sz w:val="22"/>
          <w:szCs w:val="22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_RefHeading___Toc172817174"/>
      <w:bookmarkEnd w:id="0"/>
      <w:r>
        <w:rPr>
          <w:lang w:val="ru-RU"/>
        </w:rPr>
        <w:t>Общие сведения</w:t>
      </w:r>
    </w:p>
    <w:p>
      <w:pPr>
        <w:pStyle w:val="Heading4"/>
        <w:numPr>
          <w:ilvl w:val="1"/>
          <w:numId w:val="3"/>
        </w:numPr>
        <w:rPr/>
      </w:pPr>
      <w:bookmarkStart w:id="1" w:name="__RefHeading___Toc172817175"/>
      <w:bookmarkEnd w:id="1"/>
      <w:r>
        <w:rPr/>
        <w:t>Обозначения и сокращения</w:t>
      </w:r>
    </w:p>
    <w:p>
      <w:pPr>
        <w:pStyle w:val="Normal"/>
        <w:rPr/>
      </w:pPr>
      <w:r>
        <w:rPr/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83" w:type="dxa"/>
          <w:bottom w:w="0" w:type="dxa"/>
          <w:right w:w="108" w:type="dxa"/>
        </w:tblCellMar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hd w:val="clear" w:fill="FFFFFF"/>
              <w:spacing w:before="120" w:after="12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hd w:val="clear" w:fill="FFFFFF"/>
              <w:spacing w:before="120" w:after="12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hd w:val="clear" w:fill="FFFFFF"/>
              <w:spacing w:before="120" w:after="12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hd w:val="clear" w:fill="FFFFFF"/>
              <w:spacing w:before="120" w:after="12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ПАО «РусГидро» - «Саратовская ГЭС»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>
            <w:pPr>
              <w:pStyle w:val="Normal"/>
              <w:widowControl w:val="false"/>
              <w:shd w:val="clear" w:fill="FFFFFF"/>
              <w:spacing w:before="120" w:after="12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>
            <w:pPr>
              <w:pStyle w:val="Normal"/>
              <w:widowControl w:val="false"/>
              <w:shd w:val="clear" w:fill="FFFFFF"/>
              <w:spacing w:before="120" w:after="12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>
            <w:pPr>
              <w:pStyle w:val="Normal"/>
              <w:widowControl w:val="false"/>
              <w:shd w:val="clear" w:fill="FFFFFF"/>
              <w:spacing w:before="120" w:after="12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>
            <w:pPr>
              <w:pStyle w:val="Normal"/>
              <w:widowControl w:val="false"/>
              <w:shd w:val="clear" w:fill="FFFFFF"/>
              <w:spacing w:before="120" w:after="12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 «РусГидро» включая филиалы и представительства;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>
            <w:pPr>
              <w:pStyle w:val="Normal"/>
              <w:widowControl w:val="false"/>
              <w:shd w:val="clear" w:fill="FFFFFF"/>
              <w:spacing w:before="120" w:after="12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>
            <w:pPr>
              <w:pStyle w:val="Normal"/>
              <w:widowControl w:val="false"/>
              <w:shd w:val="clear" w:fill="FFFFFF"/>
              <w:spacing w:before="120" w:after="12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Публичное акционерное общество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>
            <w:pPr>
              <w:pStyle w:val="Normal"/>
              <w:widowControl w:val="false"/>
              <w:shd w:val="clear" w:fill="FFFFFF"/>
              <w:spacing w:before="120" w:after="12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>
            <w:pPr>
              <w:pStyle w:val="Normal"/>
              <w:widowControl w:val="false"/>
              <w:shd w:val="clear" w:fill="FFFFFF"/>
              <w:spacing w:before="120" w:after="12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Служба Безопасности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120" w:after="12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120" w:after="12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120" w:after="12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120" w:after="12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Беспилотное воздушное судно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120" w:after="12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ВБ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120" w:after="12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Верхний бьеф</w:t>
            </w:r>
          </w:p>
        </w:tc>
      </w:tr>
    </w:tbl>
    <w:p>
      <w:pPr>
        <w:pStyle w:val="Normal"/>
        <w:keepNext w:val="true"/>
        <w:keepLines/>
        <w:jc w:val="both"/>
        <w:rPr/>
      </w:pPr>
      <w:r>
        <w:rPr/>
      </w:r>
    </w:p>
    <w:p>
      <w:pPr>
        <w:pStyle w:val="Normal"/>
        <w:keepNext w:val="true"/>
        <w:keepLines/>
        <w:jc w:val="both"/>
        <w:rPr/>
      </w:pPr>
      <w:r>
        <w:rPr/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2" w:name="__RefHeading___Toc172817176"/>
      <w:bookmarkEnd w:id="2"/>
      <w:r>
        <w:rPr/>
        <w:t>Наименование закупаемой продукции</w:t>
      </w:r>
    </w:p>
    <w:p>
      <w:pPr>
        <w:pStyle w:val="Normal"/>
        <w:widowControl w:val="false"/>
        <w:tabs>
          <w:tab w:val="clear" w:pos="327"/>
          <w:tab w:val="left" w:pos="426" w:leader="none"/>
        </w:tabs>
        <w:spacing w:before="120" w:after="120"/>
        <w:ind w:right="-144" w:hanging="0"/>
        <w:contextualSpacing w:val="false"/>
        <w:rPr/>
      </w:pPr>
      <w:r>
        <w:rPr>
          <w:rFonts w:eastAsia="Calibri"/>
          <w:sz w:val="24"/>
          <w:szCs w:val="24"/>
        </w:rPr>
        <w:tab/>
      </w:r>
      <w:r>
        <w:rPr>
          <w:rFonts w:eastAsia="Calibri"/>
          <w:b w:val="false"/>
          <w:bCs w:val="false"/>
          <w:color w:val="000000"/>
          <w:sz w:val="24"/>
          <w:szCs w:val="24"/>
        </w:rPr>
        <w:t>«</w:t>
      </w:r>
      <w:r>
        <w:rPr>
          <w:rFonts w:eastAsia="Calibri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ОКПД2 28.99.39.190. </w:t>
      </w:r>
      <w:r>
        <w:rPr>
          <w:rFonts w:eastAsia="Calibri"/>
          <w:b w:val="false"/>
          <w:bCs w:val="false"/>
          <w:i w:val="false"/>
          <w:iCs w:val="false"/>
          <w:color w:val="000000"/>
          <w:sz w:val="26"/>
          <w:szCs w:val="26"/>
        </w:rPr>
        <w:t xml:space="preserve"> </w:t>
      </w:r>
      <w:r>
        <w:rPr>
          <w:rFonts w:eastAsia="Calibri"/>
          <w:b w:val="false"/>
          <w:bCs w:val="false"/>
          <w:color w:val="000000"/>
          <w:sz w:val="24"/>
          <w:szCs w:val="24"/>
        </w:rPr>
        <w:t>Поставка, монтаж, наладка оборудования в</w:t>
      </w:r>
      <w:r>
        <w:rPr>
          <w:rFonts w:eastAsia="Times New Roman" w:cs="Times New Roman"/>
          <w:b w:val="false"/>
          <w:bCs w:val="false"/>
          <w:color w:val="00000A"/>
          <w:spacing w:val="-6"/>
          <w:sz w:val="24"/>
          <w:szCs w:val="24"/>
          <w:lang w:val="ru-RU" w:eastAsia="zh-CN" w:bidi="ar-SA"/>
        </w:rPr>
        <w:t xml:space="preserve">ышки наблюдательной БР4 </w:t>
      </w:r>
      <w:r>
        <w:rPr>
          <w:rFonts w:eastAsia="Calibri" w:cs="Times New Roman"/>
          <w:b w:val="false"/>
          <w:bCs w:val="false"/>
          <w:color w:val="000000"/>
          <w:spacing w:val="-6"/>
          <w:sz w:val="24"/>
          <w:szCs w:val="24"/>
          <w:lang w:val="ru-RU" w:eastAsia="ru-RU" w:bidi="ar-SA"/>
        </w:rPr>
        <w:t>(ДАБР.1202.00.00)</w:t>
      </w:r>
      <w:r>
        <w:rPr>
          <w:rFonts w:eastAsia="Calibri"/>
          <w:b w:val="false"/>
          <w:bCs w:val="false"/>
          <w:color w:val="000000"/>
          <w:sz w:val="24"/>
          <w:szCs w:val="24"/>
        </w:rPr>
        <w:t>» для нужд филиала ПАО «РусГидро» – «Саратовская ГЭС»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3" w:name="__RefHeading___Toc172817177"/>
      <w:bookmarkEnd w:id="3"/>
      <w:r>
        <w:rPr/>
        <w:t xml:space="preserve">Цель </w:t>
      </w:r>
      <w:r>
        <w:rPr>
          <w:lang w:val="ru-RU"/>
        </w:rPr>
        <w:t>использования закупаемой продукции</w:t>
        <w:tab/>
        <w:tab/>
      </w:r>
    </w:p>
    <w:p>
      <w:pPr>
        <w:pStyle w:val="Normal"/>
        <w:ind w:firstLine="426"/>
        <w:jc w:val="both"/>
        <w:rPr/>
      </w:pPr>
      <w:r>
        <w:rPr>
          <w:rFonts w:eastAsia="Calibri"/>
          <w:sz w:val="24"/>
          <w:szCs w:val="24"/>
          <w:lang w:eastAsia="ru-RU"/>
        </w:rPr>
        <w:t xml:space="preserve">Целью проведения работ является развертывание бронированного поста воздушного наблюдения (район пикета 3 левобережной ограждающей дамбы со стороны ВБ (около поста № 13) для  противодействие беспилотным летательным аппаратам в границах филиала ПАО «РусГидро» – «Саратовская ГЭС» и на прилегающей территории. </w:t>
      </w:r>
    </w:p>
    <w:p>
      <w:pPr>
        <w:pStyle w:val="Normal"/>
        <w:ind w:firstLine="426"/>
        <w:jc w:val="both"/>
        <w:rPr/>
      </w:pPr>
      <w:r>
        <w:rPr>
          <w:rFonts w:eastAsia="Calibri"/>
          <w:sz w:val="24"/>
          <w:szCs w:val="24"/>
          <w:lang w:eastAsia="ru-RU"/>
        </w:rPr>
        <w:t>Для достижения указанной выше цели должны быть выполнены следующие задачи:</w:t>
      </w:r>
    </w:p>
    <w:p>
      <w:pPr>
        <w:pStyle w:val="Normal"/>
        <w:ind w:hanging="0"/>
        <w:jc w:val="both"/>
        <w:rPr/>
      </w:pPr>
      <w:r>
        <w:rPr>
          <w:rFonts w:eastAsia="Calibri"/>
          <w:sz w:val="24"/>
          <w:szCs w:val="24"/>
          <w:lang w:eastAsia="ru-RU"/>
        </w:rPr>
        <w:t xml:space="preserve">- приобретение и поставка </w:t>
      </w:r>
      <w:r>
        <w:rPr>
          <w:rFonts w:eastAsia="Calibri"/>
          <w:b w:val="false"/>
          <w:bCs w:val="false"/>
          <w:color w:val="000000"/>
          <w:sz w:val="24"/>
          <w:szCs w:val="24"/>
          <w:lang w:eastAsia="ru-RU"/>
        </w:rPr>
        <w:t>в</w:t>
      </w:r>
      <w:r>
        <w:rPr>
          <w:rFonts w:eastAsia="Times New Roman" w:cs="Times New Roman"/>
          <w:b w:val="false"/>
          <w:bCs w:val="false"/>
          <w:color w:val="00000A"/>
          <w:spacing w:val="-6"/>
          <w:sz w:val="24"/>
          <w:szCs w:val="24"/>
          <w:lang w:val="ru-RU" w:eastAsia="zh-CN" w:bidi="ar-SA"/>
        </w:rPr>
        <w:t xml:space="preserve">ышки наблюдательной БР4 </w:t>
      </w:r>
      <w:r>
        <w:rPr>
          <w:rFonts w:eastAsia="Calibri" w:cs="Times New Roman"/>
          <w:b w:val="false"/>
          <w:bCs w:val="false"/>
          <w:color w:val="000000"/>
          <w:spacing w:val="-6"/>
          <w:sz w:val="24"/>
          <w:szCs w:val="24"/>
          <w:lang w:val="ru-RU" w:eastAsia="ru-RU" w:bidi="ar-SA"/>
        </w:rPr>
        <w:t>(ДАБР.1202.00.00) (далее - броневышка)</w:t>
      </w:r>
      <w:r>
        <w:rPr>
          <w:rFonts w:eastAsia="Calibri"/>
          <w:sz w:val="24"/>
          <w:szCs w:val="24"/>
          <w:lang w:eastAsia="ru-RU"/>
        </w:rPr>
        <w:t>;</w:t>
      </w:r>
    </w:p>
    <w:p>
      <w:pPr>
        <w:pStyle w:val="Normal"/>
        <w:ind w:hanging="0"/>
        <w:jc w:val="both"/>
        <w:rPr/>
      </w:pPr>
      <w:r>
        <w:rPr>
          <w:rFonts w:eastAsia="Calibri"/>
          <w:sz w:val="24"/>
          <w:szCs w:val="24"/>
          <w:lang w:eastAsia="ru-RU"/>
        </w:rPr>
        <w:t>- монтаж, наладка оборудования броневышки;</w:t>
      </w:r>
    </w:p>
    <w:p>
      <w:pPr>
        <w:pStyle w:val="Normal"/>
        <w:ind w:hanging="0"/>
        <w:jc w:val="both"/>
        <w:rPr/>
      </w:pPr>
      <w:r>
        <w:rPr>
          <w:rFonts w:eastAsia="Calibri"/>
          <w:sz w:val="24"/>
          <w:szCs w:val="24"/>
          <w:lang w:eastAsia="ru-RU"/>
        </w:rPr>
        <w:t>- подключение оборудования броневышки к существующим сетям.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4" w:name="__RefHeading___Toc172817178"/>
      <w:bookmarkEnd w:id="4"/>
      <w:r>
        <w:rPr/>
        <w:t xml:space="preserve">Существующее положение </w:t>
      </w:r>
    </w:p>
    <w:p>
      <w:pPr>
        <w:pStyle w:val="Normal"/>
        <w:widowControl w:val="false"/>
        <w:tabs>
          <w:tab w:val="clear" w:pos="327"/>
          <w:tab w:val="left" w:pos="426" w:leader="none"/>
        </w:tabs>
        <w:spacing w:before="120" w:after="240"/>
        <w:contextualSpacing w:val="false"/>
        <w:jc w:val="both"/>
        <w:rPr/>
      </w:pPr>
      <w:r>
        <w:rPr>
          <w:sz w:val="24"/>
          <w:szCs w:val="24"/>
        </w:rPr>
        <w:tab/>
        <w:t xml:space="preserve">В </w:t>
      </w:r>
      <w:r>
        <w:rPr>
          <w:rFonts w:eastAsia="Calibri"/>
          <w:sz w:val="24"/>
          <w:szCs w:val="24"/>
        </w:rPr>
        <w:t xml:space="preserve">филиале ПАО «РусГидро» – «Саратовская ГЭС» в рамках договора с АО «Гидроремонт-ВКК» </w:t>
      </w:r>
      <w:r>
        <w:rPr>
          <w:rFonts w:eastAsia="Calibri" w:cs="Times New Roman"/>
          <w:sz w:val="24"/>
          <w:szCs w:val="24"/>
        </w:rPr>
        <w:t xml:space="preserve">№ 1300-265-2022 от 16.09.2022 «Модернизация комплексной системы безопасности Саратовской ГЭС» </w:t>
      </w:r>
      <w:r>
        <w:rPr>
          <w:rFonts w:eastAsia="Calibri"/>
          <w:sz w:val="24"/>
          <w:szCs w:val="24"/>
        </w:rPr>
        <w:t xml:space="preserve">произведена поставка, монтаж, наладка оборудования броневышки </w:t>
      </w:r>
      <w:r>
        <w:rPr>
          <w:rFonts w:eastAsia="Calibri"/>
          <w:b w:val="false"/>
          <w:bCs w:val="false"/>
          <w:color w:val="000000"/>
          <w:sz w:val="24"/>
          <w:szCs w:val="24"/>
        </w:rPr>
        <w:t>в соответствии с рабочей документацией, разработанной АО «Институт Гидропроект» на правом берегу р. Волга. На левом берегу броневышка отсутствует</w:t>
      </w:r>
    </w:p>
    <w:p>
      <w:pPr>
        <w:pStyle w:val="Normal"/>
        <w:tabs>
          <w:tab w:val="clear" w:pos="327"/>
          <w:tab w:val="left" w:pos="142" w:leader="none"/>
        </w:tabs>
        <w:ind w:right="-2" w:hanging="0"/>
        <w:rPr>
          <w:sz w:val="24"/>
          <w:szCs w:val="24"/>
        </w:rPr>
      </w:pPr>
      <w:r>
        <w:rPr>
          <w:sz w:val="24"/>
          <w:szCs w:val="24"/>
        </w:rPr>
        <w:t>Таблица 1. Перечень объектов заказчика</w:t>
      </w:r>
    </w:p>
    <w:p>
      <w:pPr>
        <w:pStyle w:val="Normal"/>
        <w:tabs>
          <w:tab w:val="clear" w:pos="327"/>
          <w:tab w:val="left" w:pos="142" w:leader="none"/>
        </w:tabs>
        <w:ind w:right="-2" w:hanging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25"/>
        <w:gridCol w:w="2947"/>
        <w:gridCol w:w="3818"/>
        <w:gridCol w:w="2427"/>
      </w:tblGrid>
      <w:tr>
        <w:trPr/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производства работ)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производятся работы)</w:t>
            </w:r>
          </w:p>
        </w:tc>
      </w:tr>
      <w:tr>
        <w:trPr/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881" w:hRule="atLeast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18"/>
              <w:widowControl w:val="false"/>
              <w:numPr>
                <w:ilvl w:val="0"/>
                <w:numId w:val="0"/>
              </w:numPr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>
            <w:pPr>
              <w:pStyle w:val="18"/>
              <w:widowControl w:val="false"/>
              <w:numPr>
                <w:ilvl w:val="0"/>
                <w:numId w:val="0"/>
              </w:numPr>
              <w:spacing w:before="0" w:after="20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en-US" w:bidi="ar-SA"/>
              </w:rPr>
              <w:t>Поставка, монтаж, наладка оборудования в</w:t>
            </w: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 xml:space="preserve">ышки наблюдательной БР4 </w:t>
            </w:r>
            <w:r>
              <w:rPr>
                <w:rFonts w:eastAsia="Calibri" w:cs="Times New Roman"/>
                <w:b w:val="false"/>
                <w:bCs w:val="false"/>
                <w:color w:val="000000"/>
                <w:spacing w:val="-6"/>
                <w:sz w:val="24"/>
                <w:szCs w:val="24"/>
                <w:lang w:val="ru-RU" w:eastAsia="ru-RU" w:bidi="ar-SA"/>
              </w:rPr>
              <w:t>(ДАБР.1202.00.00)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ПАО «РусГидро» - «Саратовская ГЭС», г. Балаково, Саратовская область, Российская Федерация, 413865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Новое</w:t>
            </w:r>
          </w:p>
        </w:tc>
      </w:tr>
      <w:tr>
        <w:trPr>
          <w:trHeight w:val="609" w:hRule="atLeast"/>
        </w:trPr>
        <w:tc>
          <w:tcPr>
            <w:tcW w:w="725" w:type="dxa"/>
            <w:tcBorders/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18"/>
              <w:widowControl w:val="false"/>
              <w:numPr>
                <w:ilvl w:val="0"/>
                <w:numId w:val="0"/>
              </w:numPr>
              <w:spacing w:before="0" w:after="20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7" w:type="dxa"/>
            <w:tcBorders/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18" w:type="dxa"/>
            <w:tcBorders/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7" w:type="dxa"/>
            <w:tcBorders/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1"/>
          <w:numId w:val="3"/>
        </w:numPr>
        <w:jc w:val="both"/>
        <w:rPr/>
      </w:pPr>
      <w:bookmarkStart w:id="5" w:name="__RefHeading___Toc172817179"/>
      <w:bookmarkStart w:id="6" w:name="_Hlk49857604"/>
      <w:bookmarkEnd w:id="5"/>
      <w:r>
        <w:rPr>
          <w:lang w:val="ru-RU"/>
        </w:rPr>
        <w:t xml:space="preserve">Информация в отношении исполнения договора, </w:t>
      </w:r>
      <w:bookmarkStart w:id="7" w:name="_Hlk46492347"/>
      <w:r>
        <w:rPr>
          <w:lang w:val="ru-RU"/>
        </w:rPr>
        <w:t xml:space="preserve">которая должна быть учтена при подготовке заявки </w:t>
      </w:r>
      <w:bookmarkEnd w:id="7"/>
      <w:r>
        <w:rPr>
          <w:lang w:val="ru-RU"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6"/>
      <w:r>
        <w:rPr/>
        <w:t xml:space="preserve"> </w:t>
      </w:r>
    </w:p>
    <w:p>
      <w:pPr>
        <w:pStyle w:val="Normal"/>
        <w:widowControl w:val="false"/>
        <w:tabs>
          <w:tab w:val="clear" w:pos="327"/>
          <w:tab w:val="left" w:pos="426" w:leader="none"/>
        </w:tabs>
        <w:spacing w:before="120" w:after="240"/>
        <w:contextualSpacing w:val="false"/>
        <w:jc w:val="both"/>
        <w:rPr/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Броневышка поставляется одной партией на склад Заказчика по адресу: филиал                               ПАО «РусГидро» - «Саратовская ГЭС», г. Балаково, Саратовская обл., Российская Федерация, 413865, с последующим ее монтажом, </w:t>
      </w:r>
      <w:r>
        <w:rPr>
          <w:rFonts w:eastAsia="Calibri" w:cs="Times New Roman"/>
          <w:color w:val="00000A"/>
          <w:spacing w:val="-6"/>
          <w:sz w:val="24"/>
          <w:szCs w:val="24"/>
          <w:lang w:val="ru-RU" w:eastAsia="ru-RU" w:bidi="ar-SA"/>
        </w:rPr>
        <w:t>наладкой оборудования</w:t>
      </w:r>
      <w:r>
        <w:rPr>
          <w:sz w:val="24"/>
          <w:szCs w:val="24"/>
        </w:rPr>
        <w:t xml:space="preserve"> для достижения цели, указанной в п. 1.3 настоящих ТТ.</w:t>
      </w:r>
    </w:p>
    <w:p>
      <w:pPr>
        <w:pStyle w:val="Normal"/>
        <w:widowControl w:val="false"/>
        <w:tabs>
          <w:tab w:val="clear" w:pos="327"/>
          <w:tab w:val="left" w:pos="426" w:leader="none"/>
        </w:tabs>
        <w:spacing w:before="120" w:after="240"/>
        <w:contextualSpacing w:val="false"/>
        <w:jc w:val="both"/>
        <w:rPr>
          <w:rFonts w:ascii="Times New Roman" w:hAnsi="Times New Roman" w:eastAsia="Calibri" w:cs="Times New Roman"/>
          <w:color w:val="00000A"/>
          <w:spacing w:val="-6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color w:val="00000A"/>
          <w:spacing w:val="-6"/>
          <w:kern w:val="0"/>
          <w:sz w:val="24"/>
          <w:szCs w:val="24"/>
          <w:lang w:val="ru-RU" w:eastAsia="ru-RU" w:bidi="ar-SA"/>
        </w:rPr>
        <w:t>Заказчик предоставляет Подрядчику:</w:t>
      </w:r>
    </w:p>
    <w:p>
      <w:pPr>
        <w:pStyle w:val="Normal"/>
        <w:widowControl w:val="false"/>
        <w:tabs>
          <w:tab w:val="clear" w:pos="327"/>
          <w:tab w:val="left" w:pos="426" w:leader="none"/>
        </w:tabs>
        <w:spacing w:before="120" w:after="240"/>
        <w:contextualSpacing w:val="false"/>
        <w:jc w:val="both"/>
        <w:rPr>
          <w:rFonts w:ascii="Times New Roman" w:hAnsi="Times New Roman" w:eastAsia="Calibri" w:cs="Times New Roman"/>
          <w:color w:val="00000A"/>
          <w:spacing w:val="-6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color w:val="00000A"/>
          <w:spacing w:val="-6"/>
          <w:kern w:val="0"/>
          <w:sz w:val="24"/>
          <w:szCs w:val="24"/>
          <w:lang w:val="ru-RU" w:eastAsia="ru-RU" w:bidi="ar-SA"/>
        </w:rPr>
        <w:t>- место для складирования материалов и инструментов на время выполнения работ;</w:t>
      </w:r>
    </w:p>
    <w:p>
      <w:pPr>
        <w:pStyle w:val="Normal"/>
        <w:widowControl w:val="false"/>
        <w:tabs>
          <w:tab w:val="clear" w:pos="327"/>
          <w:tab w:val="left" w:pos="426" w:leader="none"/>
        </w:tabs>
        <w:spacing w:before="120" w:after="240"/>
        <w:contextualSpacing w:val="false"/>
        <w:jc w:val="both"/>
        <w:rPr>
          <w:rFonts w:ascii="Times New Roman" w:hAnsi="Times New Roman" w:eastAsia="Calibri" w:cs="Times New Roman"/>
          <w:color w:val="00000A"/>
          <w:spacing w:val="-6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color w:val="00000A"/>
          <w:spacing w:val="-6"/>
          <w:kern w:val="0"/>
          <w:sz w:val="24"/>
          <w:szCs w:val="24"/>
          <w:lang w:val="ru-RU" w:eastAsia="ru-RU" w:bidi="ar-SA"/>
        </w:rPr>
        <w:t>- электронные пропуска, которые являются собственностью Заказчика;</w:t>
      </w:r>
    </w:p>
    <w:p>
      <w:pPr>
        <w:pStyle w:val="Normal"/>
        <w:widowControl w:val="false"/>
        <w:tabs>
          <w:tab w:val="clear" w:pos="327"/>
          <w:tab w:val="left" w:pos="426" w:leader="none"/>
        </w:tabs>
        <w:spacing w:before="120" w:after="240"/>
        <w:contextualSpacing w:val="false"/>
        <w:jc w:val="both"/>
        <w:rPr>
          <w:rFonts w:ascii="Times New Roman" w:hAnsi="Times New Roman" w:eastAsia="Calibri" w:cs="Times New Roman"/>
          <w:color w:val="00000A"/>
          <w:spacing w:val="-6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color w:val="00000A"/>
          <w:spacing w:val="-6"/>
          <w:kern w:val="0"/>
          <w:sz w:val="24"/>
          <w:szCs w:val="24"/>
          <w:lang w:val="ru-RU" w:eastAsia="ru-RU" w:bidi="ar-SA"/>
        </w:rPr>
        <w:t>- возможность подключения к источникам электроснабжения и водоснабжения в соответствии с запросом Подрядчика.</w:t>
      </w:r>
    </w:p>
    <w:p>
      <w:pPr>
        <w:pStyle w:val="Heading4"/>
        <w:numPr>
          <w:ilvl w:val="1"/>
          <w:numId w:val="3"/>
        </w:numPr>
        <w:rPr/>
      </w:pPr>
      <w:bookmarkStart w:id="8" w:name="__RefHeading___Toc172817180"/>
      <w:bookmarkEnd w:id="8"/>
      <w:r>
        <w:rPr>
          <w:lang w:val="ru-RU"/>
        </w:rPr>
        <w:t xml:space="preserve">Иные требования и сведения общего характера </w:t>
      </w:r>
    </w:p>
    <w:p>
      <w:pPr>
        <w:pStyle w:val="Normal"/>
        <w:widowControl w:val="false"/>
        <w:tabs>
          <w:tab w:val="clear" w:pos="327"/>
          <w:tab w:val="left" w:pos="426" w:leader="none"/>
        </w:tabs>
        <w:spacing w:before="120" w:after="240"/>
        <w:contextualSpacing w:val="false"/>
        <w:jc w:val="both"/>
        <w:rPr/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>Участник готовит и предоставляет информацию согласно требованиям настоящих ТТ как в текстовой форме, так и в виде заполнения таблиц, указанных в настоящем ТТ. Все включенные в предложение в соответствии с настоящими ТТ таблицы Участника должны иметь электронную версию в формате совместимом с программными продуктами AlterOffice и MS Office.</w:t>
      </w:r>
    </w:p>
    <w:p>
      <w:pPr>
        <w:pStyle w:val="Normal"/>
        <w:widowControl w:val="false"/>
        <w:tabs>
          <w:tab w:val="clear" w:pos="327"/>
          <w:tab w:val="left" w:pos="426" w:leader="none"/>
        </w:tabs>
        <w:spacing w:before="120" w:after="240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327"/>
          <w:tab w:val="left" w:pos="426" w:leader="none"/>
        </w:tabs>
        <w:spacing w:before="120" w:after="240"/>
        <w:contextualSpacing w:val="false"/>
        <w:jc w:val="center"/>
        <w:rPr/>
      </w:pPr>
      <w:r>
        <w:rPr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2. </w:t>
      </w:r>
      <w:r>
        <w:rPr>
          <w:b/>
          <w:bCs/>
          <w:iCs/>
          <w:sz w:val="24"/>
          <w:szCs w:val="24"/>
        </w:rPr>
        <w:t>Требования к продукции</w:t>
      </w:r>
    </w:p>
    <w:p>
      <w:pPr>
        <w:pStyle w:val="Heading4"/>
        <w:numPr>
          <w:ilvl w:val="0"/>
          <w:numId w:val="0"/>
        </w:numPr>
        <w:ind w:left="432" w:hanging="0"/>
        <w:rPr/>
      </w:pPr>
      <w:bookmarkStart w:id="9" w:name="__RefHeading___Toc172817182"/>
      <w:bookmarkEnd w:id="9"/>
      <w:r>
        <w:rPr/>
        <w:t xml:space="preserve">2.1. Требования к объемам и срокам </w:t>
      </w:r>
      <w:r>
        <w:rPr>
          <w:lang w:val="ru-RU"/>
        </w:rPr>
        <w:t>поставки</w:t>
      </w:r>
    </w:p>
    <w:p>
      <w:pPr>
        <w:pStyle w:val="Heading3"/>
        <w:numPr>
          <w:ilvl w:val="0"/>
          <w:numId w:val="0"/>
        </w:numPr>
        <w:ind w:left="1224" w:hanging="0"/>
        <w:rPr/>
      </w:pPr>
      <w:bookmarkStart w:id="10" w:name="__RefHeading___Toc172817183"/>
      <w:bookmarkEnd w:id="10"/>
      <w:r>
        <w:rPr>
          <w:lang w:val="ru-RU"/>
        </w:rPr>
        <w:t>2.1.1. Перечень и объем поставок МТР, работ, услуг</w:t>
      </w:r>
    </w:p>
    <w:p>
      <w:pPr>
        <w:pStyle w:val="Normal"/>
        <w:numPr>
          <w:ilvl w:val="0"/>
          <w:numId w:val="1"/>
        </w:numPr>
        <w:tabs>
          <w:tab w:val="clear" w:pos="327"/>
        </w:tabs>
        <w:spacing w:before="240" w:after="60"/>
        <w:ind w:left="0" w:hanging="0"/>
        <w:contextualSpacing w:val="false"/>
        <w:rPr>
          <w:b/>
          <w:bCs/>
        </w:rPr>
      </w:pPr>
      <w:r>
        <w:rPr>
          <w:b/>
          <w:bCs/>
          <w:sz w:val="24"/>
          <w:szCs w:val="24"/>
        </w:rPr>
        <w:t>Таблица 2</w:t>
      </w:r>
      <w:r>
        <w:rPr>
          <w:b/>
          <w:bCs/>
          <w:sz w:val="24"/>
          <w:szCs w:val="24"/>
          <w:lang w:val="ru-RU"/>
        </w:rPr>
        <w:t>.1.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ru-RU"/>
        </w:rPr>
        <w:t>Перечень и объем выполняемых работ</w:t>
      </w:r>
    </w:p>
    <w:tbl>
      <w:tblPr>
        <w:tblW w:w="9894" w:type="dxa"/>
        <w:jc w:val="left"/>
        <w:tblInd w:w="83" w:type="dxa"/>
        <w:tblLayout w:type="fixed"/>
        <w:tblCellMar>
          <w:top w:w="0" w:type="dxa"/>
          <w:left w:w="83" w:type="dxa"/>
          <w:bottom w:w="0" w:type="dxa"/>
          <w:right w:w="108" w:type="dxa"/>
        </w:tblCellMar>
      </w:tblPr>
      <w:tblGrid>
        <w:gridCol w:w="918"/>
        <w:gridCol w:w="6148"/>
        <w:gridCol w:w="1422"/>
        <w:gridCol w:w="1405"/>
      </w:tblGrid>
      <w:tr>
        <w:trPr>
          <w:tblHeader w:val="true"/>
        </w:trPr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blHeader w:val="true"/>
        </w:trPr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40"/>
              <w:widowControl w:val="false"/>
              <w:numPr>
                <w:ilvl w:val="0"/>
                <w:numId w:val="1"/>
              </w:numPr>
              <w:snapToGrid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</w:t>
            </w:r>
          </w:p>
        </w:tc>
        <w:tc>
          <w:tcPr>
            <w:tcW w:w="6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Строительно-монтажные работы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9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40"/>
              <w:widowControl w:val="false"/>
              <w:numPr>
                <w:ilvl w:val="0"/>
                <w:numId w:val="1"/>
              </w:numPr>
              <w:snapToGrid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1.1</w:t>
            </w:r>
          </w:p>
        </w:tc>
        <w:tc>
          <w:tcPr>
            <w:tcW w:w="61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before="0" w:after="120"/>
              <w:contextualSpacing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Подготовительные работы:</w:t>
            </w:r>
          </w:p>
          <w:p>
            <w:pPr>
              <w:pStyle w:val="Normal"/>
              <w:widowControl w:val="false"/>
              <w:spacing w:before="0" w:after="120"/>
              <w:contextualSpacing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ознакомление с местом производства работ, разработка календарного графика производства работ, разработка ППР,</w:t>
            </w:r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приобретение и доставка на место производства работ необходимых МТР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</w:t>
            </w:r>
          </w:p>
        </w:tc>
        <w:tc>
          <w:tcPr>
            <w:tcW w:w="14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/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9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40"/>
              <w:widowControl w:val="false"/>
              <w:numPr>
                <w:ilvl w:val="0"/>
                <w:numId w:val="1"/>
              </w:numPr>
              <w:snapToGrid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1.2</w:t>
            </w:r>
          </w:p>
        </w:tc>
        <w:tc>
          <w:tcPr>
            <w:tcW w:w="61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before="0" w:after="120"/>
              <w:contextualSpacing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ru-RU" w:eastAsia="ru-RU" w:bidi="ar-SA"/>
              </w:rPr>
              <w:t>Устройство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железобетонного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фундамента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53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position w:val="0"/>
                <w:sz w:val="24"/>
                <w:sz w:val="24"/>
                <w:szCs w:val="24"/>
                <w:vertAlign w:val="baseline"/>
              </w:rPr>
              <w:t xml:space="preserve">  (м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position w:val="0"/>
                <w:sz w:val="24"/>
                <w:sz w:val="24"/>
                <w:szCs w:val="24"/>
                <w:vertAlign w:val="baseline"/>
              </w:rPr>
              <w:t>)</w:t>
            </w:r>
          </w:p>
        </w:tc>
        <w:tc>
          <w:tcPr>
            <w:tcW w:w="14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5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(14)</w:t>
            </w:r>
          </w:p>
        </w:tc>
      </w:tr>
      <w:tr>
        <w:trPr/>
        <w:tc>
          <w:tcPr>
            <w:tcW w:w="9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40"/>
              <w:widowControl w:val="false"/>
              <w:numPr>
                <w:ilvl w:val="0"/>
                <w:numId w:val="1"/>
              </w:numPr>
              <w:snapToGrid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1.3</w:t>
            </w:r>
          </w:p>
        </w:tc>
        <w:tc>
          <w:tcPr>
            <w:tcW w:w="61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before="0" w:after="120"/>
              <w:contextualSpacing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Монтаж вышки бронированной.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53"/>
              <w:widowControl w:val="false"/>
              <w:jc w:val="center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24"/>
                <w:sz w:val="24"/>
                <w:szCs w:val="24"/>
                <w:vertAlign w:val="baseline"/>
              </w:rPr>
              <w:t>комплект</w:t>
            </w:r>
          </w:p>
        </w:tc>
        <w:tc>
          <w:tcPr>
            <w:tcW w:w="14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5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40"/>
              <w:widowControl w:val="false"/>
              <w:numPr>
                <w:ilvl w:val="0"/>
                <w:numId w:val="1"/>
              </w:numPr>
              <w:snapToGrid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1.4</w:t>
            </w:r>
          </w:p>
        </w:tc>
        <w:tc>
          <w:tcPr>
            <w:tcW w:w="61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before="0" w:after="120"/>
              <w:contextualSpacing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Устройство отмостки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53"/>
              <w:widowControl w:val="false"/>
              <w:jc w:val="center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22"/>
                <w:sz w:val="22"/>
                <w:vertAlign w:val="baseline"/>
              </w:rPr>
              <w:t>м</w:t>
            </w:r>
            <w:r>
              <w:rPr>
                <w:sz w:val="22"/>
                <w:vertAlign w:val="superscript"/>
              </w:rPr>
              <w:t>2</w:t>
            </w:r>
            <w:r>
              <w:rPr>
                <w:position w:val="0"/>
                <w:sz w:val="22"/>
                <w:sz w:val="22"/>
                <w:vertAlign w:val="baseline"/>
              </w:rPr>
              <w:t xml:space="preserve"> /м</w:t>
            </w:r>
            <w:r>
              <w:rPr>
                <w:sz w:val="22"/>
                <w:vertAlign w:val="superscript"/>
              </w:rPr>
              <w:t>3</w:t>
            </w:r>
          </w:p>
        </w:tc>
        <w:tc>
          <w:tcPr>
            <w:tcW w:w="14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5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18,5/1,5</w:t>
            </w:r>
          </w:p>
        </w:tc>
      </w:tr>
      <w:tr>
        <w:trPr/>
        <w:tc>
          <w:tcPr>
            <w:tcW w:w="9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40"/>
              <w:widowControl w:val="false"/>
              <w:numPr>
                <w:ilvl w:val="0"/>
                <w:numId w:val="1"/>
              </w:numPr>
              <w:snapToGrid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1.5</w:t>
            </w:r>
          </w:p>
        </w:tc>
        <w:tc>
          <w:tcPr>
            <w:tcW w:w="61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before="0" w:after="120"/>
              <w:contextualSpacing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Устройство траншеии для прокладки кабеля глубиной 0,9 метра со вскрытием и восстановлением покрытия автодороги.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53"/>
              <w:widowControl w:val="false"/>
              <w:jc w:val="center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position w:val="0"/>
                <w:sz w:val="22"/>
                <w:sz w:val="22"/>
                <w:vertAlign w:val="baseline"/>
              </w:rPr>
              <w:t>м.п.</w:t>
            </w:r>
          </w:p>
        </w:tc>
        <w:tc>
          <w:tcPr>
            <w:tcW w:w="14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5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9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40"/>
              <w:widowControl w:val="false"/>
              <w:numPr>
                <w:ilvl w:val="0"/>
                <w:numId w:val="1"/>
              </w:numPr>
              <w:snapToGrid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61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120"/>
              <w:contextualSpacing w:val="false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Электромонтажные работы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40"/>
              <w:widowControl w:val="false"/>
              <w:numPr>
                <w:ilvl w:val="0"/>
                <w:numId w:val="1"/>
              </w:numPr>
              <w:snapToGrid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2.1</w:t>
            </w:r>
          </w:p>
        </w:tc>
        <w:tc>
          <w:tcPr>
            <w:tcW w:w="61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53"/>
              <w:widowControl w:val="false"/>
              <w:numPr>
                <w:ilvl w:val="0"/>
                <w:numId w:val="1"/>
              </w:numPr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  <w:t>Прокладка и подключение силового кабеля питания броневышки типа ВВГнг-LS 5х10 (материал подрядчика). Кабель прокладывается в металлорукаве в ПВХ изоляции и стальной трубе 100х2 ст.20 ГОСТ 8734-75 (10 метров). Используются материалы подрядчика.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4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9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40"/>
              <w:widowControl w:val="false"/>
              <w:numPr>
                <w:ilvl w:val="0"/>
                <w:numId w:val="1"/>
              </w:numPr>
              <w:snapToGrid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2.2</w:t>
            </w:r>
          </w:p>
        </w:tc>
        <w:tc>
          <w:tcPr>
            <w:tcW w:w="61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53"/>
              <w:widowControl w:val="false"/>
              <w:numPr>
                <w:ilvl w:val="0"/>
                <w:numId w:val="1"/>
              </w:numPr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  <w:t>Устройство заземления поставляемого комплектно с броневышкой заводом-изготовителем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14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40"/>
              <w:widowControl w:val="false"/>
              <w:numPr>
                <w:ilvl w:val="0"/>
                <w:numId w:val="1"/>
              </w:numPr>
              <w:snapToGrid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2.3</w:t>
            </w:r>
          </w:p>
        </w:tc>
        <w:tc>
          <w:tcPr>
            <w:tcW w:w="61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53"/>
              <w:widowControl w:val="false"/>
              <w:numPr>
                <w:ilvl w:val="0"/>
                <w:numId w:val="1"/>
              </w:numPr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  <w:t>Монтаж и подключение эл.оборудования и внутренней эл.разводки броневышки поставляемой комплектно с броневышкой заводом-изготовителем.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14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40"/>
              <w:widowControl w:val="false"/>
              <w:numPr>
                <w:ilvl w:val="0"/>
                <w:numId w:val="1"/>
              </w:numPr>
              <w:snapToGrid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</w:t>
            </w:r>
          </w:p>
        </w:tc>
        <w:tc>
          <w:tcPr>
            <w:tcW w:w="61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53"/>
              <w:widowControl w:val="false"/>
              <w:numPr>
                <w:ilvl w:val="0"/>
                <w:numId w:val="1"/>
              </w:numPr>
              <w:jc w:val="left"/>
              <w:rPr>
                <w:rFonts w:ascii="Times New Roman" w:hAnsi="Times New Roman" w:eastAsia="Times New Roman" w:cs="Times New Roman"/>
                <w:b/>
                <w:bCs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spacing w:val="-6"/>
                <w:sz w:val="24"/>
                <w:szCs w:val="24"/>
                <w:lang w:val="ru-RU" w:eastAsia="zh-CN" w:bidi="ar-SA"/>
              </w:rPr>
              <w:t>Работы по связи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40"/>
              <w:widowControl w:val="false"/>
              <w:numPr>
                <w:ilvl w:val="0"/>
                <w:numId w:val="1"/>
              </w:numPr>
              <w:snapToGrid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3.1</w:t>
            </w:r>
          </w:p>
        </w:tc>
        <w:tc>
          <w:tcPr>
            <w:tcW w:w="61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53"/>
              <w:widowControl w:val="false"/>
              <w:numPr>
                <w:ilvl w:val="0"/>
                <w:numId w:val="1"/>
              </w:numPr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  <w:t>Прокладка  и  подключение кабеля  связи (материал поставщика) Кабель прокладывается в  гофре.</w:t>
            </w:r>
          </w:p>
          <w:p>
            <w:pPr>
              <w:pStyle w:val="Style53"/>
              <w:widowControl w:val="false"/>
              <w:numPr>
                <w:ilvl w:val="0"/>
                <w:numId w:val="1"/>
              </w:numPr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  <w:t>Кабель витая пара UTP (U/UTP), категория 5e, 4 пары (24 AWG), одножильный, PVC нг(А)-LS. Труба  гофрированная, для уличной прокладки, D10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4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</w:tbl>
    <w:p>
      <w:pPr>
        <w:pStyle w:val="Heading1"/>
        <w:numPr>
          <w:ilvl w:val="0"/>
          <w:numId w:val="1"/>
        </w:numPr>
        <w:tabs>
          <w:tab w:val="clear" w:pos="327"/>
        </w:tabs>
        <w:spacing w:before="240" w:after="60"/>
        <w:ind w:left="0" w:hanging="0"/>
        <w:rPr/>
      </w:pPr>
      <w:bookmarkStart w:id="11" w:name="__RefHeading___Toc172817184"/>
      <w:bookmarkEnd w:id="11"/>
      <w:r>
        <w:rPr>
          <w:sz w:val="24"/>
          <w:szCs w:val="24"/>
        </w:rPr>
        <w:t>Таблица 2</w:t>
      </w:r>
      <w:r>
        <w:rPr>
          <w:sz w:val="24"/>
          <w:szCs w:val="24"/>
          <w:lang w:val="ru-RU"/>
        </w:rPr>
        <w:t>.2.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объем закупаемой МТР</w:t>
      </w:r>
    </w:p>
    <w:tbl>
      <w:tblPr>
        <w:tblW w:w="9894" w:type="dxa"/>
        <w:jc w:val="left"/>
        <w:tblInd w:w="83" w:type="dxa"/>
        <w:tblLayout w:type="fixed"/>
        <w:tblCellMar>
          <w:top w:w="0" w:type="dxa"/>
          <w:left w:w="83" w:type="dxa"/>
          <w:bottom w:w="0" w:type="dxa"/>
          <w:right w:w="108" w:type="dxa"/>
        </w:tblCellMar>
      </w:tblPr>
      <w:tblGrid>
        <w:gridCol w:w="918"/>
        <w:gridCol w:w="6148"/>
        <w:gridCol w:w="1422"/>
        <w:gridCol w:w="1405"/>
      </w:tblGrid>
      <w:tr>
        <w:trPr>
          <w:tblHeader w:val="true"/>
        </w:trPr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blHeader w:val="true"/>
        </w:trPr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40"/>
              <w:widowControl w:val="false"/>
              <w:numPr>
                <w:ilvl w:val="0"/>
                <w:numId w:val="0"/>
              </w:numPr>
              <w:snapToGrid w:val="false"/>
              <w:ind w:left="360" w:hanging="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1.1</w:t>
            </w:r>
          </w:p>
        </w:tc>
        <w:tc>
          <w:tcPr>
            <w:tcW w:w="6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53"/>
              <w:widowControl w:val="false"/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  <w:t xml:space="preserve">Вышка наблюдательная БР4 </w:t>
            </w:r>
            <w:r>
              <w:rPr>
                <w:rFonts w:eastAsia="Calibri" w:cs="Times New Roman"/>
                <w:b w:val="false"/>
                <w:bCs w:val="false"/>
                <w:color w:val="000000"/>
                <w:spacing w:val="-6"/>
                <w:sz w:val="24"/>
                <w:szCs w:val="24"/>
                <w:lang w:val="ru-RU" w:eastAsia="ru-RU" w:bidi="ar-SA"/>
              </w:rPr>
              <w:t>(ДАБР.1202.00.00)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>
      <w:pPr>
        <w:pStyle w:val="Normal"/>
        <w:ind w:left="57" w:firstLine="5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Heading3"/>
        <w:numPr>
          <w:ilvl w:val="0"/>
          <w:numId w:val="0"/>
        </w:numPr>
        <w:ind w:left="1224" w:hanging="0"/>
        <w:rPr>
          <w:lang w:val="ru-RU"/>
        </w:rPr>
      </w:pPr>
      <w:bookmarkStart w:id="12" w:name="__RefHeading___Toc172817185"/>
      <w:bookmarkEnd w:id="12"/>
      <w:r>
        <w:rPr>
          <w:lang w:val="ru-RU"/>
        </w:rPr>
        <w:t>2.1.2. Требования к срокам поставки продукции и оказания сопутствующих услуг</w:t>
      </w:r>
    </w:p>
    <w:p>
      <w:pPr>
        <w:pStyle w:val="Heading1"/>
        <w:numPr>
          <w:ilvl w:val="0"/>
          <w:numId w:val="1"/>
        </w:numPr>
        <w:ind w:left="0" w:hanging="0"/>
        <w:rPr>
          <w:rStyle w:val="Style15"/>
          <w:b/>
          <w:i w:val="false"/>
          <w:i w:val="false"/>
          <w:sz w:val="24"/>
          <w:szCs w:val="24"/>
          <w:shd w:fill="auto" w:val="clear"/>
          <w:lang w:val="ru-RU"/>
        </w:rPr>
      </w:pPr>
      <w:bookmarkStart w:id="13" w:name="_Toc51339697"/>
      <w:bookmarkStart w:id="14" w:name="_Toc501251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5" w:name="_Hlk50465284_Копия_1"/>
      <w:r>
        <w:rPr>
          <w:sz w:val="24"/>
          <w:szCs w:val="24"/>
        </w:rPr>
        <w:t xml:space="preserve">Требования </w:t>
      </w:r>
      <w:bookmarkEnd w:id="13"/>
      <w:bookmarkEnd w:id="14"/>
      <w:bookmarkEnd w:id="15"/>
      <w:r>
        <w:rPr>
          <w:sz w:val="24"/>
          <w:szCs w:val="24"/>
          <w:lang w:val="ru-RU"/>
        </w:rPr>
        <w:t>по срокам выполнения работ</w:t>
      </w:r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1"/>
        <w:gridCol w:w="2605"/>
        <w:gridCol w:w="3270"/>
        <w:gridCol w:w="3261"/>
      </w:tblGrid>
      <w:tr>
        <w:trPr/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работ / услуг </w:t>
              <w:br/>
              <w:t>(вид / этап (работ/ услуг)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7"/>
              <w:keepNext w:val="false"/>
              <w:widowControl w:val="false"/>
              <w:numPr>
                <w:ilvl w:val="0"/>
                <w:numId w:val="1"/>
              </w:numPr>
              <w:spacing w:before="40" w:after="40"/>
              <w:ind w:left="57" w:right="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 / оказания услуг (этапа работ / услуг)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7"/>
              <w:keepNext w:val="false"/>
              <w:widowControl w:val="false"/>
              <w:numPr>
                <w:ilvl w:val="0"/>
                <w:numId w:val="1"/>
              </w:numPr>
              <w:spacing w:before="40" w:after="40"/>
              <w:ind w:left="57" w:right="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 / оказания услуг (этапа работ / услуг)</w:t>
            </w:r>
          </w:p>
        </w:tc>
      </w:tr>
      <w:tr>
        <w:trPr/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7"/>
              <w:keepNext w:val="false"/>
              <w:widowControl w:val="false"/>
              <w:numPr>
                <w:ilvl w:val="0"/>
                <w:numId w:val="1"/>
              </w:numPr>
              <w:spacing w:before="40" w:after="40"/>
              <w:ind w:left="57" w:right="57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7"/>
              <w:keepNext w:val="false"/>
              <w:widowControl w:val="false"/>
              <w:numPr>
                <w:ilvl w:val="0"/>
                <w:numId w:val="1"/>
              </w:numPr>
              <w:spacing w:before="40" w:after="40"/>
              <w:ind w:left="57" w:right="57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rPr/>
            </w:pPr>
            <w:r>
              <w:rPr/>
              <w:t>1.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53"/>
              <w:widowControl w:val="false"/>
              <w:numPr>
                <w:ilvl w:val="0"/>
                <w:numId w:val="1"/>
              </w:numPr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  <w:t xml:space="preserve">Подготовка фундамента для монтажа вышки наблюдательной БР4 </w:t>
            </w:r>
            <w:r>
              <w:rPr>
                <w:rFonts w:eastAsia="Calibri" w:cs="Times New Roman"/>
                <w:b w:val="false"/>
                <w:bCs w:val="false"/>
                <w:color w:val="000000"/>
                <w:spacing w:val="-6"/>
                <w:sz w:val="24"/>
                <w:szCs w:val="24"/>
                <w:lang w:val="ru-RU" w:eastAsia="ru-RU" w:bidi="ar-SA"/>
              </w:rPr>
              <w:t>(ДАБР.1202.00.00)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>
                <w:rStyle w:val="Style15"/>
                <w:bCs/>
                <w:i w:val="false"/>
                <w:iCs/>
                <w:color w:val="000000"/>
                <w:sz w:val="24"/>
                <w:szCs w:val="24"/>
                <w:shd w:fill="FFFFFF" w:val="clear"/>
              </w:rPr>
              <w:t>С даты, следующей за датой подписания договора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>
                <w:rStyle w:val="Style15"/>
                <w:i w:val="false"/>
                <w:color w:val="000000"/>
                <w:sz w:val="24"/>
                <w:szCs w:val="24"/>
                <w:shd w:fill="FFFFFF" w:val="clear"/>
              </w:rPr>
              <w:t>В течении 30 календарных дней с даты подписания договора</w:t>
            </w:r>
          </w:p>
        </w:tc>
      </w:tr>
      <w:tr>
        <w:trPr/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rPr/>
            </w:pPr>
            <w:r>
              <w:rPr/>
              <w:t>2.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53"/>
              <w:widowControl w:val="false"/>
              <w:numPr>
                <w:ilvl w:val="0"/>
                <w:numId w:val="1"/>
              </w:numPr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  <w:t xml:space="preserve">Выполнение монтажа, наладки оборудования вышки наблюдательной БР4 </w:t>
            </w:r>
            <w:r>
              <w:rPr>
                <w:rFonts w:eastAsia="Calibri" w:cs="Times New Roman"/>
                <w:b w:val="false"/>
                <w:bCs w:val="false"/>
                <w:color w:val="000000"/>
                <w:spacing w:val="-6"/>
                <w:sz w:val="24"/>
                <w:szCs w:val="24"/>
                <w:lang w:val="ru-RU" w:eastAsia="ru-RU" w:bidi="ar-SA"/>
              </w:rPr>
              <w:t>(ДАБР.1202.00.00)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датой поставки продукции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/>
            </w:pPr>
            <w:r>
              <w:rPr>
                <w:rStyle w:val="Style15"/>
                <w:i w:val="false"/>
                <w:color w:val="000000"/>
                <w:sz w:val="24"/>
                <w:szCs w:val="24"/>
                <w:shd w:fill="FFFFFF" w:val="clear"/>
              </w:rPr>
              <w:t>В течении 20 календарных дней с даты начала монтажных работ</w:t>
            </w:r>
          </w:p>
        </w:tc>
      </w:tr>
    </w:tbl>
    <w:p>
      <w:pPr>
        <w:pStyle w:val="Heading1"/>
        <w:numPr>
          <w:ilvl w:val="0"/>
          <w:numId w:val="1"/>
        </w:numPr>
        <w:tabs>
          <w:tab w:val="clear" w:pos="327"/>
        </w:tabs>
        <w:spacing w:before="240" w:after="60"/>
        <w:ind w:left="0" w:hanging="0"/>
        <w:rPr>
          <w:lang w:val="ru-RU"/>
        </w:rPr>
      </w:pPr>
      <w:bookmarkStart w:id="16" w:name="__RefHeading___Toc172817186"/>
      <w:bookmarkEnd w:id="1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</w:t>
      </w:r>
      <w:bookmarkStart w:id="17" w:name="_Hlk50465284"/>
      <w:r>
        <w:rPr>
          <w:sz w:val="24"/>
          <w:szCs w:val="24"/>
        </w:rPr>
        <w:t xml:space="preserve">Требования по срокам </w:t>
      </w:r>
      <w:bookmarkEnd w:id="17"/>
      <w:r>
        <w:rPr>
          <w:sz w:val="24"/>
          <w:szCs w:val="24"/>
          <w:lang w:val="ru-RU"/>
        </w:rPr>
        <w:t xml:space="preserve">поставки продукции </w:t>
      </w:r>
    </w:p>
    <w:tbl>
      <w:tblPr>
        <w:tblW w:w="9776" w:type="dxa"/>
        <w:jc w:val="left"/>
        <w:tblInd w:w="63" w:type="dxa"/>
        <w:tblLayout w:type="fixed"/>
        <w:tblCellMar>
          <w:top w:w="0" w:type="dxa"/>
          <w:left w:w="83" w:type="dxa"/>
          <w:bottom w:w="0" w:type="dxa"/>
          <w:right w:w="108" w:type="dxa"/>
        </w:tblCellMar>
      </w:tblPr>
      <w:tblGrid>
        <w:gridCol w:w="785"/>
        <w:gridCol w:w="3804"/>
        <w:gridCol w:w="2557"/>
        <w:gridCol w:w="2629"/>
      </w:tblGrid>
      <w:tr>
        <w:trPr>
          <w:tblHeader w:val="true"/>
        </w:trPr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blHeader w:val="true"/>
        </w:trPr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4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4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40"/>
              <w:widowControl w:val="false"/>
              <w:numPr>
                <w:ilvl w:val="0"/>
                <w:numId w:val="4"/>
              </w:numPr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53"/>
              <w:widowControl w:val="false"/>
              <w:numPr>
                <w:ilvl w:val="0"/>
                <w:numId w:val="1"/>
              </w:numPr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pacing w:val="-6"/>
                <w:sz w:val="24"/>
                <w:szCs w:val="24"/>
                <w:shd w:fill="FFFFFF" w:val="clear"/>
                <w:lang w:val="ru-RU" w:eastAsia="zh-CN" w:bidi="ar-SA"/>
              </w:rPr>
              <w:t xml:space="preserve">Поставка вышки наблюдательной БР4 </w:t>
            </w:r>
            <w:r>
              <w:rPr>
                <w:rFonts w:eastAsia="Calibri" w:cs="Times New Roman"/>
                <w:b w:val="false"/>
                <w:bCs w:val="false"/>
                <w:color w:val="000000"/>
                <w:spacing w:val="-6"/>
                <w:sz w:val="24"/>
                <w:szCs w:val="24"/>
                <w:shd w:fill="FFFFFF" w:val="clear"/>
                <w:lang w:val="ru-RU" w:eastAsia="ru-RU" w:bidi="ar-SA"/>
              </w:rPr>
              <w:t>(ДАБР.1202.00.00)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rStyle w:val="Style15"/>
                <w:bCs/>
                <w:i w:val="false"/>
                <w:iCs/>
                <w:color w:val="000000"/>
                <w:sz w:val="24"/>
                <w:szCs w:val="24"/>
                <w:shd w:fill="FFFFFF" w:val="clear"/>
              </w:rPr>
              <w:t>С даты, следующей за датой подписания договора</w:t>
            </w: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5"/>
                <w:i w:val="false"/>
                <w:color w:val="000000"/>
                <w:sz w:val="24"/>
                <w:szCs w:val="24"/>
                <w:shd w:fill="FFFFFF" w:val="clear"/>
              </w:rPr>
              <w:t>В течении 60 рабочих дней с даты подписания договора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0"/>
          <w:numId w:val="0"/>
        </w:numPr>
        <w:ind w:left="432" w:hanging="0"/>
        <w:rPr>
          <w:color w:val="000000"/>
        </w:rPr>
      </w:pPr>
      <w:bookmarkStart w:id="18" w:name="__RefHeading___Toc172817187"/>
      <w:bookmarkEnd w:id="18"/>
      <w:r>
        <w:rPr>
          <w:color w:val="000000"/>
        </w:rPr>
        <w:t xml:space="preserve">2.2. Требования к </w:t>
      </w:r>
      <w:r>
        <w:rPr>
          <w:color w:val="000000"/>
          <w:lang w:val="ru-RU"/>
        </w:rPr>
        <w:t>качеству продукции</w:t>
      </w:r>
    </w:p>
    <w:p>
      <w:pPr>
        <w:pStyle w:val="Heading1"/>
        <w:keepLines/>
        <w:numPr>
          <w:ilvl w:val="0"/>
          <w:numId w:val="1"/>
        </w:numPr>
        <w:tabs>
          <w:tab w:val="clear" w:pos="327"/>
        </w:tabs>
        <w:spacing w:before="240" w:after="60"/>
        <w:ind w:left="0" w:hanging="0"/>
        <w:rPr>
          <w:color w:val="000000"/>
        </w:rPr>
      </w:pPr>
      <w:r>
        <w:rPr>
          <w:rFonts w:eastAsia="Times New Roman"/>
          <w:color w:val="000000"/>
          <w:sz w:val="24"/>
          <w:szCs w:val="24"/>
        </w:rPr>
        <w:t xml:space="preserve"> </w:t>
      </w:r>
      <w:bookmarkStart w:id="19" w:name="__RefHeading___Toc172817188"/>
      <w:r>
        <w:rPr>
          <w:color w:val="000000"/>
          <w:sz w:val="24"/>
          <w:szCs w:val="24"/>
        </w:rPr>
        <w:t>Таблица </w:t>
      </w:r>
      <w:r>
        <w:rPr>
          <w:color w:val="000000"/>
          <w:sz w:val="24"/>
          <w:szCs w:val="24"/>
          <w:lang w:val="ru-RU"/>
        </w:rPr>
        <w:t>4</w:t>
      </w:r>
      <w:r>
        <w:rPr>
          <w:color w:val="000000"/>
          <w:sz w:val="24"/>
          <w:szCs w:val="24"/>
        </w:rPr>
        <w:t xml:space="preserve">. Требования к </w:t>
      </w:r>
      <w:r>
        <w:rPr>
          <w:color w:val="000000"/>
          <w:sz w:val="24"/>
          <w:szCs w:val="24"/>
          <w:lang w:val="ru-RU"/>
        </w:rPr>
        <w:t>продукции</w:t>
      </w:r>
      <w:bookmarkEnd w:id="19"/>
      <w:r>
        <w:rPr>
          <w:color w:val="000000"/>
          <w:sz w:val="24"/>
          <w:szCs w:val="24"/>
        </w:rPr>
        <w:t xml:space="preserve"> </w:t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tbl>
      <w:tblPr>
        <w:tblW w:w="15309" w:type="dxa"/>
        <w:jc w:val="left"/>
        <w:tblInd w:w="58" w:type="dxa"/>
        <w:tblLayout w:type="fixed"/>
        <w:tblCellMar>
          <w:top w:w="0" w:type="dxa"/>
          <w:left w:w="83" w:type="dxa"/>
          <w:bottom w:w="0" w:type="dxa"/>
          <w:right w:w="108" w:type="dxa"/>
        </w:tblCellMar>
      </w:tblPr>
      <w:tblGrid>
        <w:gridCol w:w="875"/>
        <w:gridCol w:w="3068"/>
        <w:gridCol w:w="5066"/>
        <w:gridCol w:w="1843"/>
        <w:gridCol w:w="1932"/>
        <w:gridCol w:w="2524"/>
      </w:tblGrid>
      <w:tr>
        <w:trPr/>
        <w:tc>
          <w:tcPr>
            <w:tcW w:w="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0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0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numPr>
                <w:ilvl w:val="0"/>
                <w:numId w:val="2"/>
              </w:numPr>
              <w:snapToGrid w:val="false"/>
              <w:spacing w:before="60" w:after="6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8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выполнению работ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numPr>
                <w:ilvl w:val="0"/>
                <w:numId w:val="0"/>
              </w:numPr>
              <w:suppressAutoHyphens w:val="true"/>
              <w:bidi w:val="0"/>
              <w:snapToGrid w:val="false"/>
              <w:spacing w:before="60" w:after="60"/>
              <w:ind w:left="113" w:right="0" w:hanging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1.1.</w:t>
            </w:r>
          </w:p>
        </w:tc>
        <w:tc>
          <w:tcPr>
            <w:tcW w:w="8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и технологиям выполнения работ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numPr>
                <w:ilvl w:val="0"/>
                <w:numId w:val="0"/>
              </w:numPr>
              <w:suppressAutoHyphens w:val="true"/>
              <w:bidi w:val="0"/>
              <w:snapToGrid w:val="false"/>
              <w:spacing w:before="60" w:after="60"/>
              <w:ind w:left="113" w:right="0" w:hanging="0"/>
              <w:contextualSpacing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1.1.1.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Объем работ</w:t>
            </w:r>
          </w:p>
        </w:tc>
        <w:tc>
          <w:tcPr>
            <w:tcW w:w="5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3"/>
              <w:widowControl w:val="false"/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  <w:t xml:space="preserve">Произвести монтаж, наладку оборудования поставленной броневышки </w:t>
            </w:r>
            <w:r>
              <w:rPr>
                <w:rFonts w:eastAsia="Calibri" w:cs="Times New Roman"/>
                <w:color w:val="00000A"/>
                <w:spacing w:val="-6"/>
                <w:sz w:val="24"/>
                <w:szCs w:val="24"/>
                <w:lang w:val="ru-RU" w:eastAsia="ru-RU" w:bidi="ar-SA"/>
              </w:rPr>
              <w:t>(в районе пикета 3 левобережной  ограждающей дамбы со стороны ВБ (около поста № 13)</w:t>
            </w:r>
            <w:r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  <w:t xml:space="preserve"> в соответствии с:</w:t>
            </w:r>
          </w:p>
          <w:p>
            <w:pPr>
              <w:pStyle w:val="Style53"/>
              <w:widowControl w:val="false"/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  <w:t>- инструкцией по монтажу, пуску, регулированию и обкатке изделия (ДАБР.1202.00.000 ИМ) (приложение № 1 к настоящим ТТ);</w:t>
            </w:r>
          </w:p>
          <w:p>
            <w:pPr>
              <w:pStyle w:val="Style53"/>
              <w:widowControl w:val="false"/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  <w:t>- техническими решениями РД 2061-60-010 в части устройства фундамента с изменениями, согласованными с АО «Институт Гидропроект» (приложение № 2 к настоящим ТТ).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  <w:t>Согласие с требованием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numPr>
                <w:ilvl w:val="0"/>
                <w:numId w:val="0"/>
              </w:numPr>
              <w:suppressAutoHyphens w:val="true"/>
              <w:bidi w:val="0"/>
              <w:snapToGrid w:val="false"/>
              <w:spacing w:before="60" w:after="60"/>
              <w:ind w:left="113" w:right="0" w:hanging="0"/>
              <w:contextualSpacing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40"/>
              <w:widowControl w:val="false"/>
              <w:numPr>
                <w:ilvl w:val="0"/>
                <w:numId w:val="0"/>
              </w:numPr>
              <w:suppressAutoHyphens w:val="true"/>
              <w:bidi w:val="0"/>
              <w:snapToGrid w:val="false"/>
              <w:spacing w:before="60" w:after="60"/>
              <w:ind w:left="113" w:right="0" w:hanging="0"/>
              <w:contextualSpacing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1.1.2.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5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3"/>
              <w:widowControl w:val="false"/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 xml:space="preserve">    • </w:t>
            </w: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>Закон РФ от 10.01.2002 № 7-ФЗ «Об охране окружающей среды»</w:t>
            </w:r>
          </w:p>
          <w:p>
            <w:pPr>
              <w:pStyle w:val="Style53"/>
              <w:widowControl w:val="false"/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 xml:space="preserve">    • </w:t>
            </w: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>Федеральный закон от 30.12.2009 №384-ФЗ «Технический регламент о безопасности зданий и сооружений» ;</w:t>
            </w:r>
          </w:p>
          <w:p>
            <w:pPr>
              <w:pStyle w:val="Style53"/>
              <w:widowControl w:val="false"/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 xml:space="preserve">    • </w:t>
            </w: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>Федеральный закон от 22 июля 2008 г. N 123-ФЗ "Технический регламент о требованиях пожарной безопасности" (с изменениями и дополнениями);</w:t>
            </w:r>
          </w:p>
          <w:p>
            <w:pPr>
              <w:pStyle w:val="Style53"/>
              <w:widowControl w:val="false"/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 xml:space="preserve">    • </w:t>
            </w: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>Постановление Правительства РФ от 16.09.2020г. (с изменениями от 21.05.2021г.) Об утверждении Правил противопожарного режима в Российской Федерации;</w:t>
            </w:r>
          </w:p>
          <w:p>
            <w:pPr>
              <w:pStyle w:val="Style53"/>
              <w:widowControl w:val="false"/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 xml:space="preserve">    • </w:t>
            </w: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>РД 153.-34.0-03.301-00 (ВППБ 01-02-95) «Правила пожарной безопасности для энергетических предприятий»;</w:t>
            </w:r>
          </w:p>
          <w:p>
            <w:pPr>
              <w:pStyle w:val="Style53"/>
              <w:widowControl w:val="false"/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 xml:space="preserve">    • </w:t>
            </w: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>Приказ Минтруда №883н от 11.12.2020г. “Об утверждении правил по охране труда при строительстве, реконструкции и ремонте”;</w:t>
            </w:r>
          </w:p>
          <w:p>
            <w:pPr>
              <w:pStyle w:val="Style53"/>
              <w:widowControl w:val="false"/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 xml:space="preserve">    • </w:t>
            </w: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>Приказ Министерства труда и социальной защиты РФ от 27 ноября 2020 г. N 835н "Об утверждении Правил по охране труда при работе с инструментом и приспособлениями";</w:t>
            </w:r>
          </w:p>
          <w:p>
            <w:pPr>
              <w:pStyle w:val="Style53"/>
              <w:widowControl w:val="false"/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 xml:space="preserve">    • </w:t>
            </w: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>«Правил по охране труда в строительстве, реконструкции и ремонте» утв. приказом Минтруда России от 11.12.2020г. №883н;</w:t>
            </w:r>
          </w:p>
          <w:p>
            <w:pPr>
              <w:pStyle w:val="Style53"/>
              <w:widowControl w:val="false"/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 xml:space="preserve">    • </w:t>
            </w: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>«Правил по охране труда при работе на высоте» утв. приказом Минтруда России от 16.11.2020 № 782н</w:t>
            </w:r>
          </w:p>
          <w:p>
            <w:pPr>
              <w:pStyle w:val="Style53"/>
              <w:widowControl w:val="false"/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 xml:space="preserve">    • </w:t>
            </w: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>«Правил по охране труда при эксплуатации электроустановок» утв. приказом Минтруда России от 15.12.2020 № 903н</w:t>
            </w:r>
          </w:p>
          <w:p>
            <w:pPr>
              <w:pStyle w:val="Style53"/>
              <w:widowControl w:val="false"/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lang w:val="ru-RU" w:eastAsia="zh-CN" w:bidi="ar-SA"/>
              </w:rPr>
              <w:t>Если на момент прочтения указанные выше документы утратили силу - пользоваться актуальными редакциями заменяющих их документов.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  <w:t>Согласие с требованием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uppressAutoHyphens w:val="true"/>
              <w:bidi w:val="0"/>
              <w:snapToGrid w:val="false"/>
              <w:spacing w:before="60" w:after="60"/>
              <w:ind w:left="737" w:right="0" w:hanging="567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1.2.</w:t>
            </w:r>
          </w:p>
        </w:tc>
        <w:tc>
          <w:tcPr>
            <w:tcW w:w="8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contextualSpacing w:val="false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организации работ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uppressAutoHyphens w:val="true"/>
              <w:bidi w:val="0"/>
              <w:snapToGrid w:val="false"/>
              <w:spacing w:before="60" w:after="60"/>
              <w:ind w:left="624" w:right="0" w:hanging="567"/>
              <w:contextualSpacing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1.2.1.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5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57" w:right="0" w:hanging="0"/>
              <w:contextualSpacing w:val="false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  <w:t>- Регламент процесса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57" w:right="0" w:hanging="0"/>
              <w:contextualSpacing w:val="false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  <w:t>«Допуск персонала подрядных организаций на объекты ПАО «РусГидро»</w:t>
            </w:r>
            <w:r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  <w:t xml:space="preserve"> (Приложение № 3 к настоящим ТТ);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57" w:right="0" w:hanging="0"/>
              <w:contextualSpacing w:val="false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  <w:t>- Положение о пропускном и внутриобъектовом режимах филиала ПАО «РусГидро» - «Саратовская ГЭС» (Приложение № 4 к настоящим ТТ);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A"/>
                <w:spacing w:val="-6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pacing w:val="-6"/>
                <w:lang w:val="ru-RU" w:eastAsia="zh-CN" w:bidi="ar-SA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  <w:t>Согласие с требованием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contextualSpacing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1.2.2.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327"/>
                <w:tab w:val="left" w:pos="426" w:leader="none"/>
              </w:tabs>
              <w:spacing w:before="60" w:after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Разработка и согласование проекта производства работ (ППР)</w:t>
            </w:r>
          </w:p>
        </w:tc>
        <w:tc>
          <w:tcPr>
            <w:tcW w:w="5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327"/>
                <w:tab w:val="left" w:pos="426" w:leader="none"/>
              </w:tabs>
              <w:spacing w:before="60" w:after="0"/>
              <w:contextualSpacing/>
              <w:rPr/>
            </w:pPr>
            <w:r>
              <w:rPr>
                <w:iCs/>
                <w:sz w:val="24"/>
                <w:szCs w:val="24"/>
              </w:rPr>
              <w:t>ППР необходимо разработать в соответствии с «Методические указания. Проект производства работ для ремонта энергетического оборудования электростанций. Требования к составу, содержанию и оформлению. СО 34.20.608-2003 (РД 153-34.0-20.608-2003)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iCs/>
                <w:sz w:val="24"/>
                <w:szCs w:val="24"/>
              </w:rPr>
              <w:t>и согласовать со службами Филиала не менее чем за 10 дней до начала производства работ.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uppressAutoHyphens w:val="true"/>
              <w:bidi w:val="0"/>
              <w:snapToGrid w:val="false"/>
              <w:spacing w:before="60" w:after="60"/>
              <w:ind w:left="737" w:right="0" w:hanging="567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1.3.</w:t>
            </w:r>
          </w:p>
        </w:tc>
        <w:tc>
          <w:tcPr>
            <w:tcW w:w="8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выполнении работ оборудованию и материалам, технологиям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uppressAutoHyphens w:val="true"/>
              <w:bidi w:val="0"/>
              <w:snapToGrid w:val="false"/>
              <w:spacing w:before="60" w:after="60"/>
              <w:ind w:left="737" w:right="0" w:hanging="624"/>
              <w:contextualSpacing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1.3.1.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Требования к используемым оборудованию и материалам</w:t>
            </w:r>
          </w:p>
        </w:tc>
        <w:tc>
          <w:tcPr>
            <w:tcW w:w="5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4"/>
                <w:szCs w:val="24"/>
              </w:rPr>
              <w:t>Все используемые Подрядчиком материалы, указанные в таблице № 2.2, должны иметь сертификаты (сертификат соответствия) и паспорта качества.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4"/>
                <w:szCs w:val="24"/>
              </w:rPr>
              <w:t>Все поставляемые и применяемые оборудование и материалы должны быть новыми, ранее не использованными, не бывшими в употреблении, не восстановленным после ремонта, не выставочным экземпляром.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sz w:val="24"/>
                <w:szCs w:val="24"/>
              </w:rPr>
              <w:t>Поставляемое оборудование должно иметь заводскую сборку.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hanging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1.4.</w:t>
            </w:r>
          </w:p>
        </w:tc>
        <w:tc>
          <w:tcPr>
            <w:tcW w:w="8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60" w:after="0"/>
              <w:contextualSpacing w:val="false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контролю качества работ и материалов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hanging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Style40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hanging="0"/>
              <w:contextualSpacing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1.4.1.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60" w:after="0"/>
              <w:contextualSpacing w:val="false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Контроль качества используемых оборудования и материалов</w:t>
            </w:r>
          </w:p>
        </w:tc>
        <w:tc>
          <w:tcPr>
            <w:tcW w:w="5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left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Подрядчик должен обеспечить входной контроль поступающих материалов и запасных частей, включающий в себя проверку:</w:t>
            </w:r>
          </w:p>
          <w:p>
            <w:pPr>
              <w:pStyle w:val="Normal"/>
              <w:widowControl w:val="false"/>
              <w:ind w:hanging="0"/>
              <w:jc w:val="left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− </w:t>
            </w:r>
            <w:r>
              <w:rPr>
                <w:b w:val="false"/>
                <w:bCs w:val="false"/>
                <w:sz w:val="24"/>
                <w:szCs w:val="24"/>
              </w:rPr>
              <w:t>наличия соответствующих сертификатов и паспортов качества в соответствии с требованиями постановления</w:t>
            </w:r>
          </w:p>
          <w:p>
            <w:pPr>
              <w:pStyle w:val="Normal"/>
              <w:widowControl w:val="false"/>
              <w:ind w:hanging="0"/>
              <w:jc w:val="left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Правительства Российской Федерации от 01.12.2009 N 982 (ред. от 21.02.2018) «Об</w:t>
            </w:r>
          </w:p>
          <w:p>
            <w:pPr>
              <w:pStyle w:val="Normal"/>
              <w:widowControl w:val="false"/>
              <w:ind w:hanging="0"/>
              <w:jc w:val="left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утверждении единого перечня продукции, подлежащей обязательной сертификации»;</w:t>
            </w:r>
          </w:p>
          <w:p>
            <w:pPr>
              <w:pStyle w:val="Normal"/>
              <w:widowControl w:val="false"/>
              <w:ind w:hanging="0"/>
              <w:jc w:val="left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− </w:t>
            </w:r>
            <w:r>
              <w:rPr>
                <w:b w:val="false"/>
                <w:bCs w:val="false"/>
                <w:sz w:val="24"/>
                <w:szCs w:val="24"/>
              </w:rPr>
              <w:t>наличия и надлежащего заполнения документа о качестве и соответствии приведенных в нем данных характеристикам,</w:t>
            </w:r>
          </w:p>
          <w:p>
            <w:pPr>
              <w:pStyle w:val="Normal"/>
              <w:widowControl w:val="false"/>
              <w:ind w:hanging="0"/>
              <w:jc w:val="left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установленным в нормативном документе, регламентирующем технические требования к данной продукции;</w:t>
            </w:r>
          </w:p>
          <w:p>
            <w:pPr>
              <w:pStyle w:val="Normal"/>
              <w:widowControl w:val="false"/>
              <w:ind w:hanging="0"/>
              <w:jc w:val="left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− </w:t>
            </w:r>
            <w:r>
              <w:rPr>
                <w:b w:val="false"/>
                <w:bCs w:val="false"/>
                <w:sz w:val="24"/>
                <w:szCs w:val="24"/>
              </w:rPr>
              <w:t>наличия маркировки, сохранности упаковки, наличия и сохранности защитных и окрасочных покрытий и т.п.;</w:t>
            </w:r>
          </w:p>
          <w:p>
            <w:pPr>
              <w:pStyle w:val="Normal"/>
              <w:widowControl w:val="false"/>
              <w:ind w:hanging="0"/>
              <w:jc w:val="left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− </w:t>
            </w:r>
            <w:r>
              <w:rPr>
                <w:b w:val="false"/>
                <w:bCs w:val="false"/>
                <w:sz w:val="24"/>
                <w:szCs w:val="24"/>
              </w:rPr>
              <w:t>комплектности поставляемых материалов.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A"/>
                <w:spacing w:val="-6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pacing w:val="-6"/>
                <w:lang w:val="ru-RU" w:eastAsia="zh-CN" w:bidi="ar-SA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  <w:t>Согласие с требованием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hanging="0"/>
              <w:contextualSpacing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1.4.2.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327"/>
                <w:tab w:val="left" w:pos="426" w:leader="none"/>
              </w:tabs>
              <w:spacing w:before="60" w:after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Контроль СМР</w:t>
            </w:r>
          </w:p>
        </w:tc>
        <w:tc>
          <w:tcPr>
            <w:tcW w:w="5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327"/>
                <w:tab w:val="left" w:pos="457" w:leader="none"/>
              </w:tabs>
              <w:suppressAutoHyphens w:val="false"/>
              <w:spacing w:before="60" w:after="0"/>
              <w:ind w:left="31" w:hanging="0"/>
              <w:contextualSpacing/>
              <w:jc w:val="both"/>
              <w:rPr/>
            </w:pPr>
            <w:r>
              <w:rPr>
                <w:iCs/>
                <w:sz w:val="24"/>
                <w:szCs w:val="24"/>
              </w:rPr>
              <w:t>Осуществление контроля подрядчиком в соответствии с Постановлением Правительства Российской Федерации № 468 от 21.06.2010 г. с ведением журналов работ и оформлением актов</w:t>
            </w:r>
            <w:r>
              <w:rPr/>
              <w:t xml:space="preserve"> </w:t>
            </w:r>
            <w:r>
              <w:rPr>
                <w:iCs/>
                <w:sz w:val="24"/>
                <w:szCs w:val="24"/>
              </w:rPr>
              <w:t>в соответствии  Приказом Минстроя России от 16.05.2023 N 344/пр "Об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строительства" (Зарегистрировано в Минюсте России 31.05.2023 N 73652)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1.4.3.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327"/>
                <w:tab w:val="left" w:pos="426" w:leader="none"/>
              </w:tabs>
              <w:spacing w:before="60" w:after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Контроль качества работ</w:t>
            </w:r>
          </w:p>
        </w:tc>
        <w:tc>
          <w:tcPr>
            <w:tcW w:w="5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0" w:after="60"/>
              <w:contextualSpacing/>
              <w:rPr/>
            </w:pPr>
            <w:r>
              <w:rPr>
                <w:sz w:val="24"/>
                <w:szCs w:val="24"/>
              </w:rPr>
              <w:t xml:space="preserve">Организацию и проведение контроля качества работ выполнить в соответствии с: СП 76.13330.2016 от 17.06.2017г. </w:t>
            </w:r>
            <w:hyperlink r:id="rId4">
              <w:r>
                <w:rPr>
                  <w:rStyle w:val="Hyperlink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Hyperlink"/>
                  <w:sz w:val="24"/>
                  <w:szCs w:val="24"/>
                </w:rPr>
                <w:t>://</w:t>
              </w:r>
              <w:r>
                <w:rPr>
                  <w:rStyle w:val="Hyperlink"/>
                  <w:sz w:val="24"/>
                  <w:szCs w:val="24"/>
                  <w:lang w:val="en-US"/>
                </w:rPr>
                <w:t>docs</w:t>
              </w:r>
              <w:r>
                <w:rPr>
                  <w:rStyle w:val="Hyperlink"/>
                  <w:sz w:val="24"/>
                  <w:szCs w:val="24"/>
                </w:rPr>
                <w:t>.</w:t>
              </w:r>
              <w:r>
                <w:rPr>
                  <w:rStyle w:val="Hyperlink"/>
                  <w:sz w:val="24"/>
                  <w:szCs w:val="24"/>
                  <w:lang w:val="en-US"/>
                </w:rPr>
                <w:t>cntd</w:t>
              </w:r>
              <w:r>
                <w:rPr>
                  <w:rStyle w:val="Hyperlink"/>
                  <w:sz w:val="24"/>
                  <w:szCs w:val="24"/>
                </w:rPr>
                <w:t>.</w:t>
              </w:r>
              <w:r>
                <w:rPr>
                  <w:rStyle w:val="Hyperlink"/>
                  <w:sz w:val="24"/>
                  <w:szCs w:val="24"/>
                  <w:lang w:val="en-US"/>
                </w:rPr>
                <w:t>ru</w:t>
              </w:r>
              <w:r>
                <w:rPr>
                  <w:rStyle w:val="Hyperlink"/>
                  <w:sz w:val="24"/>
                  <w:szCs w:val="24"/>
                </w:rPr>
                <w:t>/</w:t>
              </w:r>
              <w:r>
                <w:rPr>
                  <w:rStyle w:val="Hyperlink"/>
                  <w:sz w:val="24"/>
                  <w:szCs w:val="24"/>
                  <w:lang w:val="en-US"/>
                </w:rPr>
                <w:t>document</w:t>
              </w:r>
              <w:r>
                <w:rPr>
                  <w:rStyle w:val="Hyperlink"/>
                  <w:sz w:val="24"/>
                  <w:szCs w:val="24"/>
                </w:rPr>
                <w:t>/456050591</w:t>
              </w:r>
            </w:hyperlink>
            <w:r>
              <w:rPr>
                <w:sz w:val="24"/>
                <w:szCs w:val="24"/>
              </w:rPr>
              <w:t>;</w:t>
            </w:r>
          </w:p>
          <w:p>
            <w:pPr>
              <w:pStyle w:val="Standard"/>
              <w:widowControl w:val="false"/>
              <w:spacing w:before="0" w:after="60"/>
              <w:contextualSpacing/>
              <w:rPr/>
            </w:pPr>
            <w:r>
              <w:rPr>
                <w:sz w:val="24"/>
                <w:szCs w:val="24"/>
              </w:rPr>
              <w:t xml:space="preserve">Постановлением Правительства РФ №468 от 21.06.2010г "О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строительства". </w:t>
            </w:r>
            <w:hyperlink r:id="rId5">
              <w:r>
                <w:rPr>
                  <w:rStyle w:val="Hyperlink"/>
                  <w:sz w:val="24"/>
                  <w:szCs w:val="24"/>
                </w:rPr>
                <w:t>https://base.garant.ru/12176727/</w:t>
              </w:r>
            </w:hyperlink>
          </w:p>
          <w:p>
            <w:pPr>
              <w:pStyle w:val="Standard"/>
              <w:widowControl w:val="false"/>
              <w:spacing w:before="0"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также соблюдение требований национальных и межгосударственных стандартов, ТУ, НТД пункта 1.1.2.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hanging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1.5.</w:t>
            </w:r>
          </w:p>
        </w:tc>
        <w:tc>
          <w:tcPr>
            <w:tcW w:w="8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подрядчика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hanging="0"/>
              <w:contextualSpacing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1.5.1.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60" w:after="0"/>
              <w:contextualSpacing w:val="false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Квалификация персонала подрядчика, привлекаемого к выполнению работ</w:t>
            </w:r>
          </w:p>
        </w:tc>
        <w:tc>
          <w:tcPr>
            <w:tcW w:w="5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/>
              <w:jc w:val="left"/>
              <w:rPr>
                <w:iCs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1. Наличие квалифицированного рабочего персонала с группами по электробезопасности для выполнения работ в действующих электроустановках до и выше 1000 В, соответствующий «Правилам по охране труда при эксплуатации электроустановок (Приказ Министерства труда и социальной защиты РФ от 15 декабря 2020 г. № 903н):</w:t>
            </w:r>
          </w:p>
          <w:p>
            <w:pPr>
              <w:pStyle w:val="Normal"/>
              <w:widowControl w:val="false"/>
              <w:ind w:hanging="0"/>
              <w:jc w:val="left"/>
              <w:rPr>
                <w:iCs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- не ниже III группы по электробезопасности (до и выше 1000 В) административно-технический персонал не менее 1 чел;</w:t>
            </w:r>
          </w:p>
          <w:p>
            <w:pPr>
              <w:pStyle w:val="Normal"/>
              <w:widowControl w:val="false"/>
              <w:ind w:hanging="0"/>
              <w:jc w:val="left"/>
              <w:rPr>
                <w:iCs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iCs/>
                <w:sz w:val="24"/>
                <w:szCs w:val="24"/>
              </w:rPr>
              <w:t>- не ниже III группы по электробезопасности - производитель работ, до и выше 1000В не менее 1 чел;</w:t>
            </w:r>
          </w:p>
          <w:p>
            <w:pPr>
              <w:pStyle w:val="Normal"/>
              <w:widowControl w:val="false"/>
              <w:ind w:hanging="0"/>
              <w:jc w:val="left"/>
              <w:rPr>
                <w:iCs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iCs/>
                <w:sz w:val="24"/>
                <w:szCs w:val="24"/>
              </w:rPr>
              <w:t>- не ниже II группы по электробезопасности - члены бригады не менее 2 чел.</w:t>
            </w:r>
          </w:p>
          <w:p>
            <w:pPr>
              <w:pStyle w:val="Normal"/>
              <w:widowControl w:val="false"/>
              <w:ind w:hanging="0"/>
              <w:jc w:val="left"/>
              <w:rPr>
                <w:iCs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2. Наличие в штате или, привлеченного на основании договоров гражданско-правового характера (договор ГПХ)</w:t>
            </w:r>
          </w:p>
          <w:p>
            <w:pPr>
              <w:pStyle w:val="Normal"/>
              <w:widowControl w:val="false"/>
              <w:ind w:hanging="0"/>
              <w:jc w:val="left"/>
              <w:rPr>
                <w:iCs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- Рабочие основных профессий:</w:t>
            </w:r>
          </w:p>
          <w:p>
            <w:pPr>
              <w:pStyle w:val="Normal"/>
              <w:widowControl w:val="false"/>
              <w:ind w:hanging="0"/>
              <w:jc w:val="left"/>
              <w:rPr>
                <w:iCs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-</w:t>
              <w:tab/>
              <w:t>работники 1й, 2й и 3й группы по безопасности работ на высоте согласно приказа № 782н.;</w:t>
            </w:r>
          </w:p>
          <w:p>
            <w:pPr>
              <w:pStyle w:val="Normal"/>
              <w:widowControl w:val="false"/>
              <w:ind w:hanging="0"/>
              <w:jc w:val="left"/>
              <w:rPr>
                <w:iCs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- бетонщики;</w:t>
            </w:r>
          </w:p>
          <w:p>
            <w:pPr>
              <w:pStyle w:val="Normal"/>
              <w:widowControl w:val="false"/>
              <w:ind w:hanging="0"/>
              <w:jc w:val="left"/>
              <w:rPr>
                <w:iCs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- сварщики;</w:t>
            </w:r>
          </w:p>
          <w:p>
            <w:pPr>
              <w:pStyle w:val="Normal"/>
              <w:widowControl w:val="false"/>
              <w:ind w:hanging="0"/>
              <w:jc w:val="left"/>
              <w:rPr>
                <w:iCs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- монтажник по сборке металлоконструкций;</w:t>
            </w:r>
          </w:p>
          <w:p>
            <w:pPr>
              <w:pStyle w:val="Normal"/>
              <w:widowControl w:val="false"/>
              <w:ind w:hanging="0"/>
              <w:jc w:val="left"/>
              <w:rPr>
                <w:iCs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- электрик.</w:t>
            </w:r>
          </w:p>
          <w:p>
            <w:pPr>
              <w:pStyle w:val="Normal"/>
              <w:widowControl w:val="false"/>
              <w:ind w:hanging="0"/>
              <w:jc w:val="left"/>
              <w:rPr>
                <w:iCs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До начала проведения работ в рамках исполнения договора после его заключения Подрядчик должен предоставить список персонала с указанием сведений о квалификации персонала, разряде, с приложением копий удостоверений на производство специальных видов работ. (огневых, грузоподъемных, работ с электро и пневмоинструментом).</w:t>
            </w:r>
          </w:p>
          <w:p>
            <w:pPr>
              <w:pStyle w:val="Normal"/>
              <w:widowControl w:val="false"/>
              <w:ind w:hanging="0"/>
              <w:jc w:val="left"/>
              <w:rPr>
                <w:iCs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Возможно совмещение специальностей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val="ru-RU" w:eastAsia="zh-CN" w:bidi="ar-SA"/>
              </w:rPr>
              <w:t>Согласие с требованием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hanging="0"/>
              <w:contextualSpacing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40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hanging="0"/>
              <w:contextualSpacing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40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hanging="0"/>
              <w:contextualSpacing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1.5.2.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3" w:right="0" w:hanging="0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Требования к персоналу Подрядчика оказывающего услугу, непосредственно связанную с обеспечением безопасности объектов топливно-энергетического комплекса</w:t>
            </w:r>
          </w:p>
        </w:tc>
        <w:tc>
          <w:tcPr>
            <w:tcW w:w="5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i w:val="false"/>
                <w:iCs w:val="false"/>
                <w:sz w:val="22"/>
                <w:szCs w:val="22"/>
              </w:rPr>
              <w:t xml:space="preserve">Соответствие персонала требованиям статьи 10 Федерального закона от 21.07.2011 № 256-ФЗ «О безопасности объектов топливно-энергетического комплекса». В </w:t>
            </w:r>
            <w:r>
              <w:rPr>
                <w:bCs/>
                <w:i w:val="false"/>
                <w:iCs w:val="false"/>
                <w:sz w:val="22"/>
                <w:szCs w:val="22"/>
              </w:rPr>
              <w:t>соответствии</w:t>
            </w:r>
            <w:r>
              <w:rPr>
                <w:i w:val="false"/>
                <w:iCs w:val="false"/>
                <w:sz w:val="22"/>
                <w:szCs w:val="22"/>
              </w:rPr>
              <w:t xml:space="preserve"> с постановлением Правительства РФ от 09.11.2022 № 2011 предоставить сведения не позднее 14 до начала монтажных работ.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hanging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1.6.</w:t>
            </w:r>
          </w:p>
        </w:tc>
        <w:tc>
          <w:tcPr>
            <w:tcW w:w="8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hanging="0"/>
              <w:contextualSpacing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Style40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hanging="0"/>
              <w:contextualSpacing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1.6.1.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Требования к безопасности выполняемых работ</w:t>
            </w:r>
          </w:p>
        </w:tc>
        <w:tc>
          <w:tcPr>
            <w:tcW w:w="5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    </w:t>
            </w:r>
            <w:r>
              <w:rPr>
                <w:b w:val="false"/>
                <w:bCs w:val="false"/>
                <w:sz w:val="24"/>
                <w:szCs w:val="24"/>
              </w:rPr>
              <w:t>1. Подрядчик обязан:</w:t>
            </w:r>
          </w:p>
          <w:p>
            <w:pPr>
              <w:pStyle w:val="Normal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    • </w:t>
            </w:r>
            <w:r>
              <w:rPr>
                <w:b w:val="false"/>
                <w:bCs w:val="false"/>
                <w:sz w:val="24"/>
                <w:szCs w:val="24"/>
              </w:rPr>
              <w:t>направлять на объекты Заказчика работников, обученных правилам безопасного ведения работ и имеющих все необходимые допуски к производству работ,</w:t>
            </w:r>
          </w:p>
          <w:p>
            <w:pPr>
              <w:pStyle w:val="Normal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    • </w:t>
            </w:r>
            <w:r>
              <w:rPr>
                <w:b w:val="false"/>
                <w:bCs w:val="false"/>
                <w:sz w:val="24"/>
                <w:szCs w:val="24"/>
              </w:rPr>
              <w:t>представлять документы на русском языке, подтверждающие аттестацию работников на проведение соответствующих видов работ и имеющих право быть при работах по наряду-допуску и распоряжению ответственными лицами за безопасное ведение работ:</w:t>
            </w:r>
          </w:p>
          <w:p>
            <w:pPr>
              <w:pStyle w:val="Normal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    • </w:t>
            </w:r>
            <w:r>
              <w:rPr>
                <w:b w:val="false"/>
                <w:bCs w:val="false"/>
                <w:sz w:val="24"/>
                <w:szCs w:val="24"/>
              </w:rPr>
              <w:t>- выдающим наряд - не менее 1 человека;</w:t>
            </w:r>
          </w:p>
          <w:p>
            <w:pPr>
              <w:pStyle w:val="Normal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    • </w:t>
            </w:r>
            <w:r>
              <w:rPr>
                <w:b w:val="false"/>
                <w:bCs w:val="false"/>
                <w:sz w:val="24"/>
                <w:szCs w:val="24"/>
              </w:rPr>
              <w:t>- руководителем работ - не менее 1 человека;</w:t>
            </w:r>
          </w:p>
          <w:p>
            <w:pPr>
              <w:pStyle w:val="Normal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    • </w:t>
            </w:r>
            <w:r>
              <w:rPr>
                <w:b w:val="false"/>
                <w:bCs w:val="false"/>
                <w:sz w:val="24"/>
                <w:szCs w:val="24"/>
              </w:rPr>
              <w:t>- производителями работ - не менее 1 человек.</w:t>
            </w:r>
          </w:p>
          <w:p>
            <w:pPr>
              <w:pStyle w:val="Normal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    </w:t>
            </w:r>
            <w:r>
              <w:rPr>
                <w:b w:val="false"/>
                <w:bCs w:val="false"/>
                <w:sz w:val="24"/>
                <w:szCs w:val="24"/>
              </w:rPr>
              <w:t>2. После заключения договора Подрядчик не позднее чем за 10 дней до начала выполнения работ предоставляет следующие документы:</w:t>
            </w:r>
          </w:p>
          <w:p>
            <w:pPr>
              <w:pStyle w:val="Normal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а) копии протоколов о проверке знаний персонала постоянно действующей экзаменационной комиссией (далее – ПДЭК) организации;</w:t>
            </w:r>
          </w:p>
          <w:p>
            <w:pPr>
              <w:pStyle w:val="Normal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б) копии протоколов на всех членов ПДЭК (не менее 3-х человек) о проверке знаний в комиссии вышестоящих надзорных органов;</w:t>
            </w:r>
          </w:p>
          <w:p>
            <w:pPr>
              <w:pStyle w:val="Normal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в) копии приказа о создании комиссии по проверке знаний (ППБ, НТД в области промышленной безопасности) у своего персонала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val="ru-RU" w:eastAsia="zh-CN" w:bidi="ar-SA"/>
              </w:rPr>
              <w:t>Согласие с требованием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numPr>
                <w:ilvl w:val="0"/>
                <w:numId w:val="2"/>
              </w:numPr>
              <w:snapToGrid w:val="false"/>
              <w:spacing w:before="60" w:after="6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8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 w:val="false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закупаемым МТР (поставляемых подрядчиком)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hanging="0"/>
              <w:contextualSpacing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2.1.</w:t>
            </w:r>
          </w:p>
        </w:tc>
        <w:tc>
          <w:tcPr>
            <w:tcW w:w="8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uppressAutoHyphens w:val="true"/>
              <w:bidi w:val="0"/>
              <w:spacing w:before="60" w:after="60"/>
              <w:ind w:left="57" w:right="0" w:hanging="0"/>
              <w:contextualSpacing/>
              <w:jc w:val="left"/>
              <w:rPr>
                <w:lang w:val="en-US"/>
              </w:rPr>
            </w:pPr>
            <w:r>
              <w:rPr/>
              <w:t>2.1.</w:t>
            </w:r>
            <w:r>
              <w:rPr>
                <w:lang w:val="en-US"/>
              </w:rPr>
              <w:t>1.</w:t>
            </w:r>
          </w:p>
        </w:tc>
        <w:tc>
          <w:tcPr>
            <w:tcW w:w="8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3"/>
              <w:widowControl w:val="false"/>
              <w:numPr>
                <w:ilvl w:val="0"/>
              </w:numPr>
              <w:jc w:val="left"/>
              <w:rPr>
                <w:rFonts w:ascii="Times New Roman" w:hAnsi="Times New Roman" w:eastAsia="Times New Roman" w:cs="Times New Roman"/>
                <w:color w:val="00000A"/>
                <w:spacing w:val="-6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spacing w:val="-6"/>
                <w:sz w:val="24"/>
                <w:szCs w:val="24"/>
                <w:shd w:fill="FFFFFF" w:val="clear"/>
                <w:lang w:val="ru-RU" w:eastAsia="zh-CN" w:bidi="ar-SA"/>
              </w:rPr>
              <w:t xml:space="preserve">Вышка наблюдательная БР4 </w:t>
            </w:r>
            <w:r>
              <w:rPr>
                <w:rFonts w:eastAsia="Calibri" w:cs="Times New Roman"/>
                <w:b w:val="false"/>
                <w:bCs w:val="false"/>
                <w:color w:val="000000"/>
                <w:spacing w:val="-6"/>
                <w:sz w:val="24"/>
                <w:szCs w:val="24"/>
                <w:shd w:fill="FFFFFF" w:val="clear"/>
                <w:lang w:val="ru-RU" w:eastAsia="ru-RU" w:bidi="ar-SA"/>
              </w:rPr>
              <w:t xml:space="preserve">(ДАБР.1202.00.00) (паспорт </w:t>
            </w:r>
            <w:r>
              <w:rPr>
                <w:rFonts w:eastAsia="Calibri" w:cs="Times New Roman"/>
                <w:b w:val="false"/>
                <w:bCs/>
                <w:color w:val="000000"/>
                <w:spacing w:val="-6"/>
                <w:sz w:val="24"/>
                <w:szCs w:val="24"/>
                <w:shd w:fill="FFFFFF" w:val="clear"/>
                <w:lang w:val="en-US" w:eastAsia="ru-RU" w:bidi="ar-SA"/>
              </w:rPr>
              <w:t xml:space="preserve">ДАБР.1202.00.00 ПС) </w:t>
            </w:r>
            <w:r>
              <w:rPr>
                <w:rFonts w:eastAsia="Times New Roman" w:cs="Times New Roman"/>
                <w:b w:val="false"/>
                <w:bCs/>
                <w:color w:val="00000A"/>
                <w:spacing w:val="-6"/>
                <w:sz w:val="24"/>
                <w:szCs w:val="24"/>
                <w:shd w:fill="FFFFFF" w:val="clear"/>
                <w:lang w:val="ru-RU" w:eastAsia="zh-CN" w:bidi="ar-SA"/>
              </w:rPr>
              <w:t>(Приложение № 5 к настоящим ТТ).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hanging="0"/>
              <w:contextualSpacing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2.2.</w:t>
            </w:r>
          </w:p>
        </w:tc>
        <w:tc>
          <w:tcPr>
            <w:tcW w:w="8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pacing w:before="60" w:after="60"/>
              <w:ind w:left="720" w:hanging="0"/>
              <w:contextualSpacing/>
              <w:jc w:val="left"/>
              <w:rPr/>
            </w:pPr>
            <w:r>
              <w:rPr/>
              <w:t>2.2.1.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lang w:val="ru-RU" w:eastAsia="zh-CN" w:bidi="ar-SA"/>
              </w:rPr>
              <w:t>Требования к конструкции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2"/>
              <w:widowControl w:val="false"/>
              <w:spacing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lang w:val="ru-RU" w:eastAsia="zh-CN" w:bidi="ar-SA"/>
              </w:rPr>
              <w:t>Конструкция, качество изготовления броневышки должны соответствовать паспорту ДАБР.1202.00.00 ПС.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hanging="0"/>
              <w:contextualSpacing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2.4.</w:t>
            </w:r>
          </w:p>
        </w:tc>
        <w:tc>
          <w:tcPr>
            <w:tcW w:w="8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pacing w:before="60" w:after="60"/>
              <w:ind w:left="720" w:hanging="0"/>
              <w:contextualSpacing/>
              <w:jc w:val="center"/>
              <w:rPr/>
            </w:pPr>
            <w:r>
              <w:rPr/>
              <w:t>2.4.1.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Климатическое исполнение </w:t>
            </w:r>
            <w:r>
              <w:rPr>
                <w:b w:val="false"/>
                <w:bCs/>
                <w:color w:val="000000"/>
                <w:sz w:val="24"/>
                <w:szCs w:val="24"/>
                <w:lang w:val="en-US"/>
              </w:rPr>
              <w:t>броневышки должно соответствовать паспорту ДАБР.1202.00.00 ПС.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hanging="0"/>
              <w:contextualSpacing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2.5.</w:t>
            </w:r>
          </w:p>
        </w:tc>
        <w:tc>
          <w:tcPr>
            <w:tcW w:w="8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pacing w:before="60" w:after="60"/>
              <w:ind w:left="720" w:hanging="0"/>
              <w:contextualSpacing/>
              <w:jc w:val="center"/>
              <w:rPr/>
            </w:pPr>
            <w:r>
              <w:rPr/>
              <w:t>2.5.1.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pacing w:val="-10"/>
                <w:sz w:val="24"/>
                <w:szCs w:val="24"/>
              </w:rPr>
              <w:t>Место поставки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4"/>
                <w:szCs w:val="24"/>
              </w:rPr>
              <w:t xml:space="preserve">Участник самостоятельно и за свой счет производит поставку броневышки </w:t>
            </w:r>
            <w:r>
              <w:rPr>
                <w:color w:val="000000"/>
                <w:spacing w:val="-10"/>
                <w:sz w:val="24"/>
                <w:szCs w:val="24"/>
              </w:rPr>
              <w:t>по адресу: филиал ПАО «РусГидро» - «Саратовская ГЭС»,           г. Балаково, Саратовская обл., Российская Федерация, 413865.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pacing w:before="60" w:after="60"/>
              <w:ind w:left="720" w:hanging="0"/>
              <w:contextualSpacing/>
              <w:jc w:val="center"/>
              <w:rPr/>
            </w:pPr>
            <w:r>
              <w:rPr/>
              <w:t>2.5.2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 транспортировки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 xml:space="preserve">Транспортировка броневышки должна выполняться в соответствии с требованиями производителя. </w:t>
            </w:r>
            <w:r>
              <w:rPr>
                <w:color w:val="000000"/>
                <w:sz w:val="24"/>
                <w:szCs w:val="24"/>
              </w:rPr>
              <w:t>Погрузка, доставка, разгрузка и перемещение броневышки (в том числе по территории Заказчика) осуществляется подрядчиком. Стоимость погрузки, доставки, разгрузки и перемещения броневышки должна быть включена в стоимость броневышки.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pacing w:before="60" w:after="60"/>
              <w:ind w:left="720" w:hanging="0"/>
              <w:contextualSpacing/>
              <w:jc w:val="center"/>
              <w:rPr/>
            </w:pPr>
            <w:r>
              <w:rPr/>
              <w:t>2.5.3.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упаковке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 должна исключать возможность механических повреждений и воздействий климатических факторов внешней среды на броневышку.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hanging="0"/>
              <w:contextualSpacing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2.6.</w:t>
            </w:r>
          </w:p>
        </w:tc>
        <w:tc>
          <w:tcPr>
            <w:tcW w:w="8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pacing w:before="60" w:after="60"/>
              <w:ind w:left="720" w:hanging="0"/>
              <w:contextualSpacing/>
              <w:jc w:val="center"/>
              <w:rPr/>
            </w:pPr>
            <w:r>
              <w:rPr/>
              <w:t>2.6.1.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Срок гарантии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 xml:space="preserve">Гарантийный срок на </w:t>
            </w:r>
            <w:r>
              <w:rPr>
                <w:bCs/>
                <w:sz w:val="24"/>
                <w:szCs w:val="24"/>
              </w:rPr>
              <w:t xml:space="preserve"> поставленное оборудование</w:t>
            </w:r>
            <w:r>
              <w:rPr>
                <w:sz w:val="24"/>
                <w:szCs w:val="24"/>
              </w:rPr>
              <w:t xml:space="preserve"> должен составлять не менее</w:t>
            </w:r>
            <w:r>
              <w:rPr>
                <w:sz w:val="24"/>
                <w:szCs w:val="24"/>
                <w:shd w:fill="auto" w:val="clear"/>
              </w:rPr>
              <w:t xml:space="preserve"> 36 (тридцати шести) </w:t>
            </w:r>
            <w:r>
              <w:rPr>
                <w:sz w:val="24"/>
                <w:szCs w:val="24"/>
              </w:rPr>
              <w:t>месяцев с даты подписания актов выполненных работ.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pacing w:before="60" w:after="60"/>
              <w:ind w:left="720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Style40"/>
              <w:widowControl w:val="false"/>
              <w:spacing w:before="60" w:after="60"/>
              <w:ind w:left="720" w:hanging="0"/>
              <w:contextualSpacing/>
              <w:jc w:val="center"/>
              <w:rPr/>
            </w:pPr>
            <w:r>
              <w:rPr/>
              <w:t>2.6.2.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Гарантийное обслуживание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гарантийного срока броневышка должна надежно и правильно функционировать без осуществления дополнительных затрат или работ со стороны Заказчика.                                                           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На протяжении всего гарантийного срока подрядчик обязан обеспечить за счет собственных средств и сил восстановление вышедшего из строя оборудования (в случае, если причина дефекта не связана с неправильной эксплуатацией). </w:t>
            </w:r>
            <w:r>
              <w:rPr>
                <w:color w:val="000000"/>
                <w:spacing w:val="-8"/>
                <w:sz w:val="24"/>
                <w:szCs w:val="24"/>
              </w:rPr>
              <w:t>Гарантийный срок увеличивается на время простоя оборудования, необходимое на устранение гарантийного дефекта.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hanging="0"/>
              <w:contextualSpacing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2.7.</w:t>
            </w:r>
          </w:p>
        </w:tc>
        <w:tc>
          <w:tcPr>
            <w:tcW w:w="8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Требования к комплектации и документам, поставляемым вместе с продукцией.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pacing w:before="60" w:after="60"/>
              <w:ind w:left="720" w:hanging="0"/>
              <w:contextualSpacing/>
              <w:jc w:val="center"/>
              <w:rPr/>
            </w:pPr>
            <w:r>
              <w:rPr/>
              <w:t>2.7.1.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4"/>
                <w:szCs w:val="24"/>
              </w:rPr>
              <w:t>Комплектация броневышки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2"/>
              <w:widowControl w:val="false"/>
              <w:spacing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Комплектация броневышки должна соответствовать паспорту ДАБР.1202.00.00 ПС.</w:t>
            </w:r>
          </w:p>
          <w:p>
            <w:pPr>
              <w:pStyle w:val="Style52"/>
              <w:widowControl w:val="false"/>
              <w:spacing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Дополнительно укомплектовать броневышку:  - прожектором поисковым (тип источника света: светодиодный; дальность обнаружения:  1500 м.; напряжение питания: 220В; управление: ручное (угол горизонтального наведения: до 350°; угол вертикального наведения: до 300°); пылевлагозащита: не менее IP66;</w:t>
            </w:r>
          </w:p>
          <w:p>
            <w:pPr>
              <w:pStyle w:val="Style52"/>
              <w:widowControl w:val="false"/>
              <w:spacing w:before="0" w:after="0"/>
              <w:rPr/>
            </w:pPr>
            <w:r>
              <w:rPr>
                <w:rFonts w:eastAsia="Times New Roman" w:cs="Times New Roman"/>
                <w:b w:val="false"/>
                <w:bCs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- конвектор отопительный электрический (напольный, мощность: 2000Вт,  напряжение питания: 220В; термостат механический);</w:t>
            </w:r>
          </w:p>
          <w:p>
            <w:pPr>
              <w:pStyle w:val="Style52"/>
              <w:widowControl w:val="false"/>
              <w:spacing w:before="0" w:after="0"/>
              <w:rPr/>
            </w:pPr>
            <w:r>
              <w:rPr>
                <w:rFonts w:eastAsia="Times New Roman" w:cs="Times New Roman"/>
                <w:b w:val="false"/>
                <w:bCs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- кондиционер мобильный (напольный, тип (мощность BTU): 12; питания: 220В);</w:t>
            </w:r>
          </w:p>
          <w:p>
            <w:pPr>
              <w:pStyle w:val="Style52"/>
              <w:widowControl w:val="false"/>
              <w:spacing w:before="0" w:after="0"/>
              <w:rPr/>
            </w:pPr>
            <w:r>
              <w:rPr>
                <w:rFonts w:eastAsia="Times New Roman" w:cs="Times New Roman"/>
                <w:b w:val="false"/>
                <w:bCs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- огнетушитель ОП-4 с подставкой.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pacing w:before="60" w:after="60"/>
              <w:ind w:left="352" w:hanging="123"/>
              <w:contextualSpacing/>
              <w:rPr/>
            </w:pPr>
            <w:r>
              <w:rPr/>
            </w:r>
          </w:p>
          <w:p>
            <w:pPr>
              <w:pStyle w:val="Style40"/>
              <w:widowControl w:val="false"/>
              <w:spacing w:before="60" w:after="60"/>
              <w:ind w:left="352" w:hanging="123"/>
              <w:contextualSpacing/>
              <w:rPr/>
            </w:pPr>
            <w:r>
              <w:rPr/>
            </w:r>
          </w:p>
          <w:p>
            <w:pPr>
              <w:pStyle w:val="Style40"/>
              <w:widowControl w:val="false"/>
              <w:spacing w:before="60" w:after="60"/>
              <w:ind w:left="720" w:hanging="0"/>
              <w:contextualSpacing/>
              <w:jc w:val="center"/>
              <w:rPr/>
            </w:pPr>
            <w:r>
              <w:rPr/>
              <w:t>2.7.2.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60" w:after="0"/>
              <w:contextualSpacing w:val="false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60" w:after="0"/>
              <w:contextualSpacing w:val="false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spacing w:val="-4"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 оборудованием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327"/>
                <w:tab w:val="left" w:pos="0" w:leader="none"/>
              </w:tabs>
              <w:jc w:val="left"/>
              <w:rPr/>
            </w:pPr>
            <w:r>
              <w:rPr>
                <w:color w:val="000000"/>
                <w:spacing w:val="-4"/>
                <w:sz w:val="24"/>
                <w:szCs w:val="24"/>
              </w:rPr>
              <w:t>Подрядчик обязан одновременно с передачей оборудования передать Заказчику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tabs>
                <w:tab w:val="clear" w:pos="327"/>
                <w:tab w:val="left" w:pos="0" w:leader="none"/>
              </w:tabs>
              <w:jc w:val="left"/>
              <w:rPr/>
            </w:pPr>
            <w:r>
              <w:rPr>
                <w:color w:val="000000"/>
                <w:spacing w:val="-4"/>
                <w:sz w:val="24"/>
                <w:szCs w:val="24"/>
              </w:rPr>
              <w:t>- технические паспорта;</w:t>
            </w:r>
          </w:p>
          <w:p>
            <w:pPr>
              <w:pStyle w:val="Normal"/>
              <w:widowControl w:val="false"/>
              <w:tabs>
                <w:tab w:val="clear" w:pos="327"/>
                <w:tab w:val="left" w:pos="0" w:leader="none"/>
              </w:tabs>
              <w:jc w:val="left"/>
              <w:rPr/>
            </w:pPr>
            <w:r>
              <w:rPr>
                <w:color w:val="000000"/>
                <w:spacing w:val="-4"/>
                <w:sz w:val="24"/>
                <w:szCs w:val="24"/>
              </w:rPr>
              <w:t>- руководства по эксплуатации;</w:t>
            </w:r>
          </w:p>
          <w:p>
            <w:pPr>
              <w:pStyle w:val="Normal"/>
              <w:widowControl w:val="false"/>
              <w:tabs>
                <w:tab w:val="clear" w:pos="327"/>
                <w:tab w:val="left" w:pos="0" w:leader="none"/>
              </w:tabs>
              <w:jc w:val="left"/>
              <w:rPr/>
            </w:pPr>
            <w:r>
              <w:rPr>
                <w:color w:val="000000"/>
                <w:spacing w:val="-4"/>
                <w:sz w:val="24"/>
                <w:szCs w:val="24"/>
              </w:rPr>
              <w:t>- протоколы заводских испытаний (при их наличии);</w:t>
            </w:r>
          </w:p>
          <w:p>
            <w:pPr>
              <w:pStyle w:val="Normal"/>
              <w:widowControl w:val="false"/>
              <w:tabs>
                <w:tab w:val="clear" w:pos="327"/>
                <w:tab w:val="left" w:pos="0" w:leader="none"/>
              </w:tabs>
              <w:jc w:val="left"/>
              <w:rPr/>
            </w:pPr>
            <w:r>
              <w:rPr>
                <w:color w:val="000000"/>
                <w:spacing w:val="-4"/>
                <w:sz w:val="24"/>
                <w:szCs w:val="24"/>
              </w:rPr>
              <w:t>- упаковочные листы, упаковочные ярлыки;</w:t>
            </w:r>
          </w:p>
          <w:p>
            <w:pPr>
              <w:pStyle w:val="Normal"/>
              <w:widowControl w:val="false"/>
              <w:tabs>
                <w:tab w:val="clear" w:pos="327"/>
                <w:tab w:val="left" w:pos="0" w:leader="none"/>
              </w:tabs>
              <w:jc w:val="left"/>
              <w:rPr/>
            </w:pPr>
            <w:r>
              <w:rPr>
                <w:color w:val="000000"/>
                <w:spacing w:val="-4"/>
                <w:sz w:val="24"/>
                <w:szCs w:val="24"/>
              </w:rPr>
              <w:t>- иные документы (сертификаты соответствия, безопасности, пожаробезопасности, радиологической безопасности, санитарный, и т.п.) в зависимости от номенклатуры поставляемого оборудования;</w:t>
            </w:r>
          </w:p>
          <w:p>
            <w:pPr>
              <w:pStyle w:val="Normal"/>
              <w:widowControl w:val="false"/>
              <w:tabs>
                <w:tab w:val="clear" w:pos="327"/>
                <w:tab w:val="left" w:pos="0" w:leader="none"/>
              </w:tabs>
              <w:jc w:val="left"/>
              <w:rPr/>
            </w:pPr>
            <w:r>
              <w:rPr>
                <w:color w:val="000000"/>
                <w:spacing w:val="-4"/>
                <w:sz w:val="24"/>
                <w:szCs w:val="24"/>
              </w:rPr>
              <w:t>- товарно-транспортную накладную формы №1-Т;</w:t>
            </w:r>
          </w:p>
          <w:p>
            <w:pPr>
              <w:pStyle w:val="Normal"/>
              <w:widowControl w:val="false"/>
              <w:tabs>
                <w:tab w:val="clear" w:pos="327"/>
                <w:tab w:val="left" w:pos="0" w:leader="none"/>
              </w:tabs>
              <w:jc w:val="left"/>
              <w:rPr/>
            </w:pPr>
            <w:r>
              <w:rPr>
                <w:color w:val="000000"/>
                <w:spacing w:val="-4"/>
                <w:sz w:val="24"/>
                <w:szCs w:val="24"/>
              </w:rPr>
              <w:t>- товарную накладную унифицированной формы ТОРГ-12.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color w:val="000000"/>
                <w:spacing w:val="-4"/>
                <w:sz w:val="24"/>
                <w:szCs w:val="24"/>
              </w:rPr>
              <w:t>При некомплектности, недопоставке, отсутствии необходимых принадлежностей или документов, относящихся к оборудованию, Заказчик вправе с одновременным направлением письменного уведомления подрядчику прекратить приемку оборудования до устранения нарушений. Подрядчик обязан в течение 3 (трех) календарных дней с указанной даты представить необходимые комплектующие, документы или принадлежности, что не освобождает Подрядчика от ответственности за убытки, причиненные нарушением срока поставки.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numPr>
                <w:ilvl w:val="0"/>
                <w:numId w:val="2"/>
              </w:numPr>
              <w:snapToGrid w:val="false"/>
              <w:spacing w:before="60" w:after="6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8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 w:val="false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результатам выпол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нения договора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contextualSpacing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contextualSpacing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contextualSpacing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pacing w:before="60" w:after="60"/>
              <w:ind w:left="0" w:hanging="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>
              <w:rPr>
                <w:lang w:val="en-US"/>
              </w:rPr>
              <w:t>3.1.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</w:rPr>
              <w:t>Требования к входному контролю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 должен обеспечить входной контроль поставляемой броневышки и оборудования.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Входной контроль должен включать проверку: 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данному оборудованию; наличия маркировки, сохранности упаковки, наличия и сохранности защитных и окрасочных покрытий и т.п.; правильности складирования и хранения; комплектность и работоспособность поставляемого оборудования.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Входной контроль оборудования на месте поставки оборудования осуществляется совместно с представителем подрядчика.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3.2.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highlight w:val="none"/>
                <w:shd w:fill="auto" w:val="clear"/>
              </w:rPr>
            </w:pPr>
            <w:r>
              <w:rPr>
                <w:color w:val="000000"/>
                <w:spacing w:val="-4"/>
                <w:sz w:val="24"/>
                <w:szCs w:val="24"/>
                <w:shd w:fill="auto" w:val="clear"/>
              </w:rPr>
              <w:t>Результат работ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работ производится в объеме, который позволяет начать эксплуатацию броневышки в соответствии с назначением (в пределах технических  характеристик), указанном производителем оборудования в технической документации, без закупки дополнительных объемов оборудования и работ.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3.3.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 w:val="false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spacing w:val="-4"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 результатам выполненных работ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68" w:hanging="0"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Представить Заказчику с актами выполненных работ исполнительную документацию: исполнительные чертежи, исполнительные и принципиальные схемы, сертификаты качества и паспорта на использованные материалы и оборудование, руководства по эксплуатации, протоколы наладки, свидетельства об утверждении типа средств измерений, акты входного контроля качества доставляемых до места производства работ материалов и запасных частей, формуляры, кабельный журнал);</w:t>
            </w:r>
          </w:p>
          <w:p>
            <w:pPr>
              <w:pStyle w:val="Normal"/>
              <w:widowControl w:val="false"/>
              <w:ind w:left="68" w:hanging="0"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Отчётные документы по работам представить на бумажном носителе в 2 экземплярах, на электронном носителе в 1 экземпляре в форматах *.dwg, *.vsd, *.dос, *.хls.</w:t>
            </w:r>
          </w:p>
          <w:p>
            <w:pPr>
              <w:pStyle w:val="Normal"/>
              <w:widowControl w:val="false"/>
              <w:ind w:left="68" w:hanging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Все документы и техническая документация, имеющие отношение к выполнению Работ, должны быть представлены на русском языке.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8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contextualSpacing w:val="false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контрагента, влияющим на исполнение договора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contextualSpacing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contextualSpacing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contextualSpacing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 w:val="false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субподрядным организациям, привлекаемым к выполнению работ</w:t>
            </w:r>
          </w:p>
        </w:tc>
        <w:tc>
          <w:tcPr>
            <w:tcW w:w="5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 w:val="false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В случае привлечения к выполнению работ субподрядных организаций подрядчик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выполнения ими работ.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0"/>
        </w:numPr>
        <w:ind w:left="357" w:hanging="0"/>
        <w:jc w:val="center"/>
        <w:rPr>
          <w:color w:val="auto"/>
        </w:rPr>
      </w:pPr>
      <w:bookmarkStart w:id="20" w:name="__RefHeading___Toc172817189"/>
      <w:bookmarkStart w:id="21" w:name="_GoBack1"/>
      <w:bookmarkEnd w:id="20"/>
      <w:bookmarkEnd w:id="21"/>
      <w:r>
        <w:rPr>
          <w:color w:val="auto"/>
          <w:sz w:val="24"/>
          <w:szCs w:val="24"/>
          <w:lang w:val="ru-RU"/>
        </w:rPr>
        <w:t>3. Требования к документации по ценообразованию</w:t>
      </w:r>
    </w:p>
    <w:p>
      <w:pPr>
        <w:pStyle w:val="Normal"/>
        <w:widowControl w:val="false"/>
        <w:tabs>
          <w:tab w:val="clear" w:pos="327"/>
          <w:tab w:val="left" w:pos="426" w:leader="none"/>
        </w:tabs>
        <w:spacing w:before="60" w:after="0"/>
        <w:contextualSpacing w:val="false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120"/>
        <w:ind w:left="737" w:right="0" w:hanging="0"/>
        <w:contextualSpacing w:val="false"/>
        <w:jc w:val="both"/>
        <w:rPr>
          <w:rFonts w:ascii="Times New Roman" w:hAnsi="Times New Roman" w:eastAsia="Calibri" w:cs="Times New Roman"/>
          <w:b w:val="false"/>
          <w:bCs/>
          <w:i w:val="false"/>
          <w:i w:val="false"/>
          <w:iCs/>
          <w:color w:val="auto"/>
          <w:spacing w:val="-6"/>
          <w:kern w:val="0"/>
          <w:sz w:val="24"/>
          <w:szCs w:val="24"/>
          <w:shd w:fill="FFFFFF" w:val="clear"/>
          <w:lang w:val="ru-RU" w:eastAsia="ru-RU" w:bidi="ar-SA"/>
        </w:rPr>
      </w:pPr>
      <w:r>
        <w:rPr>
          <w:rFonts w:eastAsia="Calibri" w:cs="Times New Roman"/>
          <w:b w:val="false"/>
          <w:bCs/>
          <w:i w:val="false"/>
          <w:iCs/>
          <w:color w:val="000000"/>
          <w:spacing w:val="-6"/>
          <w:kern w:val="0"/>
          <w:sz w:val="24"/>
          <w:szCs w:val="24"/>
          <w:shd w:fill="FFFFFF" w:val="clear"/>
          <w:lang w:val="ru-RU" w:eastAsia="ru-RU" w:bidi="ar-SA"/>
        </w:rPr>
        <w:t>3.1. В рамках реализации договора необходимо составлять и оформлять сметную документацию в обоснование стоимости работ по монтажу поставляемого оборудования с требованиями, указанными в Приложении № 6 к настоящим ТТ.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120"/>
        <w:ind w:left="737" w:right="0" w:hanging="0"/>
        <w:contextualSpacing w:val="false"/>
        <w:jc w:val="both"/>
        <w:rPr>
          <w:rFonts w:ascii="Times New Roman" w:hAnsi="Times New Roman" w:eastAsia="Calibri" w:cs="Times New Roman"/>
          <w:b w:val="false"/>
          <w:bCs/>
          <w:i w:val="false"/>
          <w:i w:val="false"/>
          <w:iCs/>
          <w:color w:val="auto"/>
          <w:spacing w:val="-6"/>
          <w:kern w:val="0"/>
          <w:sz w:val="24"/>
          <w:szCs w:val="24"/>
          <w:shd w:fill="FFFFFF" w:val="clear"/>
          <w:lang w:val="ru-RU" w:eastAsia="ru-RU" w:bidi="ar-SA"/>
        </w:rPr>
      </w:pPr>
      <w:r>
        <w:rPr>
          <w:rFonts w:eastAsia="Calibri" w:cs="Times New Roman"/>
          <w:b w:val="false"/>
          <w:bCs/>
          <w:i w:val="false"/>
          <w:iCs/>
          <w:color w:val="000000"/>
          <w:spacing w:val="-6"/>
          <w:kern w:val="0"/>
          <w:sz w:val="24"/>
          <w:szCs w:val="24"/>
          <w:shd w:fill="FFFFFF" w:val="clear"/>
          <w:lang w:val="ru-RU" w:eastAsia="ru-RU" w:bidi="ar-SA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120"/>
        <w:ind w:left="737" w:right="0" w:hanging="0"/>
        <w:contextualSpacing w:val="false"/>
        <w:jc w:val="center"/>
        <w:rPr>
          <w:rFonts w:ascii="Times New Roman" w:hAnsi="Times New Roman" w:eastAsia="Calibri" w:cs="Times New Roman"/>
          <w:b/>
          <w:bCs/>
          <w:i w:val="false"/>
          <w:i w:val="false"/>
          <w:iCs/>
          <w:color w:val="auto"/>
          <w:spacing w:val="-6"/>
          <w:kern w:val="0"/>
          <w:sz w:val="24"/>
          <w:szCs w:val="24"/>
          <w:shd w:fill="FFFFFF" w:val="clear"/>
          <w:lang w:val="ru-RU" w:eastAsia="ru-RU" w:bidi="ar-SA"/>
        </w:rPr>
      </w:pPr>
      <w:r>
        <w:rPr>
          <w:rFonts w:eastAsia="Calibri" w:cs="Times New Roman"/>
          <w:b/>
          <w:bCs/>
          <w:i w:val="false"/>
          <w:iCs/>
          <w:color w:val="000000"/>
          <w:spacing w:val="-6"/>
          <w:kern w:val="0"/>
          <w:sz w:val="24"/>
          <w:szCs w:val="24"/>
          <w:shd w:fill="FFFFFF" w:val="clear"/>
          <w:lang w:val="ru-RU" w:eastAsia="ru-RU" w:bidi="ar-SA"/>
        </w:rPr>
        <w:t>4. Приложения</w:t>
      </w:r>
      <w:r>
        <w:rPr>
          <w:rFonts w:eastAsia="Calibri" w:cs="Times New Roman"/>
          <w:b/>
          <w:bCs/>
          <w:i w:val="false"/>
          <w:iCs/>
          <w:color w:val="000000"/>
          <w:spacing w:val="-6"/>
          <w:kern w:val="0"/>
          <w:sz w:val="24"/>
          <w:szCs w:val="24"/>
          <w:shd w:fill="FFFFFF" w:val="clear"/>
          <w:lang w:val="ru-RU" w:eastAsia="ru-RU" w:bidi="ar-SA"/>
        </w:rPr>
        <w:t xml:space="preserve"> </w:t>
      </w:r>
      <w:r>
        <w:rPr>
          <w:rFonts w:eastAsia="Calibri" w:cs="Times New Roman"/>
          <w:b/>
          <w:bCs/>
          <w:i w:val="false"/>
          <w:iCs/>
          <w:color w:val="000000"/>
          <w:spacing w:val="-6"/>
          <w:kern w:val="0"/>
          <w:sz w:val="24"/>
          <w:szCs w:val="24"/>
          <w:shd w:fill="FFFFFF" w:val="clear"/>
          <w:lang w:val="ru-RU" w:eastAsia="ru-RU" w:bidi="ar-SA"/>
        </w:rPr>
        <w:t>(предоставляется по запросу)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120"/>
        <w:ind w:left="737" w:right="0" w:hanging="0"/>
        <w:contextualSpacing w:val="false"/>
        <w:jc w:val="both"/>
        <w:rPr>
          <w:rFonts w:ascii="Times New Roman" w:hAnsi="Times New Roman" w:eastAsia="Calibri" w:cs="Times New Roman"/>
          <w:b w:val="false"/>
          <w:bCs/>
          <w:i w:val="false"/>
          <w:i w:val="false"/>
          <w:iCs/>
          <w:color w:val="auto"/>
          <w:spacing w:val="-6"/>
          <w:kern w:val="0"/>
          <w:sz w:val="24"/>
          <w:szCs w:val="24"/>
          <w:shd w:fill="FFFFFF" w:val="clear"/>
          <w:lang w:val="ru-RU" w:eastAsia="ru-RU" w:bidi="ar-SA"/>
        </w:rPr>
      </w:pPr>
      <w:r>
        <w:rPr>
          <w:rFonts w:eastAsia="Calibri" w:cs="Times New Roman"/>
          <w:b w:val="false"/>
          <w:bCs/>
          <w:i w:val="false"/>
          <w:iCs/>
          <w:color w:val="000000"/>
          <w:spacing w:val="-6"/>
          <w:kern w:val="0"/>
          <w:sz w:val="24"/>
          <w:szCs w:val="24"/>
          <w:shd w:fill="FFFFFF" w:val="clear"/>
          <w:lang w:val="ru-RU" w:eastAsia="ru-RU" w:bidi="ar-SA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120"/>
        <w:ind w:left="737" w:right="0" w:hanging="0"/>
        <w:contextualSpacing w:val="false"/>
        <w:jc w:val="both"/>
        <w:rPr>
          <w:rFonts w:ascii="Times New Roman" w:hAnsi="Times New Roman" w:eastAsia="Calibri" w:cs="Times New Roman"/>
          <w:b w:val="false"/>
          <w:bCs/>
          <w:i w:val="false"/>
          <w:i w:val="false"/>
          <w:iCs/>
          <w:color w:val="auto"/>
          <w:spacing w:val="-6"/>
          <w:kern w:val="0"/>
          <w:sz w:val="24"/>
          <w:szCs w:val="24"/>
          <w:shd w:fill="FFFFFF" w:val="clear"/>
          <w:lang w:val="ru-RU" w:eastAsia="ru-RU" w:bidi="ar-SA"/>
        </w:rPr>
      </w:pPr>
      <w:r>
        <w:rPr>
          <w:rFonts w:eastAsia="Calibri" w:cs="Times New Roman"/>
          <w:b w:val="false"/>
          <w:bCs/>
          <w:i w:val="false"/>
          <w:iCs/>
          <w:color w:val="000000"/>
          <w:spacing w:val="-6"/>
          <w:kern w:val="0"/>
          <w:sz w:val="24"/>
          <w:szCs w:val="24"/>
          <w:shd w:fill="FFFFFF" w:val="clear"/>
          <w:lang w:val="ru-RU" w:eastAsia="ru-RU" w:bidi="ar-SA"/>
        </w:rPr>
        <w:t xml:space="preserve">Приложение №1: Инструкция по монтажу, пуску, регулированию и обкатке изделия          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120"/>
        <w:ind w:left="737" w:right="0" w:hanging="0"/>
        <w:contextualSpacing w:val="false"/>
        <w:jc w:val="both"/>
        <w:rPr>
          <w:rFonts w:ascii="Times New Roman" w:hAnsi="Times New Roman" w:eastAsia="Calibri" w:cs="Times New Roman"/>
          <w:b w:val="false"/>
          <w:bCs/>
          <w:i w:val="false"/>
          <w:i w:val="false"/>
          <w:iCs/>
          <w:color w:val="auto"/>
          <w:spacing w:val="-6"/>
          <w:kern w:val="0"/>
          <w:sz w:val="24"/>
          <w:szCs w:val="24"/>
          <w:shd w:fill="FFFFFF" w:val="clear"/>
          <w:lang w:val="ru-RU" w:eastAsia="ru-RU" w:bidi="ar-SA"/>
        </w:rPr>
      </w:pPr>
      <w:r>
        <w:rPr>
          <w:rFonts w:eastAsia="Calibri" w:cs="Times New Roman"/>
          <w:b w:val="false"/>
          <w:bCs/>
          <w:i w:val="false"/>
          <w:iCs/>
          <w:color w:val="000000"/>
          <w:spacing w:val="-6"/>
          <w:kern w:val="0"/>
          <w:sz w:val="24"/>
          <w:szCs w:val="24"/>
          <w:shd w:fill="FFFFFF" w:val="clear"/>
          <w:lang w:val="ru-RU" w:eastAsia="ru-RU" w:bidi="ar-SA"/>
        </w:rPr>
        <w:tab/>
        <w:tab/>
        <w:tab/>
        <w:tab/>
        <w:tab/>
        <w:tab/>
        <w:t xml:space="preserve">(ДАБР.1202.00.000 ИМ).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120"/>
        <w:ind w:left="737" w:right="0" w:hanging="0"/>
        <w:contextualSpacing w:val="false"/>
        <w:jc w:val="both"/>
        <w:rPr>
          <w:rFonts w:ascii="Times New Roman" w:hAnsi="Times New Roman" w:eastAsia="Calibri" w:cs="Times New Roman"/>
          <w:b w:val="false"/>
          <w:bCs/>
          <w:i w:val="false"/>
          <w:i w:val="false"/>
          <w:iCs/>
          <w:color w:val="auto"/>
          <w:spacing w:val="-6"/>
          <w:kern w:val="0"/>
          <w:sz w:val="24"/>
          <w:szCs w:val="24"/>
          <w:shd w:fill="FFFFFF" w:val="clear"/>
          <w:lang w:val="ru-RU" w:eastAsia="ru-RU" w:bidi="ar-SA"/>
        </w:rPr>
      </w:pPr>
      <w:r>
        <w:rPr>
          <w:rFonts w:eastAsia="Calibri" w:cs="Times New Roman"/>
          <w:b w:val="false"/>
          <w:bCs/>
          <w:i w:val="false"/>
          <w:iCs/>
          <w:color w:val="000000"/>
          <w:spacing w:val="-6"/>
          <w:kern w:val="0"/>
          <w:sz w:val="24"/>
          <w:szCs w:val="24"/>
          <w:shd w:fill="FFFFFF" w:val="clear"/>
          <w:lang w:val="ru-RU" w:eastAsia="ru-RU" w:bidi="ar-SA"/>
        </w:rPr>
        <w:t xml:space="preserve">Приложение № 2: Технические решения РД 2061-60-010 в части устройства фундамента с 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120"/>
        <w:ind w:left="737" w:right="0" w:hanging="0"/>
        <w:contextualSpacing w:val="false"/>
        <w:jc w:val="both"/>
        <w:rPr>
          <w:rFonts w:ascii="Times New Roman" w:hAnsi="Times New Roman" w:eastAsia="Calibri" w:cs="Times New Roman"/>
          <w:b w:val="false"/>
          <w:bCs/>
          <w:i w:val="false"/>
          <w:i w:val="false"/>
          <w:iCs/>
          <w:color w:val="auto"/>
          <w:spacing w:val="-6"/>
          <w:kern w:val="0"/>
          <w:sz w:val="24"/>
          <w:szCs w:val="24"/>
          <w:shd w:fill="FFFFFF" w:val="clear"/>
          <w:lang w:val="ru-RU" w:eastAsia="ru-RU" w:bidi="ar-SA"/>
        </w:rPr>
      </w:pPr>
      <w:r>
        <w:rPr>
          <w:rFonts w:eastAsia="Calibri" w:cs="Times New Roman"/>
          <w:b w:val="false"/>
          <w:bCs/>
          <w:i w:val="false"/>
          <w:iCs/>
          <w:color w:val="000000"/>
          <w:spacing w:val="-6"/>
          <w:kern w:val="0"/>
          <w:sz w:val="24"/>
          <w:szCs w:val="24"/>
          <w:shd w:fill="FFFFFF" w:val="clear"/>
          <w:lang w:val="ru-RU" w:eastAsia="ru-RU" w:bidi="ar-SA"/>
        </w:rPr>
        <w:tab/>
        <w:tab/>
        <w:tab/>
        <w:tab/>
        <w:tab/>
        <w:tab/>
        <w:t>изменениями, согласованными с АО «Институт Гидропроект».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120"/>
        <w:ind w:left="737" w:right="0" w:hanging="0"/>
        <w:contextualSpacing w:val="false"/>
        <w:jc w:val="both"/>
        <w:rPr>
          <w:rFonts w:ascii="Times New Roman" w:hAnsi="Times New Roman" w:eastAsia="Calibri" w:cs="Times New Roman"/>
          <w:b w:val="false"/>
          <w:bCs/>
          <w:i w:val="false"/>
          <w:i w:val="false"/>
          <w:iCs/>
          <w:color w:val="auto"/>
          <w:spacing w:val="-6"/>
          <w:kern w:val="0"/>
          <w:sz w:val="24"/>
          <w:szCs w:val="24"/>
          <w:shd w:fill="FFFFFF" w:val="clear"/>
          <w:lang w:val="ru-RU" w:eastAsia="ru-RU" w:bidi="ar-SA"/>
        </w:rPr>
      </w:pPr>
      <w:r>
        <w:rPr>
          <w:rFonts w:eastAsia="Calibri" w:cs="Times New Roman"/>
          <w:b w:val="false"/>
          <w:bCs/>
          <w:i w:val="false"/>
          <w:iCs/>
          <w:color w:val="000000"/>
          <w:spacing w:val="-6"/>
          <w:kern w:val="0"/>
          <w:sz w:val="24"/>
          <w:szCs w:val="24"/>
          <w:shd w:fill="FFFFFF" w:val="clear"/>
          <w:lang w:val="ru-RU" w:eastAsia="ru-RU" w:bidi="ar-SA"/>
        </w:rPr>
        <w:t xml:space="preserve">Приложение № 3: Регламент процесса «Допуск персонала подрядных организаций на </w:t>
        <w:tab/>
        <w:tab/>
        <w:tab/>
        <w:tab/>
        <w:tab/>
        <w:tab/>
        <w:tab/>
        <w:tab/>
        <w:t>объекты ПАО «РусГидро».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120"/>
        <w:ind w:left="737" w:right="0" w:hanging="0"/>
        <w:contextualSpacing w:val="false"/>
        <w:jc w:val="both"/>
        <w:rPr>
          <w:rFonts w:ascii="Times New Roman" w:hAnsi="Times New Roman" w:eastAsia="Calibri" w:cs="Times New Roman"/>
          <w:b w:val="false"/>
          <w:bCs/>
          <w:i w:val="false"/>
          <w:i w:val="false"/>
          <w:iCs/>
          <w:color w:val="auto"/>
          <w:spacing w:val="-6"/>
          <w:kern w:val="0"/>
          <w:sz w:val="24"/>
          <w:szCs w:val="24"/>
          <w:shd w:fill="FFFFFF" w:val="clear"/>
          <w:lang w:val="ru-RU" w:eastAsia="ru-RU" w:bidi="ar-SA"/>
        </w:rPr>
      </w:pPr>
      <w:r>
        <w:rPr>
          <w:rFonts w:eastAsia="Calibri" w:cs="Times New Roman"/>
          <w:b w:val="false"/>
          <w:bCs/>
          <w:i w:val="false"/>
          <w:iCs/>
          <w:color w:val="000000"/>
          <w:spacing w:val="-6"/>
          <w:kern w:val="0"/>
          <w:sz w:val="24"/>
          <w:szCs w:val="24"/>
          <w:shd w:fill="FFFFFF" w:val="clear"/>
          <w:lang w:val="ru-RU" w:eastAsia="ru-RU" w:bidi="ar-SA"/>
        </w:rPr>
        <w:t xml:space="preserve">Приложение № 4: Положение о пропускном и внутриобъектовом режимах филиала ПАО </w:t>
        <w:tab/>
        <w:tab/>
        <w:tab/>
        <w:tab/>
        <w:tab/>
        <w:tab/>
        <w:t>«РусГидро» - «Саратовская ГЭС».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120"/>
        <w:ind w:left="737" w:right="0" w:hanging="0"/>
        <w:contextualSpacing w:val="false"/>
        <w:jc w:val="both"/>
        <w:rPr>
          <w:rFonts w:ascii="Times New Roman" w:hAnsi="Times New Roman" w:eastAsia="Calibri" w:cs="Times New Roman"/>
          <w:b w:val="false"/>
          <w:bCs/>
          <w:i w:val="false"/>
          <w:i w:val="false"/>
          <w:iCs/>
          <w:color w:val="auto"/>
          <w:spacing w:val="-6"/>
          <w:kern w:val="0"/>
          <w:sz w:val="24"/>
          <w:szCs w:val="24"/>
          <w:shd w:fill="FFFFFF" w:val="clear"/>
          <w:lang w:val="ru-RU" w:eastAsia="ru-RU" w:bidi="ar-SA"/>
        </w:rPr>
      </w:pPr>
      <w:r>
        <w:rPr>
          <w:rFonts w:eastAsia="Calibri" w:cs="Times New Roman"/>
          <w:b w:val="false"/>
          <w:bCs/>
          <w:i w:val="false"/>
          <w:iCs/>
          <w:color w:val="000000"/>
          <w:spacing w:val="-6"/>
          <w:kern w:val="0"/>
          <w:sz w:val="24"/>
          <w:szCs w:val="24"/>
          <w:shd w:fill="FFFFFF" w:val="clear"/>
          <w:lang w:val="ru-RU" w:eastAsia="ru-RU" w:bidi="ar-SA"/>
        </w:rPr>
        <w:t>Приложение № 5:  Паспорт ДАБР.1202.00.00 ПС.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120"/>
        <w:ind w:left="737" w:right="0" w:hanging="0"/>
        <w:contextualSpacing w:val="false"/>
        <w:jc w:val="both"/>
        <w:rPr>
          <w:rFonts w:ascii="Times New Roman" w:hAnsi="Times New Roman" w:eastAsia="Calibri" w:cs="Times New Roman"/>
          <w:b w:val="false"/>
          <w:bCs/>
          <w:i w:val="false"/>
          <w:i w:val="false"/>
          <w:iCs/>
          <w:color w:val="auto"/>
          <w:spacing w:val="-6"/>
          <w:kern w:val="0"/>
          <w:sz w:val="24"/>
          <w:szCs w:val="24"/>
          <w:shd w:fill="FFFFFF" w:val="clear"/>
          <w:lang w:val="ru-RU" w:eastAsia="ru-RU" w:bidi="ar-SA"/>
        </w:rPr>
      </w:pPr>
      <w:r>
        <w:rPr>
          <w:rFonts w:eastAsia="Calibri" w:cs="Times New Roman"/>
          <w:b w:val="false"/>
          <w:bCs/>
          <w:i w:val="false"/>
          <w:iCs/>
          <w:color w:val="000000"/>
          <w:spacing w:val="-6"/>
          <w:kern w:val="0"/>
          <w:sz w:val="24"/>
          <w:szCs w:val="24"/>
          <w:shd w:fill="FFFFFF" w:val="clear"/>
          <w:lang w:val="ru-RU" w:eastAsia="ru-RU" w:bidi="ar-SA"/>
        </w:rPr>
        <w:t xml:space="preserve">Приложение № 6: Требования к оформлению и составлению документации по </w:t>
        <w:tab/>
        <w:tab/>
        <w:tab/>
        <w:tab/>
        <w:tab/>
        <w:tab/>
        <w:tab/>
        <w:tab/>
        <w:tab/>
        <w:tab/>
        <w:t>ценообразованию.</w:t>
      </w:r>
    </w:p>
    <w:p>
      <w:pPr>
        <w:pStyle w:val="BodyText"/>
        <w:tabs>
          <w:tab w:val="clear" w:pos="327"/>
        </w:tabs>
        <w:spacing w:before="0" w:after="0"/>
        <w:ind w:left="0" w:hanging="0"/>
        <w:rPr>
          <w:rFonts w:ascii="Times New Roman" w:hAnsi="Times New Roman" w:eastAsia="Calibri" w:cs="Times New Roman"/>
          <w:b w:val="false"/>
          <w:bCs/>
          <w:i w:val="false"/>
          <w:i w:val="false"/>
          <w:iCs/>
          <w:color w:val="auto"/>
          <w:spacing w:val="-6"/>
          <w:kern w:val="0"/>
          <w:sz w:val="24"/>
          <w:szCs w:val="24"/>
          <w:shd w:fill="FFFFFF" w:val="clear"/>
          <w:lang w:val="ru-RU" w:eastAsia="ru-RU" w:bidi="ar-SA"/>
        </w:rPr>
      </w:pPr>
      <w:r>
        <w:rPr>
          <w:rFonts w:eastAsia="Calibri" w:cs="Times New Roman"/>
          <w:b w:val="false"/>
          <w:bCs/>
          <w:i w:val="false"/>
          <w:iCs/>
          <w:color w:val="000000"/>
          <w:spacing w:val="-6"/>
          <w:kern w:val="0"/>
          <w:sz w:val="24"/>
          <w:szCs w:val="24"/>
          <w:shd w:fill="FFFFFF" w:val="clear"/>
          <w:lang w:val="ru-RU" w:eastAsia="ru-RU" w:bidi="ar-SA"/>
        </w:rPr>
      </w:r>
    </w:p>
    <w:p>
      <w:pPr>
        <w:pStyle w:val="Heading1"/>
        <w:keepLines/>
        <w:numPr>
          <w:ilvl w:val="0"/>
          <w:numId w:val="1"/>
        </w:numPr>
        <w:tabs>
          <w:tab w:val="clear" w:pos="327"/>
        </w:tabs>
        <w:spacing w:before="0" w:after="0"/>
        <w:ind w:left="0" w:hanging="0"/>
        <w:rPr>
          <w:rFonts w:ascii="Times New Roman" w:hAnsi="Times New Roman" w:eastAsia="Calibri" w:cs="Times New Roman"/>
          <w:b w:val="false"/>
          <w:bCs/>
          <w:i w:val="false"/>
          <w:i w:val="false"/>
          <w:iCs/>
          <w:color w:val="auto"/>
          <w:spacing w:val="-6"/>
          <w:kern w:val="0"/>
          <w:sz w:val="24"/>
          <w:szCs w:val="24"/>
          <w:shd w:fill="FFFFFF" w:val="clear"/>
          <w:lang w:val="ru-RU" w:eastAsia="ru-RU" w:bidi="ar-SA"/>
        </w:rPr>
      </w:pPr>
      <w:r>
        <w:rPr>
          <w:rFonts w:eastAsia="Calibri" w:cs="Times New Roman"/>
          <w:b w:val="false"/>
          <w:bCs/>
          <w:i w:val="false"/>
          <w:iCs/>
          <w:color w:val="000000"/>
          <w:spacing w:val="-6"/>
          <w:kern w:val="0"/>
          <w:sz w:val="24"/>
          <w:szCs w:val="24"/>
          <w:shd w:fill="FFFFFF" w:val="clear"/>
          <w:lang w:val="ru-RU" w:eastAsia="ru-RU" w:bidi="ar-SA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left="57" w:right="0" w:hanging="0"/>
        <w:contextualSpacing w:val="false"/>
        <w:jc w:val="left"/>
        <w:rPr>
          <w:rFonts w:ascii="Times New Roman" w:hAnsi="Times New Roman" w:eastAsia="Calibri" w:cs="Times New Roman"/>
          <w:b w:val="false"/>
          <w:bCs/>
          <w:i w:val="false"/>
          <w:i w:val="false"/>
          <w:iCs/>
          <w:color w:val="auto"/>
          <w:spacing w:val="-6"/>
          <w:kern w:val="0"/>
          <w:sz w:val="24"/>
          <w:szCs w:val="24"/>
          <w:shd w:fill="FFFFFF" w:val="clear"/>
          <w:lang w:val="ru-RU" w:eastAsia="ru-RU" w:bidi="ar-SA"/>
        </w:rPr>
      </w:pPr>
      <w:r>
        <w:rPr/>
      </w:r>
    </w:p>
    <w:sectPr>
      <w:headerReference w:type="default" r:id="rId8"/>
      <w:headerReference w:type="first" r:id="rId9"/>
      <w:type w:val="nextPage"/>
      <w:pgSz w:w="11906" w:h="16838"/>
      <w:pgMar w:left="1134" w:right="992" w:gutter="0" w:header="680" w:top="851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altName w:val="Malgun Gothic Semilight"/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15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szCs w:val="24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0"/>
  <w:defaultTabStop w:val="327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contextualSpacing/>
      <w:jc w:val="left"/>
    </w:pPr>
    <w:rPr>
      <w:rFonts w:ascii="Times New Roman" w:hAnsi="Times New Roman" w:eastAsia="Times New Roman" w:cs="Times New Roman"/>
      <w:color w:val="00000A"/>
      <w:kern w:val="0"/>
      <w:sz w:val="28"/>
      <w:szCs w:val="28"/>
      <w:lang w:val="ru-RU" w:eastAsia="zh-CN" w:bidi="ar-SA"/>
    </w:rPr>
  </w:style>
  <w:style w:type="paragraph" w:styleId="Heading1">
    <w:name w:val="Heading 1"/>
    <w:basedOn w:val="Heading3"/>
    <w:next w:val="BodyText"/>
    <w:qFormat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BodyText"/>
    <w:qFormat/>
    <w:pPr>
      <w:numPr>
        <w:ilvl w:val="1"/>
        <w:numId w:val="1"/>
      </w:numPr>
      <w:ind w:left="0" w:hanging="0"/>
      <w:outlineLvl w:val="1"/>
    </w:pPr>
    <w:rPr/>
  </w:style>
  <w:style w:type="paragraph" w:styleId="Heading3">
    <w:name w:val="Heading 3"/>
    <w:basedOn w:val="Normal"/>
    <w:next w:val="BodyText"/>
    <w:qFormat/>
    <w:pPr>
      <w:keepNext w:val="true"/>
      <w:numPr>
        <w:ilvl w:val="2"/>
        <w:numId w:val="1"/>
      </w:numPr>
      <w:spacing w:before="120" w:after="60"/>
      <w:ind w:left="1224" w:hanging="504"/>
      <w:contextualSpacing w:val="false"/>
      <w:outlineLvl w:val="2"/>
    </w:pPr>
    <w:rPr>
      <w:rFonts w:eastAsia="Calibri"/>
      <w:b/>
      <w:sz w:val="24"/>
      <w:szCs w:val="24"/>
      <w:lang w:val="ru-RU"/>
    </w:rPr>
  </w:style>
  <w:style w:type="paragraph" w:styleId="Heading4">
    <w:name w:val="Heading 4"/>
    <w:basedOn w:val="Heading3"/>
    <w:next w:val="BodyText"/>
    <w:qFormat/>
    <w:pPr>
      <w:numPr>
        <w:ilvl w:val="3"/>
        <w:numId w:val="1"/>
      </w:numPr>
      <w:outlineLvl w:val="3"/>
    </w:pPr>
    <w:rPr>
      <w:bCs/>
    </w:rPr>
  </w:style>
  <w:style w:type="paragraph" w:styleId="Heading5">
    <w:name w:val="Heading 5"/>
    <w:basedOn w:val="Normal"/>
    <w:next w:val="BodyText"/>
    <w:qFormat/>
    <w:pPr>
      <w:numPr>
        <w:ilvl w:val="4"/>
        <w:numId w:val="1"/>
      </w:numPr>
      <w:spacing w:before="240" w:after="60"/>
      <w:contextualSpacing w:val="false"/>
      <w:outlineLvl w:val="4"/>
    </w:pPr>
    <w:rPr>
      <w:b/>
      <w:bCs/>
      <w:i/>
      <w:iCs/>
      <w:sz w:val="26"/>
      <w:szCs w:val="26"/>
      <w:lang w:val="ru-RU"/>
    </w:rPr>
  </w:style>
  <w:style w:type="paragraph" w:styleId="Heading6">
    <w:name w:val="Heading 6"/>
    <w:basedOn w:val="Normal"/>
    <w:next w:val="BodyText"/>
    <w:qFormat/>
    <w:pPr>
      <w:keepNext w:val="true"/>
      <w:keepLines/>
      <w:numPr>
        <w:ilvl w:val="5"/>
        <w:numId w:val="1"/>
      </w:numPr>
      <w:spacing w:before="200" w:after="0"/>
      <w:contextualSpacing w:val="false"/>
      <w:outlineLvl w:val="5"/>
    </w:pPr>
    <w:rPr>
      <w:rFonts w:ascii="Cambria" w:hAnsi="Cambria" w:cs="Cambria"/>
      <w:i/>
      <w:iCs/>
      <w:color w:val="243F60"/>
      <w:sz w:val="20"/>
      <w:szCs w:val="20"/>
      <w:lang w:val="ru-RU"/>
    </w:rPr>
  </w:style>
  <w:style w:type="paragraph" w:styleId="Heading7">
    <w:name w:val="Heading 7"/>
    <w:basedOn w:val="Normal"/>
    <w:next w:val="BodyText"/>
    <w:qFormat/>
    <w:pPr>
      <w:keepNext w:val="true"/>
      <w:keepLines/>
      <w:numPr>
        <w:ilvl w:val="6"/>
        <w:numId w:val="1"/>
      </w:numPr>
      <w:spacing w:before="200" w:after="0"/>
      <w:contextualSpacing w:val="false"/>
      <w:outlineLvl w:val="6"/>
    </w:pPr>
    <w:rPr>
      <w:rFonts w:ascii="Cambria" w:hAnsi="Cambria" w:cs="Cambria"/>
      <w:i/>
      <w:iCs/>
      <w:color w:val="404040"/>
      <w:sz w:val="20"/>
      <w:szCs w:val="20"/>
      <w:lang w:val="ru-RU"/>
    </w:rPr>
  </w:style>
  <w:style w:type="paragraph" w:styleId="Heading8">
    <w:name w:val="Heading 8"/>
    <w:basedOn w:val="Normal"/>
    <w:next w:val="BodyText"/>
    <w:qFormat/>
    <w:pPr>
      <w:keepNext w:val="true"/>
      <w:keepLines/>
      <w:numPr>
        <w:ilvl w:val="7"/>
        <w:numId w:val="1"/>
      </w:numPr>
      <w:spacing w:before="200" w:after="0"/>
      <w:contextualSpacing w:val="false"/>
      <w:outlineLvl w:val="7"/>
    </w:pPr>
    <w:rPr>
      <w:rFonts w:ascii="Cambria" w:hAnsi="Cambria" w:cs="Cambria"/>
      <w:color w:val="4F81BD"/>
      <w:sz w:val="20"/>
      <w:szCs w:val="20"/>
      <w:lang w:val="ru-RU"/>
    </w:rPr>
  </w:style>
  <w:style w:type="paragraph" w:styleId="Heading9">
    <w:name w:val="Heading 9"/>
    <w:basedOn w:val="Normal"/>
    <w:next w:val="BodyText"/>
    <w:qFormat/>
    <w:pPr>
      <w:numPr>
        <w:ilvl w:val="8"/>
        <w:numId w:val="1"/>
      </w:numPr>
      <w:spacing w:before="240" w:after="60"/>
      <w:contextualSpacing w:val="false"/>
      <w:outlineLvl w:val="8"/>
    </w:pPr>
    <w:rPr>
      <w:rFonts w:ascii="Arial" w:hAnsi="Arial" w:cs="Arial"/>
      <w:sz w:val="22"/>
      <w:szCs w:val="22"/>
      <w:lang w:val="ru-RU"/>
    </w:rPr>
  </w:style>
  <w:style w:type="character" w:styleId="WW8Num1z0">
    <w:name w:val="WW8Num1z0"/>
    <w:qFormat/>
    <w:rPr>
      <w:b/>
      <w:bCs w:val="false"/>
      <w:sz w:val="24"/>
      <w:szCs w:val="24"/>
    </w:rPr>
  </w:style>
  <w:style w:type="character" w:styleId="WW8Num1z1">
    <w:name w:val="WW8Num1z1"/>
    <w:qFormat/>
    <w:rPr>
      <w:b w:val="false"/>
      <w:bCs/>
      <w:sz w:val="24"/>
      <w:szCs w:val="24"/>
    </w:rPr>
  </w:style>
  <w:style w:type="character" w:styleId="WW8Num1z2">
    <w:name w:val="WW8Num1z2"/>
    <w:qFormat/>
    <w:rPr>
      <w:sz w:val="24"/>
      <w:szCs w:val="24"/>
    </w:rPr>
  </w:style>
  <w:style w:type="character" w:styleId="WW8Num3z0">
    <w:name w:val="WW8Num3z0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sz w:val="24"/>
      <w:szCs w:val="24"/>
      <w:u w:val="none"/>
      <w:vertAlign w:val="baseline"/>
      <w:em w:val="none"/>
    </w:rPr>
  </w:style>
  <w:style w:type="character" w:styleId="WW8Num3z1">
    <w:name w:val="WW8Num3z1"/>
    <w:qFormat/>
    <w:rPr>
      <w:b/>
      <w:bCs/>
      <w:i w:val="false"/>
      <w:iCs/>
      <w:sz w:val="24"/>
      <w:szCs w:val="24"/>
    </w:rPr>
  </w:style>
  <w:style w:type="character" w:styleId="WW8Num4z2">
    <w:name w:val="WW8Num4z2"/>
    <w:qFormat/>
    <w:rPr>
      <w:b w:val="false"/>
      <w:bCs w:val="false"/>
    </w:rPr>
  </w:style>
  <w:style w:type="character" w:styleId="WW8Num5z0">
    <w:name w:val="WW8Num5z0"/>
    <w:qFormat/>
    <w:rPr>
      <w:rFonts w:ascii="Times New Roman" w:hAnsi="Times New Roman" w:eastAsia="Times New Roman" w:cs="Times New Roman"/>
      <w:b w:val="false"/>
      <w:color w:val="000000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Style">
    <w:name w:val="Основной шрифт абзаца"/>
    <w:qFormat/>
    <w:rPr/>
  </w:style>
  <w:style w:type="character" w:styleId="Style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Style"/>
    <w:rPr/>
  </w:style>
  <w:style w:type="character" w:styleId="Hyperlink">
    <w:name w:val="Hyperlink"/>
    <w:rPr>
      <w:color w:val="0563C1"/>
      <w:u w:val="single"/>
    </w:rPr>
  </w:style>
  <w:style w:type="character" w:styleId="Style2">
    <w:name w:val="Знак примечания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>
    <w:name w:val="Заголовок 6 Знак"/>
    <w:qFormat/>
    <w:rPr>
      <w:rFonts w:ascii="Cambria" w:hAnsi="Cambria" w:cs="Cambria"/>
      <w:i/>
      <w:iCs/>
      <w:color w:val="243F60"/>
      <w:lang w:val="ru-RU"/>
    </w:rPr>
  </w:style>
  <w:style w:type="character" w:styleId="7">
    <w:name w:val="Заголовок 7 Знак"/>
    <w:qFormat/>
    <w:rPr>
      <w:rFonts w:ascii="Cambria" w:hAnsi="Cambria" w:cs="Cambria"/>
      <w:i/>
      <w:iCs/>
      <w:color w:val="404040"/>
      <w:lang w:val="ru-RU"/>
    </w:rPr>
  </w:style>
  <w:style w:type="character" w:styleId="8">
    <w:name w:val="Заголовок 8 Знак"/>
    <w:qFormat/>
    <w:rPr>
      <w:rFonts w:ascii="Cambria" w:hAnsi="Cambria" w:cs="Cambria"/>
      <w:color w:val="4F81BD"/>
      <w:lang w:val="ru-RU"/>
    </w:rPr>
  </w:style>
  <w:style w:type="character" w:styleId="1">
    <w:name w:val="Заголовок 1 Знак"/>
    <w:qFormat/>
    <w:rPr>
      <w:rFonts w:eastAsia="Calibri"/>
      <w:b/>
      <w:sz w:val="28"/>
      <w:szCs w:val="28"/>
      <w:lang w:val="ru-RU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lang w:val="ru-RU"/>
    </w:rPr>
  </w:style>
  <w:style w:type="character" w:styleId="3">
    <w:name w:val="Заголовок 3 Знак"/>
    <w:qFormat/>
    <w:rPr>
      <w:rFonts w:eastAsia="Calibri"/>
      <w:b/>
      <w:sz w:val="24"/>
      <w:szCs w:val="24"/>
      <w:lang w:val="ru-RU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ru-RU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3">
    <w:name w:val="Название Знак"/>
    <w:qFormat/>
    <w:rPr>
      <w:sz w:val="28"/>
    </w:rPr>
  </w:style>
  <w:style w:type="character" w:styleId="Style4">
    <w:name w:val="Подзаголовок Знак"/>
    <w:qFormat/>
    <w:rPr>
      <w:rFonts w:ascii="Cambria" w:hAnsi="Cambria" w:cs="Cambria"/>
      <w:i/>
      <w:iCs/>
      <w:color w:val="4F81BD"/>
      <w:spacing w:val="15"/>
      <w:sz w:val="24"/>
      <w:szCs w:val="24"/>
      <w:lang w:val="ru-RU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qFormat/>
    <w:rPr>
      <w:rFonts w:ascii="Calibri" w:hAnsi="Calibri" w:eastAsia="Calibri" w:cs="Calibri"/>
      <w:i/>
      <w:iCs/>
      <w:color w:val="000000"/>
      <w:lang w:val="ru-RU"/>
    </w:rPr>
  </w:style>
  <w:style w:type="character" w:styleId="Style5">
    <w:name w:val="Выделенная цитата Знак"/>
    <w:qFormat/>
    <w:rPr>
      <w:rFonts w:ascii="Calibri" w:hAnsi="Calibri" w:eastAsia="Calibri" w:cs="Calibri"/>
      <w:b/>
      <w:bCs/>
      <w:i/>
      <w:iCs/>
      <w:color w:val="4F81BD"/>
      <w:lang w:val="ru-RU"/>
    </w:rPr>
  </w:style>
  <w:style w:type="character" w:styleId="Style6">
    <w:name w:val="Слабое выделение"/>
    <w:qFormat/>
    <w:rPr>
      <w:i/>
      <w:iCs/>
      <w:color w:val="808080"/>
    </w:rPr>
  </w:style>
  <w:style w:type="character" w:styleId="Style7">
    <w:name w:val="Сильное выделение"/>
    <w:qFormat/>
    <w:rPr>
      <w:b/>
      <w:bCs/>
      <w:i/>
      <w:iCs/>
      <w:color w:val="4F81BD"/>
    </w:rPr>
  </w:style>
  <w:style w:type="character" w:styleId="Style8">
    <w:name w:val="Слабая ссылка"/>
    <w:qFormat/>
    <w:rPr>
      <w:smallCaps/>
      <w:color w:val="C0504D"/>
      <w:u w:val="single"/>
    </w:rPr>
  </w:style>
  <w:style w:type="character" w:styleId="Style9">
    <w:name w:val="Сильная ссылка"/>
    <w:qFormat/>
    <w:rPr>
      <w:b/>
      <w:bCs/>
      <w:smallCaps/>
      <w:color w:val="C0504D"/>
      <w:spacing w:val="5"/>
      <w:u w:val="single"/>
    </w:rPr>
  </w:style>
  <w:style w:type="character" w:styleId="Style10">
    <w:name w:val="Название книги"/>
    <w:qFormat/>
    <w:rPr>
      <w:b/>
      <w:bCs/>
      <w:smallCaps/>
      <w:spacing w:val="5"/>
    </w:rPr>
  </w:style>
  <w:style w:type="character" w:styleId="Style11">
    <w:name w:val="Электронная подпись Знак"/>
    <w:qFormat/>
    <w:rPr>
      <w:rFonts w:eastAsia="Calibri"/>
      <w:sz w:val="24"/>
      <w:szCs w:val="24"/>
    </w:rPr>
  </w:style>
  <w:style w:type="character" w:styleId="11">
    <w:name w:val="Заголовок 1 Знак1"/>
    <w:qFormat/>
    <w:rPr>
      <w:sz w:val="28"/>
    </w:rPr>
  </w:style>
  <w:style w:type="character" w:styleId="Style12">
    <w:name w:val="Текст сноски Знак"/>
    <w:qFormat/>
    <w:rPr/>
  </w:style>
  <w:style w:type="character" w:styleId="Style13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14">
    <w:name w:val="Абзац списка Знак"/>
    <w:qFormat/>
    <w:rPr>
      <w:rFonts w:eastAsia="Calibri"/>
      <w:sz w:val="24"/>
      <w:szCs w:val="24"/>
    </w:rPr>
  </w:style>
  <w:style w:type="character" w:styleId="Style15">
    <w:name w:val="комментарий"/>
    <w:qFormat/>
    <w:rPr>
      <w:i/>
      <w:shd w:fill="FFFF99" w:val="clear"/>
    </w:rPr>
  </w:style>
  <w:style w:type="character" w:styleId="Style16">
    <w:name w:val="Подподпункт Знак"/>
    <w:qFormat/>
    <w:rPr>
      <w:sz w:val="26"/>
      <w:szCs w:val="26"/>
    </w:rPr>
  </w:style>
  <w:style w:type="character" w:styleId="31">
    <w:name w:val="Заголовок 3 Знак1"/>
    <w:qFormat/>
    <w:rPr>
      <w:rFonts w:eastAsia="Calibri"/>
      <w:b/>
      <w:color w:val="00000A"/>
      <w:sz w:val="24"/>
      <w:szCs w:val="24"/>
      <w:lang w:val="ru-RU"/>
    </w:rPr>
  </w:style>
  <w:style w:type="character" w:styleId="Style17">
    <w:name w:val="Верхний колонтитул Знак"/>
    <w:qFormat/>
    <w:rPr>
      <w:sz w:val="24"/>
      <w:szCs w:val="24"/>
    </w:rPr>
  </w:style>
  <w:style w:type="character" w:styleId="Style18">
    <w:name w:val="Текст примечания Знак"/>
    <w:qFormat/>
    <w:rPr/>
  </w:style>
  <w:style w:type="character" w:styleId="Style19">
    <w:name w:val="Текст концевой сноски Знак"/>
    <w:basedOn w:val="Style"/>
    <w:qFormat/>
    <w:rPr/>
  </w:style>
  <w:style w:type="character" w:styleId="Style20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22">
    <w:name w:val="Пункт2 Знак"/>
    <w:qFormat/>
    <w:rPr>
      <w:b/>
      <w:sz w:val="28"/>
    </w:rPr>
  </w:style>
  <w:style w:type="character" w:styleId="12">
    <w:name w:val="УРОВЕНЬ_1. Знак"/>
    <w:qFormat/>
    <w:rPr>
      <w:rFonts w:eastAsia="Calibri"/>
      <w:caps/>
      <w:sz w:val="28"/>
      <w:szCs w:val="28"/>
    </w:rPr>
  </w:style>
  <w:style w:type="character" w:styleId="13">
    <w:name w:val="Неразрешенное упоминание1"/>
    <w:qFormat/>
    <w:rPr>
      <w:color w:val="605E5C"/>
      <w:shd w:fill="E1DFDD" w:val="clear"/>
    </w:rPr>
  </w:style>
  <w:style w:type="character" w:styleId="32">
    <w:name w:val="Оглавление 3 Знак"/>
    <w:qFormat/>
    <w:rPr>
      <w:sz w:val="16"/>
      <w:szCs w:val="16"/>
    </w:rPr>
  </w:style>
  <w:style w:type="character" w:styleId="Style21">
    <w:name w:val="Ссылка указателя"/>
    <w:qFormat/>
    <w:rPr/>
  </w:style>
  <w:style w:type="character" w:styleId="Style22">
    <w:name w:val="Символы концевой сноски"/>
    <w:qFormat/>
    <w:rPr/>
  </w:style>
  <w:style w:type="character" w:styleId="WW8Num25z0">
    <w:name w:val="WW8Num25z0"/>
    <w:qFormat/>
    <w:rPr>
      <w:b/>
    </w:rPr>
  </w:style>
  <w:style w:type="character" w:styleId="Style23">
    <w:name w:val="Гиперссылка"/>
    <w:qFormat/>
    <w:rPr>
      <w:color w:val="0563C1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  <w:contextualSpacing w:val="false"/>
    </w:pPr>
    <w:rPr>
      <w:rFonts w:ascii="Liberation Sans;Times New Roman" w:hAnsi="Liberation Sans;Times New Roman" w:eastAsia="Arial Unicode MS;Malgun Gothic Semilight" w:cs="Arial Unicode MS;Malgun Gothic Semilight"/>
    </w:rPr>
  </w:style>
  <w:style w:type="paragraph" w:styleId="BodyText">
    <w:name w:val="Body Text"/>
    <w:basedOn w:val="Normal"/>
    <w:pPr>
      <w:spacing w:before="0" w:after="120"/>
      <w:contextualSpacing w:val="false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  <w:contextualSpacing w:val="false"/>
    </w:pPr>
    <w:rPr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/>
  </w:style>
  <w:style w:type="paragraph" w:styleId="Style26">
    <w:name w:val="Название объекта"/>
    <w:basedOn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">
    <w:name w:val="Index Heading"/>
    <w:basedOn w:val="Style24"/>
    <w:pPr/>
    <w:rPr/>
  </w:style>
  <w:style w:type="paragraph" w:styleId="14">
    <w:name w:val="Заголовок1"/>
    <w:basedOn w:val="Normal"/>
    <w:next w:val="BodyText"/>
    <w:qFormat/>
    <w:pPr>
      <w:keepNext w:val="true"/>
      <w:spacing w:before="240" w:after="120"/>
      <w:contextualSpacing w:val="false"/>
    </w:pPr>
    <w:rPr>
      <w:rFonts w:ascii="Liberation Sans;Times New Roman" w:hAnsi="Liberation Sans;Times New Roman" w:eastAsia="Arial Unicode MS;Malgun Gothic Semilight" w:cs="Arial Unicode MS;Malgun Gothic Semilight"/>
    </w:rPr>
  </w:style>
  <w:style w:type="paragraph" w:styleId="Style27">
    <w:name w:val="Название раздела инструкции"/>
    <w:basedOn w:val="Normal"/>
    <w:qFormat/>
    <w:pPr>
      <w:jc w:val="center"/>
    </w:pPr>
    <w:rPr>
      <w:b/>
    </w:rPr>
  </w:style>
  <w:style w:type="paragraph" w:styleId="Style28">
    <w:name w:val="Раздел положения"/>
    <w:basedOn w:val="Normal"/>
    <w:qFormat/>
    <w:pPr>
      <w:spacing w:before="80" w:after="80"/>
      <w:contextualSpacing w:val="false"/>
      <w:jc w:val="center"/>
    </w:pPr>
    <w:rPr>
      <w:b/>
      <w:sz w:val="32"/>
      <w:szCs w:val="32"/>
    </w:rPr>
  </w:style>
  <w:style w:type="paragraph" w:styleId="Style29">
    <w:name w:val="Подраздел раздела положения"/>
    <w:basedOn w:val="Normal"/>
    <w:qFormat/>
    <w:pPr>
      <w:spacing w:before="80" w:after="80"/>
      <w:contextualSpacing w:val="false"/>
      <w:jc w:val="both"/>
    </w:pPr>
    <w:rPr/>
  </w:style>
  <w:style w:type="paragraph" w:styleId="FootnoteText">
    <w:name w:val="Footnote Text"/>
    <w:basedOn w:val="Normal"/>
    <w:pPr/>
    <w:rPr/>
  </w:style>
  <w:style w:type="paragraph" w:styleId="15">
    <w:name w:val="Шапка 1"/>
    <w:basedOn w:val="Normal"/>
    <w:qFormat/>
    <w:pPr>
      <w:pBdr>
        <w:bottom w:val="thickThinSmallGap" w:sz="24" w:space="1" w:color="00000A"/>
      </w:pBdr>
      <w:spacing w:before="0" w:after="240"/>
      <w:contextualSpacing w:val="false"/>
      <w:jc w:val="center"/>
    </w:pPr>
    <w:rPr>
      <w:sz w:val="22"/>
      <w:szCs w:val="22"/>
    </w:rPr>
  </w:style>
  <w:style w:type="paragraph" w:styleId="211">
    <w:name w:val="Заголовок 2 Знак1"/>
    <w:basedOn w:val="Normal"/>
    <w:qFormat/>
    <w:pPr>
      <w:pBdr>
        <w:bottom w:val="thickThinSmallGap" w:sz="24" w:space="1" w:color="00000A"/>
      </w:pBdr>
      <w:spacing w:before="0" w:after="120"/>
      <w:contextualSpacing w:val="false"/>
      <w:jc w:val="center"/>
    </w:pPr>
    <w:rPr>
      <w:b/>
      <w:sz w:val="22"/>
      <w:szCs w:val="22"/>
    </w:rPr>
  </w:style>
  <w:style w:type="paragraph" w:styleId="33">
    <w:name w:val="Шапка 3"/>
    <w:basedOn w:val="Normal"/>
    <w:qFormat/>
    <w:pPr>
      <w:pBdr>
        <w:bottom w:val="thickThinSmallGap" w:sz="24" w:space="1" w:color="00000A"/>
      </w:pBdr>
      <w:spacing w:before="240" w:after="360"/>
      <w:contextualSpacing w:val="false"/>
      <w:jc w:val="center"/>
    </w:pPr>
    <w:rPr>
      <w:b/>
      <w:sz w:val="24"/>
      <w:szCs w:val="24"/>
    </w:rPr>
  </w:style>
  <w:style w:type="paragraph" w:styleId="16">
    <w:name w:val="Название1"/>
    <w:basedOn w:val="Normal"/>
    <w:qFormat/>
    <w:pPr>
      <w:jc w:val="center"/>
    </w:pPr>
    <w:rPr>
      <w:szCs w:val="20"/>
      <w:lang w:val="ru-RU"/>
    </w:rPr>
  </w:style>
  <w:style w:type="paragraph" w:styleId="Style30">
    <w:name w:val="Колонтитул"/>
    <w:basedOn w:val="Normal"/>
    <w:qFormat/>
    <w:pPr/>
    <w:rPr/>
  </w:style>
  <w:style w:type="paragraph" w:styleId="Header">
    <w:name w:val="Header"/>
    <w:basedOn w:val="Normal"/>
    <w:pPr/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pPr/>
    <w:rPr/>
  </w:style>
  <w:style w:type="paragraph" w:styleId="23">
    <w:name w:val="Основной текст с отступом 2"/>
    <w:basedOn w:val="Normal"/>
    <w:qFormat/>
    <w:pPr>
      <w:spacing w:lineRule="auto" w:line="480" w:before="0" w:after="120"/>
      <w:ind w:left="283" w:hanging="0"/>
      <w:contextualSpacing w:val="false"/>
    </w:pPr>
    <w:rPr/>
  </w:style>
  <w:style w:type="paragraph" w:styleId="34">
    <w:name w:val="Основной текст 3"/>
    <w:basedOn w:val="Normal"/>
    <w:qFormat/>
    <w:pPr>
      <w:spacing w:before="0" w:after="120"/>
      <w:contextualSpacing w:val="false"/>
    </w:pPr>
    <w:rPr>
      <w:sz w:val="16"/>
      <w:szCs w:val="16"/>
    </w:rPr>
  </w:style>
  <w:style w:type="paragraph" w:styleId="35">
    <w:name w:val="Основной текст с отступом 3"/>
    <w:basedOn w:val="Normal"/>
    <w:qFormat/>
    <w:pPr>
      <w:spacing w:before="0" w:after="120"/>
      <w:ind w:left="283" w:hanging="0"/>
      <w:contextualSpacing w:val="false"/>
    </w:pPr>
    <w:rPr>
      <w:sz w:val="16"/>
      <w:szCs w:val="16"/>
    </w:rPr>
  </w:style>
  <w:style w:type="paragraph" w:styleId="24">
    <w:name w:val="Основной текст 2"/>
    <w:basedOn w:val="Normal"/>
    <w:qFormat/>
    <w:pPr>
      <w:spacing w:lineRule="auto" w:line="480" w:before="0" w:after="120"/>
      <w:contextualSpacing w:val="false"/>
    </w:pPr>
    <w:rPr/>
  </w:style>
  <w:style w:type="paragraph" w:styleId="Style31">
    <w:name w:val="Цитата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2">
    <w:name w:val="Подпункт"/>
    <w:basedOn w:val="Normal"/>
    <w:qFormat/>
    <w:pPr>
      <w:snapToGrid w:val="false"/>
      <w:spacing w:lineRule="auto" w:line="360"/>
      <w:ind w:left="1134" w:hanging="1134"/>
      <w:jc w:val="both"/>
    </w:pPr>
    <w:rPr>
      <w:szCs w:val="20"/>
      <w:lang w:val="ru-RU"/>
    </w:rPr>
  </w:style>
  <w:style w:type="paragraph" w:styleId="25">
    <w:name w:val="Пункт2"/>
    <w:basedOn w:val="Normal"/>
    <w:qFormat/>
    <w:pPr>
      <w:keepNext w:val="true"/>
      <w:snapToGrid w:val="false"/>
      <w:spacing w:before="240" w:after="120"/>
      <w:ind w:left="1134" w:hanging="1134"/>
      <w:contextualSpacing w:val="false"/>
      <w:outlineLvl w:val="2"/>
    </w:pPr>
    <w:rPr>
      <w:b/>
      <w:szCs w:val="20"/>
    </w:rPr>
  </w:style>
  <w:style w:type="paragraph" w:styleId="TOC1">
    <w:name w:val="TOC 1"/>
    <w:basedOn w:val="Normal"/>
    <w:pPr>
      <w:spacing w:before="120" w:after="0"/>
      <w:contextualSpacing w:val="false"/>
    </w:pPr>
    <w:rPr>
      <w:rFonts w:cs="Calibri Light (Заголовки);Times New Roman"/>
      <w:b/>
      <w:bCs/>
      <w:sz w:val="24"/>
      <w:szCs w:val="24"/>
    </w:rPr>
  </w:style>
  <w:style w:type="paragraph" w:styleId="TOC3">
    <w:name w:val="TOC 3"/>
    <w:basedOn w:val="Normal"/>
    <w:pPr>
      <w:ind w:left="280" w:hanging="0"/>
    </w:pPr>
    <w:rPr>
      <w:rFonts w:cs="Calibri"/>
      <w:sz w:val="20"/>
      <w:szCs w:val="20"/>
    </w:rPr>
  </w:style>
  <w:style w:type="paragraph" w:styleId="Style33">
    <w:name w:val="Раздел регламента"/>
    <w:basedOn w:val="Normal"/>
    <w:qFormat/>
    <w:pPr/>
    <w:rPr/>
  </w:style>
  <w:style w:type="paragraph" w:styleId="Style34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pPr>
      <w:spacing w:before="240" w:after="0"/>
      <w:contextualSpacing w:val="false"/>
    </w:pPr>
    <w:rPr>
      <w:rFonts w:cs="Calibri"/>
      <w:b/>
      <w:bCs/>
      <w:sz w:val="20"/>
      <w:szCs w:val="20"/>
    </w:rPr>
  </w:style>
  <w:style w:type="paragraph" w:styleId="Style3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36">
    <w:name w:val="Текст примечания"/>
    <w:basedOn w:val="Normal"/>
    <w:qFormat/>
    <w:pPr/>
    <w:rPr>
      <w:sz w:val="20"/>
      <w:szCs w:val="20"/>
    </w:rPr>
  </w:style>
  <w:style w:type="paragraph" w:styleId="Style37">
    <w:name w:val="Тема примечания"/>
    <w:basedOn w:val="Style36"/>
    <w:qFormat/>
    <w:pPr/>
    <w:rPr>
      <w:b/>
      <w:bCs/>
    </w:rPr>
  </w:style>
  <w:style w:type="paragraph" w:styleId="17">
    <w:name w:val="Обычный (веб)1"/>
    <w:basedOn w:val="Normal"/>
    <w:qFormat/>
    <w:pPr>
      <w:spacing w:before="280" w:after="280"/>
      <w:contextualSpacing w:val="false"/>
    </w:pPr>
    <w:rPr>
      <w:rFonts w:ascii="Arial Unicode MS;Malgun Gothic Semilight" w:hAnsi="Arial Unicode MS;Malgun Gothic Semilight" w:eastAsia="Arial Unicode MS;Malgun Gothic Semilight" w:cs="Arial Unicode MS;Malgun Gothic Semilight"/>
      <w:sz w:val="24"/>
      <w:szCs w:val="24"/>
    </w:rPr>
  </w:style>
  <w:style w:type="paragraph" w:styleId="TOC9">
    <w:name w:val="TOC 9"/>
    <w:basedOn w:val="Normal"/>
    <w:pPr>
      <w:ind w:left="196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pPr>
      <w:ind w:left="84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pPr>
      <w:ind w:left="560" w:hanging="0"/>
    </w:pPr>
    <w:rPr>
      <w:rFonts w:cs="Calibri"/>
      <w:sz w:val="20"/>
      <w:szCs w:val="20"/>
    </w:rPr>
  </w:style>
  <w:style w:type="paragraph" w:styleId="26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38">
    <w:name w:val="Знак Знак Знак Знак Знак Знак Знак Знак Знак"/>
    <w:basedOn w:val="Normal"/>
    <w:qFormat/>
    <w:pPr>
      <w:spacing w:lineRule="exact" w:line="240" w:before="0" w:after="160"/>
      <w:contextualSpacing w:val="false"/>
      <w:jc w:val="both"/>
    </w:pPr>
    <w:rPr>
      <w:rFonts w:ascii="Verdana" w:hAnsi="Verdana" w:cs="Verdana"/>
      <w:sz w:val="22"/>
      <w:szCs w:val="22"/>
      <w:lang w:val="en-US"/>
    </w:rPr>
  </w:style>
  <w:style w:type="paragraph" w:styleId="Style39">
    <w:name w:val="Без интервала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BodyText"/>
    <w:qFormat/>
    <w:pPr>
      <w:ind w:left="1066" w:firstLine="709"/>
    </w:pPr>
    <w:rPr>
      <w:rFonts w:ascii="Cambria" w:hAnsi="Cambria" w:cs="Cambria"/>
      <w:i/>
      <w:iCs/>
      <w:color w:val="4F81BD"/>
      <w:spacing w:val="15"/>
      <w:sz w:val="24"/>
      <w:szCs w:val="24"/>
      <w:lang w:val="ru-RU"/>
    </w:rPr>
  </w:style>
  <w:style w:type="paragraph" w:styleId="Style40">
    <w:name w:val="Абзац списка"/>
    <w:basedOn w:val="Normal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27">
    <w:name w:val="Цитата 2"/>
    <w:basedOn w:val="Normal"/>
    <w:qFormat/>
    <w:pPr/>
    <w:rPr>
      <w:rFonts w:ascii="Calibri" w:hAnsi="Calibri" w:eastAsia="Calibri" w:cs="Calibri"/>
      <w:i/>
      <w:iCs/>
      <w:color w:val="000000"/>
      <w:sz w:val="20"/>
      <w:szCs w:val="20"/>
      <w:lang w:val="ru-RU"/>
    </w:rPr>
  </w:style>
  <w:style w:type="paragraph" w:styleId="Style41">
    <w:name w:val="Выделенная цитата"/>
    <w:basedOn w:val="Normal"/>
    <w:qFormat/>
    <w:pPr>
      <w:pBdr>
        <w:bottom w:val="single" w:sz="4" w:space="4" w:color="4F81BD"/>
      </w:pBdr>
      <w:spacing w:before="200" w:after="280"/>
      <w:ind w:left="936" w:right="936" w:hanging="0"/>
      <w:contextualSpacing w:val="false"/>
    </w:pPr>
    <w:rPr>
      <w:rFonts w:ascii="Calibri" w:hAnsi="Calibri" w:eastAsia="Calibri" w:cs="Calibri"/>
      <w:b/>
      <w:bCs/>
      <w:i/>
      <w:iCs/>
      <w:color w:val="4F81BD"/>
      <w:sz w:val="20"/>
      <w:szCs w:val="20"/>
      <w:lang w:val="ru-RU"/>
    </w:rPr>
  </w:style>
  <w:style w:type="paragraph" w:styleId="TOCHeading">
    <w:name w:val="TOC Heading"/>
    <w:basedOn w:val="Heading1"/>
    <w:qFormat/>
    <w:pPr>
      <w:keepLines/>
      <w:numPr>
        <w:ilvl w:val="0"/>
        <w:numId w:val="0"/>
      </w:numPr>
      <w:spacing w:before="480" w:after="60"/>
      <w:ind w:left="0" w:hanging="0"/>
      <w:outlineLvl w:val="9"/>
    </w:pPr>
    <w:rPr>
      <w:rFonts w:ascii="Cambria" w:hAnsi="Cambria" w:cs="Cambria"/>
      <w:bCs/>
      <w:color w:val="365F91"/>
    </w:rPr>
  </w:style>
  <w:style w:type="paragraph" w:styleId="Style42">
    <w:name w:val="Электронная подпись"/>
    <w:basedOn w:val="Normal"/>
    <w:qFormat/>
    <w:pPr/>
    <w:rPr>
      <w:rFonts w:eastAsia="Calibri"/>
      <w:sz w:val="24"/>
      <w:szCs w:val="24"/>
      <w:lang w:val="ru-RU"/>
    </w:rPr>
  </w:style>
  <w:style w:type="paragraph" w:styleId="Style43">
    <w:name w:val="Знак"/>
    <w:basedOn w:val="Normal"/>
    <w:qFormat/>
    <w:pPr>
      <w:spacing w:lineRule="exact" w:line="240" w:before="0" w:after="160"/>
      <w:contextualSpacing w:val="false"/>
    </w:pPr>
    <w:rPr>
      <w:rFonts w:ascii="Verdana" w:hAnsi="Verdana" w:cs="Verdana"/>
      <w:sz w:val="20"/>
      <w:szCs w:val="20"/>
      <w:lang w:val="en-US"/>
    </w:rPr>
  </w:style>
  <w:style w:type="paragraph" w:styleId="36">
    <w:name w:val="Основной текст с отступом 3 Знак"/>
    <w:basedOn w:val="Normal"/>
    <w:qFormat/>
    <w:pPr>
      <w:jc w:val="both"/>
    </w:pPr>
    <w:rPr>
      <w:rFonts w:ascii="Garamond" w:hAnsi="Garamond" w:cs="Garamond"/>
      <w:sz w:val="24"/>
      <w:szCs w:val="20"/>
    </w:rPr>
  </w:style>
  <w:style w:type="paragraph" w:styleId="41">
    <w:name w:val="Маркированный список 41"/>
    <w:basedOn w:val="Normal"/>
    <w:qFormat/>
    <w:pPr>
      <w:spacing w:before="120" w:after="0"/>
      <w:contextualSpacing w:val="false"/>
      <w:jc w:val="both"/>
    </w:pPr>
    <w:rPr>
      <w:rFonts w:ascii="Garamond" w:hAnsi="Garamond" w:cs="Garamond"/>
      <w:sz w:val="24"/>
      <w:szCs w:val="20"/>
    </w:rPr>
  </w:style>
  <w:style w:type="paragraph" w:styleId="28">
    <w:name w:val="Нумерованный список ур2"/>
    <w:basedOn w:val="Normal"/>
    <w:qFormat/>
    <w:pPr>
      <w:spacing w:before="120" w:after="0"/>
      <w:contextualSpacing w:val="false"/>
      <w:jc w:val="both"/>
    </w:pPr>
    <w:rPr>
      <w:rFonts w:ascii="Garamond" w:hAnsi="Garamond" w:cs="Garamond"/>
      <w:sz w:val="24"/>
      <w:szCs w:val="20"/>
    </w:rPr>
  </w:style>
  <w:style w:type="paragraph" w:styleId="Style44">
    <w:name w:val="Рецензия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8"/>
      <w:szCs w:val="20"/>
      <w:lang w:val="ru-RU" w:eastAsia="zh-CN" w:bidi="ar-SA"/>
    </w:rPr>
  </w:style>
  <w:style w:type="paragraph" w:styleId="37">
    <w:name w:val="Знак Знак3 Знак Знак"/>
    <w:basedOn w:val="Normal"/>
    <w:qFormat/>
    <w:pPr>
      <w:spacing w:lineRule="exact" w:line="240" w:before="0" w:after="160"/>
      <w:contextualSpacing w:val="false"/>
      <w:jc w:val="both"/>
    </w:pPr>
    <w:rPr>
      <w:rFonts w:ascii="Verdana" w:hAnsi="Verdana" w:cs="Verdana"/>
      <w:sz w:val="22"/>
      <w:szCs w:val="22"/>
      <w:lang w:val="en-US"/>
    </w:rPr>
  </w:style>
  <w:style w:type="paragraph" w:styleId="Style45">
    <w:name w:val="Пункт"/>
    <w:basedOn w:val="Normal"/>
    <w:qFormat/>
    <w:pPr>
      <w:widowControl w:val="false"/>
      <w:spacing w:lineRule="auto" w:line="360" w:before="120" w:after="0"/>
      <w:ind w:left="1134" w:right="800" w:hanging="1134"/>
      <w:contextualSpacing w:val="false"/>
      <w:jc w:val="both"/>
    </w:pPr>
    <w:rPr>
      <w:rFonts w:ascii="Arial" w:hAnsi="Arial" w:cs="Arial"/>
      <w:b/>
      <w:i/>
      <w:szCs w:val="20"/>
    </w:rPr>
  </w:style>
  <w:style w:type="paragraph" w:styleId="18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paragraph" w:styleId="Style46">
    <w:name w:val="Таблица"/>
    <w:basedOn w:val="Normal"/>
    <w:qFormat/>
    <w:pPr>
      <w:keepNext w:val="true"/>
      <w:spacing w:before="60" w:after="60"/>
      <w:contextualSpacing w:val="false"/>
      <w:jc w:val="center"/>
    </w:pPr>
    <w:rPr>
      <w:rFonts w:eastAsia="Calibri"/>
      <w:b/>
      <w:sz w:val="24"/>
      <w:szCs w:val="24"/>
      <w:lang w:val="ru-RU"/>
    </w:rPr>
  </w:style>
  <w:style w:type="paragraph" w:styleId="Style47">
    <w:name w:val="Таблица шапка"/>
    <w:basedOn w:val="Normal"/>
    <w:qFormat/>
    <w:pPr>
      <w:keepNext w:val="true"/>
      <w:spacing w:before="40" w:after="40"/>
      <w:ind w:left="57" w:right="57" w:hanging="0"/>
      <w:contextualSpacing w:val="false"/>
    </w:pPr>
    <w:rPr>
      <w:sz w:val="22"/>
      <w:szCs w:val="26"/>
    </w:rPr>
  </w:style>
  <w:style w:type="paragraph" w:styleId="Style48">
    <w:name w:val="Подподпункт"/>
    <w:basedOn w:val="Style32"/>
    <w:qFormat/>
    <w:pPr>
      <w:snapToGrid w:val="true"/>
      <w:spacing w:lineRule="auto" w:line="240" w:before="120" w:after="0"/>
      <w:ind w:left="5104" w:hanging="567"/>
      <w:contextualSpacing w:val="false"/>
    </w:pPr>
    <w:rPr>
      <w:sz w:val="26"/>
      <w:szCs w:val="26"/>
      <w:lang w:val="ru-RU"/>
    </w:rPr>
  </w:style>
  <w:style w:type="paragraph" w:styleId="Style49">
    <w:name w:val="УРОВЕНЬ_(а)"/>
    <w:basedOn w:val="Style40"/>
    <w:qFormat/>
    <w:pPr>
      <w:spacing w:lineRule="exact" w:line="360" w:before="120" w:after="0"/>
      <w:contextualSpacing/>
      <w:jc w:val="both"/>
      <w:outlineLvl w:val="3"/>
    </w:pPr>
    <w:rPr>
      <w:sz w:val="26"/>
      <w:szCs w:val="28"/>
    </w:rPr>
  </w:style>
  <w:style w:type="paragraph" w:styleId="-">
    <w:name w:val="УРОВЕНЬ_-"/>
    <w:basedOn w:val="Style40"/>
    <w:qFormat/>
    <w:pPr>
      <w:spacing w:lineRule="exact" w:line="360" w:before="120" w:after="0"/>
      <w:contextualSpacing/>
      <w:jc w:val="both"/>
      <w:outlineLvl w:val="4"/>
    </w:pPr>
    <w:rPr>
      <w:sz w:val="26"/>
      <w:szCs w:val="28"/>
    </w:rPr>
  </w:style>
  <w:style w:type="paragraph" w:styleId="29">
    <w:name w:val="УРОВЕНЬ_Абзац_тип2"/>
    <w:basedOn w:val="Style40"/>
    <w:qFormat/>
    <w:pPr>
      <w:spacing w:lineRule="exact" w:line="360" w:before="120" w:after="0"/>
      <w:contextualSpacing/>
      <w:jc w:val="both"/>
    </w:pPr>
    <w:rPr>
      <w:sz w:val="26"/>
      <w:szCs w:val="28"/>
    </w:rPr>
  </w:style>
  <w:style w:type="paragraph" w:styleId="38">
    <w:name w:val="УРОВЕНЬ_Абзац_тип3"/>
    <w:basedOn w:val="Style40"/>
    <w:qFormat/>
    <w:pPr>
      <w:spacing w:lineRule="exact" w:line="360" w:before="120" w:after="0"/>
      <w:contextualSpacing/>
      <w:jc w:val="both"/>
    </w:pPr>
    <w:rPr>
      <w:sz w:val="26"/>
      <w:szCs w:val="28"/>
    </w:rPr>
  </w:style>
  <w:style w:type="paragraph" w:styleId="Style50">
    <w:name w:val="УРОВЕНЬ_Подпись"/>
    <w:basedOn w:val="Style40"/>
    <w:qFormat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</w:rPr>
  </w:style>
  <w:style w:type="paragraph" w:styleId="19">
    <w:name w:val="Стиль Заголовок 1 + по ширине"/>
    <w:basedOn w:val="Heading1"/>
    <w:qFormat/>
    <w:pPr>
      <w:keepLines/>
      <w:numPr>
        <w:ilvl w:val="0"/>
        <w:numId w:val="0"/>
      </w:numPr>
      <w:spacing w:before="480" w:after="240"/>
      <w:ind w:left="567" w:hanging="567"/>
      <w:jc w:val="both"/>
      <w:outlineLvl w:val="9"/>
    </w:pPr>
    <w:rPr>
      <w:rFonts w:ascii="Arial" w:hAnsi="Arial" w:eastAsia="Times New Roman" w:cs="Arial"/>
      <w:bCs/>
      <w:sz w:val="40"/>
      <w:szCs w:val="20"/>
      <w:lang w:val="ru-RU"/>
    </w:rPr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210">
    <w:name w:val="Заголовок 2 КВВ"/>
    <w:basedOn w:val="Normal"/>
    <w:qFormat/>
    <w:pPr>
      <w:keepNext w:val="true"/>
      <w:spacing w:before="120" w:after="120"/>
      <w:contextualSpacing w:val="false"/>
      <w:jc w:val="both"/>
      <w:outlineLvl w:val="0"/>
    </w:pPr>
    <w:rPr>
      <w:b/>
      <w:sz w:val="24"/>
      <w:szCs w:val="20"/>
    </w:rPr>
  </w:style>
  <w:style w:type="paragraph" w:styleId="Style51">
    <w:name w:val="Таблица текст"/>
    <w:basedOn w:val="Normal"/>
    <w:qFormat/>
    <w:pPr>
      <w:spacing w:before="40" w:after="40"/>
      <w:ind w:left="57" w:right="57" w:hanging="0"/>
      <w:contextualSpacing w:val="false"/>
    </w:pPr>
    <w:rPr>
      <w:sz w:val="24"/>
      <w:szCs w:val="26"/>
    </w:rPr>
  </w:style>
  <w:style w:type="paragraph" w:styleId="Style52">
    <w:name w:val="Обычный (веб)"/>
    <w:basedOn w:val="Normal"/>
    <w:qFormat/>
    <w:pPr>
      <w:spacing w:before="280" w:after="280"/>
      <w:contextualSpacing w:val="false"/>
    </w:pPr>
    <w:rPr>
      <w:sz w:val="24"/>
      <w:szCs w:val="24"/>
    </w:rPr>
  </w:style>
  <w:style w:type="paragraph" w:styleId="110">
    <w:name w:val="УРОВЕНЬ_1."/>
    <w:basedOn w:val="Style40"/>
    <w:qFormat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pPr>
      <w:ind w:left="112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pPr>
      <w:ind w:left="140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pPr>
      <w:ind w:left="1680" w:hanging="0"/>
    </w:pPr>
    <w:rPr>
      <w:rFonts w:ascii="Calibri" w:hAnsi="Calibri" w:cs="Calibri"/>
      <w:sz w:val="20"/>
      <w:szCs w:val="20"/>
    </w:rPr>
  </w:style>
  <w:style w:type="paragraph" w:styleId="Style53">
    <w:name w:val="Содержимое таблицы"/>
    <w:basedOn w:val="Normal"/>
    <w:qFormat/>
    <w:pPr/>
    <w:rPr/>
  </w:style>
  <w:style w:type="paragraph" w:styleId="Style54">
    <w:name w:val="Заголовок таблицы"/>
    <w:basedOn w:val="Style53"/>
    <w:qFormat/>
    <w:pPr/>
    <w:rPr/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Style55">
    <w:name w:val="Без отступа"/>
    <w:basedOn w:val="Normal"/>
    <w:qFormat/>
    <w:pPr>
      <w:jc w:val="both"/>
    </w:pPr>
    <w:rPr/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yperlink" Target="https://docs.cntd.ru/document/456050591" TargetMode="External"/><Relationship Id="rId5" Type="http://schemas.openxmlformats.org/officeDocument/2006/relationships/hyperlink" Target="https://base.garant.ru/12176727/" TargetMode="Externa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3567</TotalTime>
  <Application>AlterOffice/3.4.0.9$Linux_X86_64 LibreOffice_project/b8daf9e823b1a5463a2f48435ddc2e8696e7d4fc</Application>
  <AppVersion>15.0000</AppVersion>
  <Pages>18</Pages>
  <Words>2950</Words>
  <Characters>20209</Characters>
  <CharactersWithSpaces>23014</CharactersWithSpaces>
  <Paragraphs>431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2024-06-06T14:05:00Z</dcterms:created>
  <dc:creator>Быстров Олег Геннадьевич</dc:creator>
  <dc:description/>
  <dc:language>ru-RU</dc:language>
  <cp:lastModifiedBy>tretyakovkv@corp.gidroogk.com</cp:lastModifiedBy>
  <cp:lastPrinted>2024-07-25T16:26:00Z</cp:lastPrinted>
  <dcterms:modified xsi:type="dcterms:W3CDTF">2026-08-14T12:55:00Z</dcterms:modified>
  <cp:revision>125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