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tabs>
          <w:tab w:val="clear" w:pos="720"/>
          <w:tab w:val="left" w:pos="5400" w:leader="none"/>
        </w:tabs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bookmarkStart w:id="0" w:name="_Toc122778432"/>
      <w:bookmarkStart w:id="1" w:name="_Toc120634077"/>
      <w:bookmarkStart w:id="2" w:name="_Toc120634700"/>
      <w:bookmarkStart w:id="3" w:name="_Toc120634378"/>
      <w:bookmarkStart w:id="4" w:name="_Toc122778432"/>
      <w:bookmarkStart w:id="5" w:name="_Toc120634077"/>
      <w:bookmarkStart w:id="6" w:name="_Toc120634700"/>
      <w:bookmarkStart w:id="7" w:name="_Toc120634378"/>
      <w:bookmarkEnd w:id="4"/>
      <w:bookmarkEnd w:id="5"/>
      <w:bookmarkEnd w:id="6"/>
      <w:bookmarkEnd w:id="7"/>
    </w:p>
    <w:p>
      <w:pPr>
        <w:pStyle w:val="Normal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>
      <w:pPr>
        <w:pStyle w:val="Normal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284" w:right="28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 выполнение работ по разработке проектной документации, выполнение инженерных изысканий </w:t>
      </w:r>
      <w:r>
        <w:rPr>
          <w:b/>
          <w:i/>
          <w:iCs/>
          <w:sz w:val="24"/>
          <w:szCs w:val="24"/>
        </w:rPr>
        <w:t xml:space="preserve">по объекту </w:t>
      </w:r>
      <w:r>
        <w:rPr>
          <w:b/>
          <w:i/>
          <w:sz w:val="24"/>
          <w:szCs w:val="24"/>
        </w:rPr>
        <w:t>«Строительство линии наружного освещения на автомобильной дороге общего пользования межмуниципального значения Змеево – Кушалино – Хохловка (д. Славное) Калининского муниципального округа Тверской области»</w:t>
      </w:r>
    </w:p>
    <w:p>
      <w:pPr>
        <w:pStyle w:val="BodyTextIndent"/>
        <w:tabs>
          <w:tab w:val="clear" w:pos="720"/>
          <w:tab w:val="left" w:pos="9923" w:leader="none"/>
        </w:tabs>
        <w:ind w:firstLine="284" w:left="34" w:right="284"/>
        <w:rPr>
          <w:sz w:val="24"/>
          <w:szCs w:val="24"/>
        </w:rPr>
      </w:pPr>
      <w:r>
        <w:rPr>
          <w:sz w:val="24"/>
          <w:szCs w:val="24"/>
        </w:rPr>
      </w:r>
      <w:bookmarkStart w:id="8" w:name="_Toc122778432"/>
      <w:bookmarkStart w:id="9" w:name="_Toc120634077"/>
      <w:bookmarkStart w:id="10" w:name="_Toc120634700"/>
      <w:bookmarkStart w:id="11" w:name="_Toc120634378"/>
      <w:bookmarkStart w:id="12" w:name="_Toc122778432"/>
      <w:bookmarkStart w:id="13" w:name="_Toc120634077"/>
      <w:bookmarkStart w:id="14" w:name="_Toc120634700"/>
      <w:bookmarkStart w:id="15" w:name="_Toc120634378"/>
      <w:bookmarkEnd w:id="12"/>
      <w:bookmarkEnd w:id="13"/>
      <w:bookmarkEnd w:id="14"/>
      <w:bookmarkEnd w:id="15"/>
    </w:p>
    <w:tbl>
      <w:tblPr>
        <w:tblW w:w="10206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09"/>
        <w:gridCol w:w="2437"/>
        <w:gridCol w:w="7060"/>
      </w:tblGrid>
      <w:tr>
        <w:trPr>
          <w:trHeight w:val="119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проектной документации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9923" w:leader="none"/>
              </w:tabs>
              <w:ind w:firstLine="425" w:left="34" w:right="33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Строительство линии наружного освещения на автомобильной дороге общего пользования межмуниципального значения Змеево – Кушалино – Хохловка (д. Славное) Калининского муниципального округа Тверской области.</w:t>
            </w:r>
          </w:p>
        </w:tc>
      </w:tr>
      <w:tr>
        <w:trPr>
          <w:trHeight w:val="85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9923" w:leader="none"/>
              </w:tabs>
              <w:ind w:firstLine="425" w:left="34" w:right="33"/>
              <w:jc w:val="both"/>
              <w:rPr>
                <w:b w:val="false"/>
                <w:bCs/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ПАО «Ростелеком»</w:t>
            </w:r>
          </w:p>
        </w:tc>
      </w:tr>
      <w:tr>
        <w:trPr>
          <w:trHeight w:val="253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Исходные данные по существующему объекту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Строительная длина участка освещения – 1,624 км (окончательную длину линии наружного освещения (далее - ЛНО) уточнить в процессе проектирования).</w:t>
            </w:r>
          </w:p>
          <w:p>
            <w:pPr>
              <w:pStyle w:val="BodyTextIndent"/>
              <w:tabs>
                <w:tab w:val="clear" w:pos="720"/>
                <w:tab w:val="left" w:pos="9923" w:leader="none"/>
              </w:tabs>
              <w:ind w:firstLine="425" w:left="34" w:right="33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Категория автомобильной дороги - I</w:t>
            </w:r>
            <w:r>
              <w:rPr>
                <w:b w:val="false"/>
                <w:sz w:val="24"/>
                <w:szCs w:val="24"/>
                <w:lang w:val="en-US"/>
              </w:rPr>
              <w:t>V</w:t>
            </w:r>
            <w:r>
              <w:rPr>
                <w:b w:val="false"/>
                <w:sz w:val="24"/>
                <w:szCs w:val="24"/>
              </w:rPr>
              <w:t>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исходных данных в необходимой номенклатуре выполняется  проектной организацией, в том числе идентификационные признаки сооружений в соответствии с </w:t>
            </w:r>
            <w:hyperlink r:id="rId2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Федеральным законом от 30.12.2009 № 384-ФЗ</w:t>
              </w:r>
            </w:hyperlink>
            <w:r>
              <w:rPr>
                <w:sz w:val="24"/>
                <w:szCs w:val="24"/>
              </w:rPr>
              <w:t xml:space="preserve"> «Технический регламент о безопасности зданий и сооружений».</w:t>
            </w:r>
          </w:p>
        </w:tc>
      </w:tr>
      <w:tr>
        <w:trPr>
          <w:trHeight w:val="43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строительства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Стадия проектирования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документация.</w:t>
            </w:r>
          </w:p>
        </w:tc>
      </w:tr>
      <w:tr>
        <w:trPr>
          <w:trHeight w:val="53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очередность реализации объекта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</w:t>
            </w:r>
            <w:r>
              <w:rPr>
                <w:rStyle w:val="CommentReference"/>
              </w:rPr>
              <w:t>:</w:t>
            </w:r>
          </w:p>
          <w:p>
            <w:pPr>
              <w:pStyle w:val="4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 xml:space="preserve">начало выполнения Работ – с даты заключения </w:t>
            </w: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Договора</w:t>
            </w: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2340" w:leader="none"/>
              </w:tabs>
              <w:spacing w:before="0" w:after="0"/>
              <w:contextualSpacing/>
              <w:jc w:val="both"/>
              <w:rPr>
                <w:color w:themeColor="text1" w:val="000000"/>
                <w:sz w:val="24"/>
                <w:szCs w:val="24"/>
                <w:u w:val="singl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окончание Работ – «01» декабря 2026 г. (включительно). 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задачи проекта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ind w:firstLine="33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инию наружного электроосвещения запроектировать с системами дистанционного контроля и управления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соответствии с требованиями:</w:t>
            </w:r>
          </w:p>
          <w:p>
            <w:pPr>
              <w:pStyle w:val="Header"/>
              <w:ind w:firstLine="3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Правила устройства электроустановок (ПУЭ)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>
            <w:pPr>
              <w:pStyle w:val="Header"/>
              <w:ind w:firstLine="3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ГОСТ Р 52766-2007 Дороги автомобильные общего пользования. Элементы обустройства. Общие требования,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</w:t>
            </w:r>
            <w:hyperlink r:id="rId3" w:tooltip="&quot;СП 42.13330.2016 Градостроительство. Планировка и застройка городских и сельских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42.13330.2016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Свод правил. Градостроительство. Планировка и застройка городских и сельских поселений. Актуализированная редакция </w:t>
            </w:r>
            <w:hyperlink r:id="rId4" w:tooltip="&quot;СНиП 2.07.01-89* Градостроительство. Планировка и застройка городских и сельских поселений&quot; (утв. постановлением Госстроя СССР от 16.05.1989 N 78) Статус: Недействующая редакция документа (действ. c 01.01.1990 по 28.04.2020)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СНиП 2.07.01-89*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- </w:t>
            </w:r>
            <w:hyperlink r:id="rId5" w:tooltip="&quot;ГОСТ 32947-2014 Дороги автомобильные общего пользования. Опоры стационарного ...&quot; (утв. приказом Росстандарта от 31.08.2016 N 993-ст) Применяется с 08.09.2016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iCs/>
                  <w:color w:val="auto"/>
                  <w:sz w:val="24"/>
                  <w:szCs w:val="24"/>
                  <w:u w:val="none"/>
                </w:rPr>
                <w:t>ГОСТ 32947-2014</w:t>
              </w:r>
            </w:hyperlink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 Межгосударственный стандарт дороги автомобильные общего пользования опоры стационарного электрического освещения технические требования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"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Header"/>
              <w:spacing w:before="0" w:after="120"/>
              <w:ind w:firstLine="425" w:left="34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- прочими нормами проектирования.</w:t>
            </w:r>
          </w:p>
          <w:p>
            <w:pPr>
              <w:pStyle w:val="Header"/>
              <w:spacing w:before="0" w:after="120"/>
              <w:ind w:firstLine="425"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15 дней с момента заключения </w:t>
            </w:r>
            <w:r>
              <w:rPr>
                <w:sz w:val="24"/>
              </w:rPr>
              <w:t>договора</w:t>
            </w:r>
            <w:r>
              <w:rPr>
                <w:sz w:val="24"/>
              </w:rPr>
              <w:t xml:space="preserve"> предоставить Заказчику и согласовать подекадный календарный план с контрольными датами выполнения работ.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Согласовать с Заказчиком в течение 15 дней с момента заключения </w:t>
            </w:r>
            <w:r>
              <w:rPr>
                <w:sz w:val="24"/>
              </w:rPr>
              <w:t>договора</w:t>
            </w:r>
            <w:r>
              <w:rPr>
                <w:sz w:val="24"/>
              </w:rPr>
              <w:t xml:space="preserve"> программу изысканий. 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Согласовать с Заказчиком основные проектные решения и изменения этих решений в протокольном порядке. 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светотехнический расчет для данной категории дороги, к которой относится объект, с целью обеспечения принятого нормативного уровня освещенности и яркости дорожного покрытия. Учесть количество полос движения.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расчета определить наиболее оптимальный шаг осветительных опор. На основании принятого расчетного шага осветительных опор выполнить однолинейную поопорную схему ЛНО, определить конфигурацию расположения проектируемых осветительных опор и их необходимое количество.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39" w:leader="none"/>
              </w:tabs>
              <w:ind w:firstLine="425" w:left="0" w:right="1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опор определить согласно "</w:t>
            </w:r>
            <w:hyperlink r:id="rId6" w:tooltip="&quot;ГОСТ 32947-2014 Дороги автомобильные общего пользования. Опоры стационарного ...&quot; (утв. приказом Росстандарта от 31.08.2016 N 993-ст) Применяется с 08.09.2016 Статус: Действующий документ. Применяется для целей технического регламента">
              <w:r>
                <w:rPr>
                  <w:rStyle w:val="Hyperlink"/>
                  <w:iCs/>
                  <w:color w:val="auto"/>
                  <w:sz w:val="24"/>
                  <w:szCs w:val="24"/>
                  <w:u w:val="none"/>
                </w:rPr>
                <w:t>ГОСТ 32947-2014</w:t>
              </w:r>
            </w:hyperlink>
            <w:r>
              <w:rPr>
                <w:iCs/>
                <w:sz w:val="24"/>
                <w:szCs w:val="24"/>
              </w:rPr>
              <w:t xml:space="preserve"> Межгосударственный стандарт дороги автомобильные общего пользования опоры стационарного электрического освещения технические требования</w:t>
            </w:r>
            <w:r>
              <w:rPr>
                <w:sz w:val="24"/>
                <w:szCs w:val="24"/>
              </w:rPr>
              <w:t xml:space="preserve">" исходя из конкретных местных условий и поперечного профиля автодороги в границах строительства объекта. </w:t>
            </w:r>
            <w:r>
              <w:rPr>
                <w:b/>
                <w:sz w:val="24"/>
                <w:szCs w:val="24"/>
              </w:rPr>
              <w:t>Выбранный тип опор согласовать с Заказчиком.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39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Согласовать с Заказчиком разработанную поопорную, однолинейную схему расположения осветительных опор с указанием на ней нумерации и расчетного шага опор, марки и сечения кабеля, а также тип самих опор, расчетный рабочий ток и значение падения напряжения на концах линии в процентах. Предусмотреть в проектной документации установку опор в границах полосы отвода автомобильной дороги, в случае невозможности исполнения согласовать размещение с заказчиком. Кроме того, на схеме указать источник энергоснабжения и предоставить технические условия на технологическое присоединение этого источника.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10" w:leader="none"/>
              </w:tabs>
              <w:ind w:firstLine="425" w:left="0" w:righ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технологией монтажа опор освещения рассчитать потребность в товарном бетоне учитывая тип используемых опор.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10" w:leader="none"/>
              </w:tabs>
              <w:ind w:firstLine="425"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для защиты фланцевых соединений металлических осветительных опор, от негативных воздействий внешней окружающей среды (коррозии) установку защитных пластиковых цоколей. При проектировании учесть, что перед закрытием фланцевого соединения оно покрывается в два слоя битумной мастикой.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 для защиты внутренней части вводной опоры от коррозии проектом предусмотреть специальную, торцевую, защитную, металлическую крышку.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кронштейна определить проектом на основании светотехнического расчета, однолинейной поопорной схемы их расположения и типу опор.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выполнение проекта ЛНО по технологии кабельной линии. В проекте использовать кабель бронированный.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Проектом определить общую суммарную нагрузку в кВт с учетом выбранных светильников и их количества. Исходя из суммарной расчетной нагрузки, определить рабочий ток, ток короткого замыкания, требуемое сечение кабеля и процент падения напряжения на концах линии. Окончательную протяженность самой ЛНО в метрах уточнить в процессе проектирования.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проектирования при необходимости переустройства существующих коммуникаций получить необходимые технические условия по их переустройству от владельцев коммуникаций.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энергоснабжения ЛНО запроектировать шкафы управления наружным освещением (далее - ШУНО), место установки шкафов и их количество определить проектом.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осуществления автоматического управления работой осветительной установки запроектировать установку отдельной, металлической, вводной опоры, на которой смонтировать ШУНО (шкаф управления наружным освещением) на отдельном металлическом основании.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 ШУНО должен удовлетворять следующим требованиям: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иметь необходимые габариты, позволяющие удобно расположить внутри корпуса шкафа все необходимые элементы схемы управления;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иметь отдельную монтажную панель;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иметь степень защиты не ниже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Р54;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по периметру открывающейся дверцы должно быть специальное уплотнение, предохраняющее внутренность ШУНО от негативных внешних погодных факторов и образования конденсата. Также дверца должна иметь замок.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качестве принципиальной электрической схемы автоматического управления освещением использовать схему со ступенчатой токовой защитой как всей ЛНО, так и отдельных ее частей (раздельная защита по фазам). Принципиальную электрическую схему автоматического управления наружным освещением (ЛНО) согласовать с Заказчиком.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в ШУНО установку отдельного счетчика потребляемой электроэнергии и программного контроллера, отвечающего за заданный алгоритм работы осветительной установки.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Предусмотреть в проекте светодиодные светильники. </w:t>
            </w:r>
            <w:r>
              <w:rPr>
                <w:b/>
                <w:bCs/>
                <w:sz w:val="24"/>
                <w:szCs w:val="24"/>
              </w:rPr>
              <w:t xml:space="preserve">Тип и марку светильников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предварительно </w:t>
            </w:r>
            <w:r>
              <w:rPr>
                <w:b/>
                <w:bCs/>
                <w:sz w:val="24"/>
                <w:szCs w:val="24"/>
              </w:rPr>
              <w:t xml:space="preserve">согласовать с </w:t>
            </w:r>
            <w:r>
              <w:rPr>
                <w:b/>
                <w:sz w:val="24"/>
                <w:szCs w:val="24"/>
              </w:rPr>
              <w:t>Заказчиком</w:t>
            </w:r>
            <w:r>
              <w:rPr>
                <w:sz w:val="24"/>
                <w:szCs w:val="24"/>
              </w:rPr>
              <w:t>. Обеспечить индивидуальную защиту светильников от короткого замыкания, для чего предусмотреть в качестве защиты однополюсной автоматический выключатель 6-10 А в разрыве фазного зарядного провода.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Заземление опор и ШУНО (повторный контур заземления), а также защиту от перенапряжения (установка ограничителей перенапряжений в конце линии) выполнить согласно Правил устройства электроустановок (далее - </w:t>
            </w:r>
            <w:hyperlink r:id="rId7" w:tooltip="&quot;Правила устройства электроустановок (ПУЭ). Оглавление&quot; (утв. Минэнерго России от 06.10.1999) Статус: Статус документа не определен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ПУЭ</w:t>
              </w:r>
            </w:hyperlink>
            <w:r>
              <w:rPr>
                <w:sz w:val="24"/>
                <w:szCs w:val="24"/>
              </w:rPr>
              <w:t>). Выполнить расчет заземления – 1 сеть.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22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устройства освещения в местах переходов обеспечить необходимый габарит пересечения - не менее 7 м, согласно </w:t>
            </w:r>
            <w:hyperlink r:id="rId8" w:tooltip="&quot;Правила устройства электроустановок (ПУЭ). Оглавление&quot; (утв. Минэнерго России от 06.10.1999) Статус: Статус документа не определен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ПУЭ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проекте представить все монтажные чертежи осветительных опор, кронштейнов, защитной крышки вводной опоры, непосредственно чертеж ввода кабеля в опору, чертеж установки ШУНО на раме, а также блочно-модульную схему ШУНО.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85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проекте отразить ведомости подготовительных работ, ведомости объемов работ по устройству ЛНО и  воздушных линий энергоснабжения, ведомость пусконаладочных работ.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85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необходимые материалы и установочные электротехнические изделия отразить в разделе «Спецификация».</w:t>
            </w:r>
          </w:p>
          <w:p>
            <w:pPr>
              <w:pStyle w:val="ConsPlusNormal"/>
              <w:numPr>
                <w:ilvl w:val="0"/>
                <w:numId w:val="2"/>
              </w:numPr>
              <w:ind w:firstLine="425" w:left="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Проектом предусмотреть нанесение вертикальной разметки и нумерации на опоры ЛНО согласно </w:t>
            </w:r>
            <w:hyperlink r:id="rId9" w:tooltip="&quot;ГОСТ Р 51256-2018 Технические средства организации дорожного движения. Разметка дорожная ...&quot; (утв. приказом Росстандарта от 20.02.2018 N 81-ст) Применяется с 01.06.2018 взамен ГОСТ Р ... Статус: Действующая редакция документа (действ. c 01.12.2020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ГОСТ Р 51256-2018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. "Национальный стандарт Российской Федерации. Технические средства организации дорожного движения. Разметка дорожная. Классификация. Технические требования".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обеспечения электробезопасности в процессе эксплуатации и сохранности смонтированного электрооборудования предусмотреть установку типового металлического сетчатого ограждения ШУНО.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8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Разработанный проект согласовать со всеми заинтересованными сторонами.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8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проектировании учесть ТУ (технические условия) от всех заинтересованных сторон, чьи интересы затрагивает устройство линии электроосвещения и чьи инженерные коммуникации попадают в зону производства работу по устройству будущей линии наружного освещения.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  <w:tab w:val="center" w:pos="4677" w:leader="none"/>
                <w:tab w:val="right" w:pos="9355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15 дней до подачи заявления в ГАУ "Госэкспертиза Тверской области" </w:t>
            </w:r>
            <w:r>
              <w:rPr>
                <w:sz w:val="24"/>
              </w:rPr>
              <w:t xml:space="preserve">проектную документацию в полном объеме </w:t>
            </w:r>
            <w:r>
              <w:rPr>
                <w:sz w:val="24"/>
                <w:szCs w:val="24"/>
              </w:rPr>
              <w:t>и прилагаемые к ним сметы</w:t>
            </w:r>
            <w:r>
              <w:rPr>
                <w:sz w:val="24"/>
              </w:rPr>
              <w:t xml:space="preserve"> (1 комплект на бумажном носителе и 1 комплект в электронном виде) предоставить в Заказчику по накладной с сопроводительным письмом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  <w:tab w:val="center" w:pos="4677" w:leader="none"/>
                <w:tab w:val="right" w:pos="9355" w:leader="none"/>
              </w:tabs>
              <w:ind w:firstLine="373" w:left="0" w:right="34"/>
              <w:jc w:val="both"/>
              <w:rPr>
                <w:iCs/>
                <w:sz w:val="24"/>
              </w:rPr>
            </w:pPr>
            <w:r>
              <w:rPr>
                <w:iCs/>
                <w:sz w:val="24"/>
                <w:szCs w:val="24"/>
              </w:rPr>
              <w:t>Получить технические условия для проектирования от организаций, чьи коммуникации затрагиваются в процессе проектирования объекта.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  <w:tab w:val="center" w:pos="4677" w:leader="none"/>
                <w:tab w:val="right" w:pos="9355" w:leader="none"/>
              </w:tabs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Получить договоры по снятию ограничений по использованию земельных участков под коммуникациями принадлежащих </w:t>
            </w:r>
            <w:r>
              <w:rPr>
                <w:sz w:val="24"/>
                <w:szCs w:val="24"/>
              </w:rPr>
              <w:t xml:space="preserve">филиалу ПАО «Россети Центр» - Тверьэнерго </w:t>
            </w:r>
            <w:r>
              <w:rPr>
                <w:iCs/>
                <w:sz w:val="24"/>
                <w:szCs w:val="24"/>
              </w:rPr>
              <w:t xml:space="preserve">в случае их переустройства. Стоимость строительно-монтажных работ по переустройству коммуникаций, принадлежащих </w:t>
            </w:r>
            <w:r>
              <w:rPr>
                <w:sz w:val="24"/>
                <w:szCs w:val="24"/>
              </w:rPr>
              <w:t xml:space="preserve">филиалу ПАО «Россети Центр» - Тверьэнерго, </w:t>
            </w:r>
            <w:r>
              <w:rPr>
                <w:iCs/>
                <w:sz w:val="24"/>
                <w:szCs w:val="24"/>
              </w:rPr>
              <w:t>включить в состав сводного сметного расчета.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2" w:right="34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Проектную документацию по переустройству коммуникаций выделить в составе проектной документации отдельным томом (книга).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2" w:right="34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Учесть в сводном сметном расчете по объекту все затраты по подключению ЛНО в соответствии с выданными техническими условиями сетевой организации.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2" w:right="34"/>
              <w:jc w:val="both"/>
              <w:rPr>
                <w:sz w:val="24"/>
              </w:rPr>
            </w:pPr>
            <w:r>
              <w:rPr>
                <w:iCs/>
                <w:sz w:val="24"/>
                <w:szCs w:val="24"/>
              </w:rPr>
              <w:t xml:space="preserve">Получить сведения о наличии либо отсутствии объектов культурного наследия на участке автомобильной дороги в Главном управлении по государственной охране объектов культурного наследия Тверской области (при необходимости).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1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соответствии с полученными сведениями и требованиями Главного управления по государственной охране объектов культурного</w:t>
            </w:r>
            <w:r>
              <w:rPr>
                <w:iCs/>
                <w:color w:val="000000"/>
                <w:sz w:val="24"/>
                <w:szCs w:val="24"/>
              </w:rPr>
              <w:t xml:space="preserve"> наследия Тверской области обеспечить проведение и финансирование государственной историко-культурной экспертизы земельных участков, в отношении которых отсутствует информация о наличии на них объектов обладающих признаками объектов культурного (в том числе археологического) наследия, подлежащих воздействию земляных, строительных, хозяйственных и иных работ, путем археологической разведки, в порядке, установленном ст. 45.1 Федерального закона № 73 "Об объектах культурного наследия (памятниках истории и культуры) народов Российской Федерации</w:t>
            </w:r>
            <w:r>
              <w:rPr>
                <w:sz w:val="24"/>
                <w:szCs w:val="24"/>
              </w:rPr>
              <w:t xml:space="preserve">" (при необходимости).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1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Проектную документацию разработать и получить согласования заинтересованных организаций в объеме необходимом для прохождения экспертизы в ГАУ "Госэкспертиза Тверской области".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1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Получить положительное заключение государственной экспертизы проектной документации и результатов инженерных изысканий в </w:t>
            </w:r>
            <w:r>
              <w:rPr>
                <w:iCs/>
                <w:sz w:val="24"/>
                <w:szCs w:val="24"/>
              </w:rPr>
              <w:t xml:space="preserve">соответствии с </w:t>
            </w:r>
            <w:hyperlink r:id="rId10" w:tooltip="&quot;О порядке организации и проведения государственной экспертизы проектной ...&quot; Постановление Правительства РФ от 05.03.2007 N 145 Статус: Действующий документ. С ограниченным сроком действия (действ. c 23.03.2007 по 29.02.2028)">
              <w:r>
                <w:rPr>
                  <w:rStyle w:val="Hyperlink"/>
                  <w:iCs/>
                  <w:color w:val="auto"/>
                  <w:sz w:val="24"/>
                  <w:szCs w:val="24"/>
                  <w:u w:val="none"/>
                </w:rPr>
                <w:t>Постановлением Правительства РФ от 05.03.2007 №145</w:t>
              </w:r>
            </w:hyperlink>
            <w:r>
              <w:rPr>
                <w:iCs/>
                <w:sz w:val="24"/>
                <w:szCs w:val="24"/>
              </w:rPr>
              <w:t xml:space="preserve"> "О порядке организации и проведения государственной экспертизы проектной документации и результатов инженерных изысканий</w:t>
            </w:r>
            <w:r>
              <w:rPr>
                <w:iCs/>
                <w:color w:val="000000"/>
                <w:sz w:val="24"/>
                <w:szCs w:val="24"/>
              </w:rPr>
              <w:t>», в том числе положительное заключение о достоверности определения сметной стоимости.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Необходимость выполнения инженерных изысканий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Инженерные изыскания выполнить в объеме, необходимом для разработки проектной документации объекта и обоснования основных проектных решений.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Инженерно-геодезические изыскания</w:t>
            </w:r>
            <w:r>
              <w:rPr>
                <w:sz w:val="24"/>
                <w:szCs w:val="24"/>
              </w:rPr>
              <w:t xml:space="preserve"> выполнить в соответствии с требованиями "</w:t>
            </w:r>
            <w:hyperlink r:id="rId11" w:tooltip="&quot;СП 47.13330.2016 Инженерные изыскания для строительства. Основные положения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47.13330.2016</w:t>
              </w:r>
            </w:hyperlink>
            <w:r>
              <w:rPr>
                <w:sz w:val="24"/>
                <w:szCs w:val="24"/>
              </w:rPr>
              <w:t xml:space="preserve">. Свод правил. Инженерные изыскания для строительства. Основные положения. Актуализированная редакция </w:t>
            </w:r>
            <w:hyperlink r:id="rId12" w:tooltip="&quot;СНиП 11-02-96 Инженерные изыскания для строительства. Основные положения&quot; (утв. постановлением Минстроя России от 29.10.1996 N 18-77) Заменен с 01.07.2013 на СП 47.13330.2012 Статус: Недействующий документ (действ. c 01.11.1996 по 30.06.2013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11-02-96</w:t>
              </w:r>
            </w:hyperlink>
            <w:r>
              <w:rPr>
                <w:sz w:val="24"/>
                <w:szCs w:val="24"/>
              </w:rPr>
              <w:t>", "</w:t>
            </w:r>
            <w:hyperlink r:id="rId13" w:tooltip="&quot;СП 126.13330.2017 Геодезические работы в строительстве. СНиП 3.01.03-84 (с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126.13330.2017</w:t>
              </w:r>
            </w:hyperlink>
            <w:r>
              <w:rPr>
                <w:sz w:val="24"/>
                <w:szCs w:val="24"/>
              </w:rPr>
              <w:t xml:space="preserve">. Свод правил. Геодезические работы в строительстве. Актуализированная редакция </w:t>
            </w:r>
            <w:hyperlink r:id="rId14" w:tooltip="&quot;СНиП 3.01.03-84 Геодезические работы в строительстве&quot; (утв. постановлением Госстроя СССР от 04.02.1985 N 15) Заменен на СП 126.13330.2012 Статус: Недействующий документ (действ. c 01.07.198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3.01.03-84</w:t>
              </w:r>
            </w:hyperlink>
            <w:r>
              <w:rPr>
                <w:sz w:val="24"/>
                <w:szCs w:val="24"/>
              </w:rPr>
              <w:t xml:space="preserve">", "СП 11-104-97. Инженерно-геодезические изыскания для строительства". 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Геодезическую разбивочную основу следует создавать в виде сети закрепленных знаками геодезических пунктов в местах, обеспечивающих их сохранность на весь период строительства с учетом удобства, определения положения объекта на местности и обеспечивающих выполнение дальнейших построений и измерений в процессе строительства с необходимой точностью.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и конструкции знаков закрепления реперов выполнить в соответствии с требованиями "</w:t>
            </w:r>
            <w:hyperlink r:id="rId15" w:tooltip="&quot;СП 126.13330.2017 Геодезические работы в строительстве. СНиП 3.01.03-84 (с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126.13330.2017</w:t>
              </w:r>
            </w:hyperlink>
            <w:r>
              <w:rPr>
                <w:sz w:val="24"/>
                <w:szCs w:val="24"/>
              </w:rPr>
              <w:t xml:space="preserve">. Свод правил. Геодезические работы в строительстве. </w:t>
            </w:r>
            <w:hyperlink r:id="rId16" w:tooltip="&quot;СНиП 3.01.03-84 Геодезические работы в строительстве&quot; (утв. постановлением Госстроя СССР от 04.02.1985 N 15) Заменен на СП 126.13330.2012 Статус: Недействующий документ (действ. c 01.07.198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3.01.03-84</w:t>
              </w:r>
            </w:hyperlink>
            <w:r>
              <w:rPr>
                <w:sz w:val="24"/>
                <w:szCs w:val="24"/>
              </w:rPr>
              <w:t xml:space="preserve">" (Приложение Г). 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координат пунктов геодезической сети 3 пункта.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высот пунктов геодезической сети 2 пункта.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справок по топографо-геодезической изученности участка изысканий.</w:t>
            </w:r>
          </w:p>
          <w:p>
            <w:pPr>
              <w:pStyle w:val="Normal"/>
              <w:shd w:val="clear" w:color="auto" w:fill="FFFFFF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на местности закрепление реперов планово - высотного обоснования, не менее чем 3 репера в условиях прямой видимости, в начале и в конце участка работ по устройству ЛНО.</w:t>
            </w:r>
          </w:p>
          <w:p>
            <w:pPr>
              <w:pStyle w:val="Normal"/>
              <w:shd w:val="clear" w:color="auto" w:fill="FFFFFF"/>
              <w:ind w:firstLine="425" w:left="-52" w:right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Провести на местности закрепление реперов планово - высотного обоснования, не менее чем 3 репера с взаимной видимостью с точностью.</w:t>
            </w:r>
          </w:p>
          <w:p>
            <w:pPr>
              <w:pStyle w:val="ListParagraph"/>
              <w:ind w:firstLine="425" w:left="-52" w:right="34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вычисления геодезических разбивочных работ должны быть оформлены разбивочные чертежи, каталоги координат и отметок исходных пунктов и каталоги (ведомости) проектных и фактических координат и отметок, чертежи геодезических знаков, пояснительная записка.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 топографической съемки предусмотреть: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съемку земляного полотна и проезжей части существующей дороги поперечниками через 20 м шириной по 25 м от оси дороги в масштабе М1:500 на всем протяжении участка строительства. Съемку проезжей части в поперечном профиле выполнить - по оси, кромкам, бровкам земляного полотна и, в случае необходимости, в дополнительных точках;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съемку всех наземных и подземных коммуникаций (при их наличии), которые пересекают участок дороги и проходят вдоль дороги в пределах полосы съемки с согласованием результатов съемки с владельцами коммуникаций.</w:t>
            </w:r>
          </w:p>
          <w:p>
            <w:pPr>
              <w:pStyle w:val="Normal"/>
              <w:shd w:val="clear" w:color="auto" w:fill="FFFFFF"/>
              <w:ind w:firstLine="425" w:left="34" w:righ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съемки подземных коммуникаций использовать приборы поиска (трубокабелеискатели).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Получить согласования о правильности местоположения, диаметрах и материалах, марок кабелей, а также глубины заложения всех подземных коммуникаций от их владельцев, условия на переустройство их в случае необходимости.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Зафиксировать почтовые адреса и телефоны всех владельцев коммуникаций.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Составить ведомость пересекаемых коммуникаций.</w:t>
            </w:r>
          </w:p>
          <w:p>
            <w:pPr>
              <w:pStyle w:val="Normal"/>
              <w:ind w:firstLine="425" w:left="-52"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Геодезическую основу сдать Заказчику в соответствии с действующим законодательством с проведением контрольной съемки.</w:t>
            </w:r>
          </w:p>
          <w:p>
            <w:pPr>
              <w:pStyle w:val="Normal"/>
              <w:ind w:firstLine="425" w:left="-52"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знаки должны быть установлены вдоль границы участка строительных работ, быть четко обозначены для исключения неумышленного уничтожения, позволять однозначно идентифицировать закрепляемый пункт (не менее трех пунктов).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Инженерно-геологические изыскания</w:t>
            </w:r>
            <w:r>
              <w:rPr>
                <w:sz w:val="24"/>
                <w:szCs w:val="24"/>
              </w:rPr>
              <w:t xml:space="preserve"> выполнить в соответствии с требованиями "</w:t>
            </w:r>
            <w:hyperlink r:id="rId17" w:tooltip="&quot;СП 446.1325800.2019 Инженерно-геологические изыскания для строительства. Общи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446.1325800.2019</w:t>
              </w:r>
            </w:hyperlink>
            <w:r>
              <w:rPr>
                <w:sz w:val="24"/>
                <w:szCs w:val="24"/>
              </w:rPr>
              <w:t>. Свод правил инженерно геологические изыскания для строительства», "СП 11-105-97. Инженерно-геологические изыскания для строительства. Часть I. Общие правила производства работ".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Инженерно-экологические</w:t>
            </w:r>
            <w:r>
              <w:rPr>
                <w:sz w:val="24"/>
                <w:szCs w:val="24"/>
              </w:rPr>
              <w:t xml:space="preserve"> изыскания выполнить согласно "</w:t>
            </w:r>
            <w:hyperlink r:id="rId18" w:tooltip="&quot;СП 11-102-97 Инженерно-экологические изыскания для строительства&quot; Статус: Применение действующим законодательством не регулируется (действ. c 15.08.199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11-102-97</w:t>
              </w:r>
            </w:hyperlink>
            <w:r>
              <w:rPr>
                <w:sz w:val="24"/>
                <w:szCs w:val="24"/>
              </w:rPr>
              <w:t>. Инженерно-экологические изыскания для строительства".</w:t>
            </w:r>
          </w:p>
          <w:p>
            <w:pPr>
              <w:pStyle w:val="BodyText"/>
              <w:tabs>
                <w:tab w:val="clear" w:pos="720"/>
                <w:tab w:val="left" w:pos="9360" w:leader="none"/>
              </w:tabs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</w:t>
            </w:r>
          </w:p>
          <w:p>
            <w:pPr>
              <w:pStyle w:val="BodyText"/>
              <w:tabs>
                <w:tab w:val="clear" w:pos="720"/>
                <w:tab w:val="left" w:pos="9360" w:leader="none"/>
              </w:tabs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hyperlink r:id="rId19" w:tooltip="&quot;О составе материалов и результатов инженерных изысканий, подлежащих размещению в ...&quot; Постановление Правительства РФ от 22.04.2017 N 485 Статус: Действующая редакция документа (действ. c 02.07.2019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РФ от 22.04.2017 N 485</w:t>
              </w:r>
            </w:hyperlink>
            <w:r>
              <w:rPr>
                <w:sz w:val="24"/>
                <w:szCs w:val="24"/>
              </w:rPr>
              <w:t xml:space="preserve"> "О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а также о форме и порядке их представления" (вместе с "Положением 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загрязнении", "Правилами представления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загрязнении") материалы и результаты инженерных изысканий передаются на бумажных и электронных носителях в формате, позволяющем обеспечить их размещение в информационных системах: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/>
            </w:pPr>
            <w:r>
              <w:rPr/>
              <w:t>графические материалы и результаты инженерных изысканий представляются в форме векторной и (или) растровой модели;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>
                <w:b/>
              </w:rPr>
            </w:pPr>
            <w:r>
              <w:rPr/>
              <w:t>информация в текстовой форме представляется в форматах DOC, DOCX;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/>
            </w:pPr>
            <w:r>
              <w:rPr/>
              <w:t>информация в растровой модели представляется в форматах JPEG, PDF</w:t>
            </w:r>
            <w:bookmarkStart w:id="16" w:name="p3"/>
            <w:bookmarkEnd w:id="16"/>
            <w:r>
              <w:rPr/>
              <w:t>;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/>
            </w:pPr>
            <w:r>
              <w:rPr/>
              <w:t>информация в векторной модели представляется в обменном формате SHP.</w:t>
            </w:r>
          </w:p>
          <w:p>
            <w:pPr>
              <w:pStyle w:val="NormalWeb"/>
              <w:spacing w:beforeAutospacing="0" w:before="120" w:afterAutospacing="0" w:after="120"/>
              <w:ind w:firstLine="454"/>
              <w:jc w:val="both"/>
              <w:rPr/>
            </w:pPr>
            <w:r>
              <w:rPr/>
              <w:t>Представляемые пространственные данные должны иметь привязку к системе координат МСК-69.</w:t>
            </w:r>
          </w:p>
          <w:p>
            <w:pPr>
              <w:pStyle w:val="NormalWeb"/>
              <w:spacing w:beforeAutospacing="0" w:before="120" w:afterAutospacing="0" w:after="120"/>
              <w:ind w:firstLine="454"/>
              <w:jc w:val="both"/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В электронном виде предоставить Заказчику </w:t>
            </w:r>
            <w:r>
              <w:rPr>
                <w:b/>
                <w:u w:val="single"/>
              </w:rPr>
              <w:t>отдельным архивом</w:t>
            </w:r>
            <w:r>
              <w:rPr>
                <w:b/>
              </w:rPr>
              <w:t xml:space="preserve"> (RAR или ZIP).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По результатам проведенных инженерных изысканий составить технические отчеты с приложением фотоматериалов с привязкой к местности.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 проектирования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20"/>
                <w:tab w:val="left" w:pos="9360" w:leader="none"/>
              </w:tabs>
              <w:ind w:firstLine="425"/>
              <w:rPr>
                <w:sz w:val="24"/>
                <w:szCs w:val="24"/>
              </w:rPr>
            </w:pPr>
            <w:r>
              <w:rPr>
                <w:iCs/>
                <w:sz w:val="24"/>
              </w:rPr>
              <w:t>Получить технические условия на технологическое присоединение к источникам электроэнергии (учесть в сводном сметном расчете по объекту все затраты по подключению ЛНО в соответствии с выданными техническими условиями сетевой организации).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пакет документов для оформления договора на технологическое присоединение в соответствии с </w:t>
            </w:r>
            <w:hyperlink r:id="rId20" w:tooltip="&quot;Об утверждении Правил подключения (технологического присоединения) ...&quot; Постановление Правительства РФ от 30.11.2021 N 2130 Статус: Действующий документ. С ограниченным сроком действия (действ. c 01.03.2022 по 29.02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РФ от 30.11.2021 N 2130</w:t>
              </w:r>
            </w:hyperlink>
            <w:r>
              <w:rPr>
                <w:sz w:val="24"/>
                <w:szCs w:val="24"/>
              </w:rPr>
              <w:t xml:space="preserve">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 и </w:t>
            </w:r>
            <w:hyperlink r:id="rId21" w:tooltip="&quot;Об утверждении Правил недискриминационного доступа к услугам по передаче электрической ...&quot; Постановление Правительства РФ от 27.12.2004 N 861 Статус: Действующая редакция документа (действ. c 15.02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РФ  от 27.12.2004 N 861</w:t>
              </w:r>
            </w:hyperlink>
            <w:r>
              <w:rPr>
                <w:sz w:val="24"/>
                <w:szCs w:val="24"/>
              </w:rPr>
              <w:t xml:space="preserve"> «Об утверждении правил не дискриминационного доступа к услугам по передаче электрической энергии и оказания этих услуг, правил не дискриминационного доступа к услугам по оперативно – диспетчерскому управлению в электроэнергетике и оказания этих услуг, правил не 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(энергетических установок) юридических и физических лиц к электрическим сетям».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Согласовать проектную документацию с заинтересованными организациями. Состав согласований должен обеспечить получение подключения к источнику электроснабжения в соответствии с действующим законодательством.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разработке сметной документации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38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формы сметной документации принять в соответствии с действующей нормативной методикой определения стоимости строительной продукции на территории Российской Федерации.</w:t>
            </w:r>
            <w:r>
              <w:rPr>
                <w:rFonts w:eastAsia="Calibri" w:cs="Arial" w:ascii="Arial" w:hAnsi="Arial"/>
                <w:b/>
                <w:bCs/>
              </w:rPr>
              <w:t xml:space="preserve"> </w:t>
            </w:r>
            <w:r>
              <w:rPr>
                <w:sz w:val="24"/>
                <w:szCs w:val="24"/>
              </w:rPr>
              <w:t xml:space="preserve">(Приказ Минстроя России от 04.08.2020 N 421/пр "Об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Федерации").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Определение сметной стоимости провести ресурсно-индексным методом </w:t>
            </w:r>
            <w:r>
              <w:rPr>
                <w:sz w:val="24"/>
                <w:szCs w:val="24"/>
              </w:rPr>
              <w:t>в соответствии с письмом Минстроя России от 1 ноября 2022 г. № 57180-АВ/09 "Об определении сметной стоимости строительства".</w:t>
            </w:r>
          </w:p>
          <w:p>
            <w:pPr>
              <w:pStyle w:val="Style17"/>
              <w:widowControl/>
              <w:tabs>
                <w:tab w:val="clear" w:pos="6237"/>
                <w:tab w:val="left" w:pos="318" w:leader="none"/>
              </w:tabs>
              <w:spacing w:before="0" w:after="0"/>
              <w:ind w:firstLine="425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сводного сметного расчета в обязательном порядке включить затраты на: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разработку рабочей документации;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стоимости по установлению границ охранной зоны;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авторский надзор;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строительный контроль;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непредвиденные затраты;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left" w:pos="318" w:leader="none"/>
                <w:tab w:val="left" w:pos="6237" w:leader="none"/>
              </w:tabs>
              <w:snapToGrid w:val="false"/>
              <w:spacing w:before="0" w:after="0"/>
              <w:ind w:firstLine="338"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подготовку технического плана на построенный объект</w:t>
            </w:r>
            <w:r>
              <w:rPr>
                <w:b/>
                <w:sz w:val="24"/>
                <w:szCs w:val="24"/>
              </w:rPr>
              <w:t xml:space="preserve"> с сопровождением постановки на государственный кадастровый учет.</w:t>
            </w:r>
          </w:p>
          <w:p>
            <w:pPr>
              <w:pStyle w:val="Normal"/>
              <w:shd w:val="clear" w:color="auto" w:fill="FFFFFF"/>
              <w:ind w:firstLine="425" w:left="-52" w:right="34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необходимые затраты рассчитать в соответствии с действующими нормативными документами.</w:t>
            </w:r>
          </w:p>
          <w:p>
            <w:pPr>
              <w:pStyle w:val="Normal"/>
              <w:ind w:firstLine="425" w:left="-52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Затраты на временные здания и сооружения определить расчетным путем по фактическим затратам на основании раздела "Проект организации строительства" (составить локальные сметы).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Рассчитать общую стоимость строительства с учетом затрат на переустройство коммуникаций и временный отвод земель.</w:t>
            </w:r>
          </w:p>
          <w:p>
            <w:pPr>
              <w:pStyle w:val="Normal"/>
              <w:ind w:firstLine="425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Согласно сметной документации сформировать «Сводную ведомость объемов и стоимости работ» по объекту, которую необходимо утвердить у Заказчика. Передать Заказчику в формате </w:t>
            </w:r>
            <w:r>
              <w:rPr>
                <w:b/>
                <w:iCs/>
                <w:sz w:val="24"/>
                <w:szCs w:val="24"/>
                <w:lang w:val="en-US"/>
              </w:rPr>
              <w:t>PDF</w:t>
            </w:r>
            <w:r>
              <w:rPr>
                <w:b/>
                <w:iCs/>
                <w:sz w:val="24"/>
                <w:szCs w:val="24"/>
              </w:rPr>
              <w:t xml:space="preserve"> и </w:t>
            </w:r>
            <w:r>
              <w:rPr>
                <w:b/>
                <w:iCs/>
                <w:sz w:val="24"/>
                <w:szCs w:val="24"/>
                <w:lang w:val="en-US"/>
              </w:rPr>
              <w:t>EXEL</w:t>
            </w:r>
            <w:r>
              <w:rPr>
                <w:b/>
                <w:iCs/>
                <w:sz w:val="24"/>
                <w:szCs w:val="24"/>
              </w:rPr>
              <w:t xml:space="preserve"> вместе с комплектом проектной документации.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</w:t>
            </w:r>
          </w:p>
          <w:p>
            <w:pPr>
              <w:pStyle w:val="Normal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необходимых мероприятий по временному отводу земель должен включать:</w:t>
            </w:r>
          </w:p>
          <w:p>
            <w:pPr>
              <w:pStyle w:val="NoSpacing"/>
              <w:numPr>
                <w:ilvl w:val="0"/>
                <w:numId w:val="3"/>
              </w:numPr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Землеустроительные работы в составе: 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Рекультивация нарушенных земель (при необходимости):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Разработка проекта рекультивации временно занимаемых земель на период проведения строительно-монтажных работ под строительную площадку в соответствии с действующим законодательством.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Состав документации, предоставляемой Заказчику: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Подготовка графических материалов для получения разрешения на использование земель или земельного участка, находящихся в государственной или муниципальной собственности при строительстве.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Проект рекультивации земель, утвержденный в соответствующем порядке (при необходимости).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Расчет возмещения убытков землепользователям, землевладельцам и арендаторам земельных участков в случае временного занятия земельных участков под строительную площадку. Расчет арендной платы.</w:t>
            </w:r>
          </w:p>
        </w:tc>
      </w:tr>
      <w:tr>
        <w:trPr>
          <w:trHeight w:val="117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3" w:right="34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Состав проектной документации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документация должна соответствовать действующему законодательству, нормативно-техническим документам РФ, техническим условиям, в том числе требованиям </w:t>
            </w:r>
            <w:hyperlink r:id="rId22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Федерального закона от 30.12.2009 N 384-ФЗ</w:t>
              </w:r>
            </w:hyperlink>
            <w:r>
              <w:rPr>
                <w:sz w:val="24"/>
                <w:szCs w:val="24"/>
              </w:rPr>
              <w:t xml:space="preserve"> "Технический регламент о безопасности зданий и сооружений". В целях выполнения требований статьи 5 </w:t>
            </w:r>
            <w:hyperlink r:id="rId23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Федерального закона от 30.12.2009 № 384-ФЗ</w:t>
              </w:r>
            </w:hyperlink>
            <w:r>
              <w:rPr>
                <w:sz w:val="24"/>
                <w:szCs w:val="24"/>
              </w:rPr>
              <w:t xml:space="preserve"> «Технический регламент о безопасности зданий и сооружений» проектные решения должны удовлетворять требованиям стандартов и сводов правил, включённых в перечни, указанные в части 1 статьи 6 данного Федерального закона.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и комплектность проектной документации оформить в соответствии с </w:t>
            </w:r>
            <w:hyperlink r:id="rId24" w:tooltip="&quot;О составе разделов проектной документации и требованиях к их содержанию ...&quot; Постановление Правительства РФ от 16.02.2008 N 87 Статус: Действующий документ. С ограниченным сроком действия (действ. c 06.03.2008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требованиях к их содержанию»: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 «Пояснительная записка»,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2 «Проект полосы отвода»,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3 «Технологические и конструктивные решения линейного объекта. Искусственные сооружения»,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4 «Здания, строения и сооружения, входящие в инфраструктуру линейного объекта»,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5 «Проект организации строительства»,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6 «Мероприятия по охране окружающей среды»,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7 «Мероприятия по обеспечению пожарной безопасности»,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 «Требования к обеспечению безопасной эксплуатации линейного объекта»,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9 «Смета на строительство, реконструкцию, капитальный ремонт, снос объекта капитального строительства», 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10 «Иная документация в случаях, предусмотренных законодательными и иными нормативными правовыми актами Российской Федерации». </w:t>
            </w:r>
          </w:p>
          <w:p>
            <w:pPr>
              <w:pStyle w:val="Normal"/>
              <w:ind w:firstLine="425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проектной документации должен соответствовать положениям </w:t>
            </w:r>
            <w:hyperlink r:id="rId25" w:tooltip="&quot;Градостроительный кодекс Российской Федерации (с изменениями на 23 марта 2026 года)&quot; Кодекс РФ от 29.12.2004 N 190-ФЗ Статус: Действующая редакция документа (действ. c 03.04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Градостроительного кодекса РФ</w:t>
              </w:r>
            </w:hyperlink>
            <w:r>
              <w:rPr>
                <w:sz w:val="24"/>
                <w:szCs w:val="24"/>
              </w:rPr>
              <w:t xml:space="preserve"> от</w:t>
            </w:r>
            <w:r>
              <w:rPr>
                <w:color w:val="000000"/>
                <w:sz w:val="24"/>
                <w:szCs w:val="24"/>
              </w:rPr>
              <w:t xml:space="preserve"> 29.12.2004. №190-ФЗ, Постановлению Правительства РФ от 16.02.2008 от №87 «О составе разделов проектной документации и требованиях к их содержанию».</w:t>
            </w:r>
          </w:p>
          <w:p>
            <w:pPr>
              <w:pStyle w:val="Header"/>
              <w:ind w:firstLine="425" w:left="-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Проектную документацию оформить подписями руководителя генеральной проектной организации и главного инженера проекта, круглой печатью генеральной проектной организации, а также справкой проектной организации о соответствии проектной документации требованиям действующего законодательства и задания на проектирование.</w:t>
            </w:r>
          </w:p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Материалы проектной документации оформить в соответствии </w:t>
            </w:r>
            <w:r>
              <w:rPr>
                <w:sz w:val="24"/>
                <w:szCs w:val="24"/>
              </w:rPr>
              <w:t xml:space="preserve">с </w:t>
            </w:r>
            <w:hyperlink r:id="rId26" w:tooltip="&quot;ГОСТ Р 21.101-2026 Система проектной документации для строительства (СПДС). Основные ...&quot; (утв. приказом Росстандарта от 12.02.2026 N 129-ст) Применяется с 01.04.2026 взамен ГОСТ Р 21.101-2020 Статус: Действующий документ (действ. c 01.04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ГОСТ Р 21.101-2026</w:t>
              </w:r>
            </w:hyperlink>
            <w:r>
              <w:rPr>
                <w:sz w:val="24"/>
                <w:szCs w:val="24"/>
              </w:rPr>
              <w:t xml:space="preserve"> "Национальный</w:t>
            </w:r>
            <w:r>
              <w:rPr>
                <w:color w:val="000000"/>
                <w:sz w:val="24"/>
                <w:szCs w:val="24"/>
              </w:rPr>
              <w:t xml:space="preserve"> стандарт Российской Федерации. Система проектной документации для строительства. Основные требования к проектной и рабочей документации".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экземпляров, представляемых заказчику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Передать следующую документацию по накладной:</w:t>
            </w:r>
          </w:p>
          <w:p>
            <w:pPr>
              <w:pStyle w:val="Normal"/>
              <w:ind w:firstLine="425" w:left="-52"/>
              <w:jc w:val="both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Отчеты по инженерным изысканиям</w:t>
            </w:r>
            <w:r>
              <w:rPr>
                <w:iCs/>
                <w:sz w:val="24"/>
                <w:szCs w:val="24"/>
              </w:rPr>
              <w:t xml:space="preserve"> – </w:t>
            </w:r>
            <w:r>
              <w:rPr>
                <w:b/>
                <w:iCs/>
                <w:sz w:val="24"/>
                <w:szCs w:val="24"/>
              </w:rPr>
              <w:t>3 (три)</w:t>
            </w:r>
            <w:r>
              <w:rPr>
                <w:iCs/>
                <w:sz w:val="24"/>
                <w:szCs w:val="24"/>
              </w:rPr>
              <w:t xml:space="preserve"> экземпляра на бумажном носителе в переплетенном виде, оформленные подписями руководителя генеральной проектной организации и главного инженера проекта, заверенной круглой печатью генеральной проектной организации;</w:t>
            </w:r>
          </w:p>
          <w:p>
            <w:pPr>
              <w:pStyle w:val="Normal"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Проектная документация - 4 (четыре)</w:t>
            </w:r>
            <w:r>
              <w:rPr>
                <w:sz w:val="24"/>
                <w:szCs w:val="24"/>
              </w:rPr>
              <w:t xml:space="preserve"> экземпляра на бумажном носителе в переплетенном виде, оформленная подписями руководителя генеральной проектной организации и главного инженера проекта, заверенные круглой печатью генеральной проектной организации, а также приложением справки проектной организации о соответствии проектной документации требованиям действующего законодательства и задания на проектирование</w:t>
            </w:r>
            <w:r>
              <w:rPr>
                <w:iCs/>
                <w:sz w:val="24"/>
                <w:szCs w:val="24"/>
              </w:rPr>
              <w:t>;</w:t>
            </w:r>
          </w:p>
          <w:p>
            <w:pPr>
              <w:pStyle w:val="Normal"/>
              <w:ind w:firstLine="3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Отчеты по инженерным изысканиям, проектная документация и заключение государственной экспертизы </w:t>
            </w:r>
            <w:r>
              <w:rPr>
                <w:sz w:val="24"/>
                <w:szCs w:val="24"/>
              </w:rPr>
              <w:t xml:space="preserve">передаются в </w:t>
            </w:r>
            <w:r>
              <w:rPr>
                <w:b/>
                <w:iCs/>
                <w:sz w:val="24"/>
                <w:szCs w:val="24"/>
              </w:rPr>
              <w:t>1 (одном)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</w:rPr>
              <w:t xml:space="preserve">экземпляре на электронном носителе </w:t>
            </w:r>
            <w:r>
              <w:rPr>
                <w:b/>
                <w:iCs/>
                <w:sz w:val="24"/>
                <w:szCs w:val="24"/>
                <w:lang w:val="en-US"/>
              </w:rPr>
              <w:t>CD</w:t>
            </w:r>
            <w:r>
              <w:rPr>
                <w:b/>
                <w:iCs/>
                <w:sz w:val="24"/>
                <w:szCs w:val="24"/>
              </w:rPr>
              <w:t xml:space="preserve"> диске, </w:t>
            </w:r>
            <w:r>
              <w:rPr>
                <w:b/>
                <w:bCs/>
                <w:color w:val="222222"/>
                <w:sz w:val="24"/>
                <w:szCs w:val="24"/>
                <w:shd w:fill="FFFFFF" w:val="clear"/>
              </w:rPr>
              <w:t>USB-флеш-накопитель</w:t>
            </w:r>
            <w:r>
              <w:rPr>
                <w:b/>
                <w:color w:val="222222"/>
                <w:sz w:val="24"/>
                <w:szCs w:val="24"/>
                <w:shd w:fill="FFFFFF" w:val="clear"/>
              </w:rPr>
              <w:t xml:space="preserve"> USB 2.0 или 3.0 Стандарт-А</w:t>
            </w:r>
            <w:r>
              <w:rPr>
                <w:b/>
                <w:sz w:val="24"/>
                <w:szCs w:val="24"/>
              </w:rPr>
              <w:t xml:space="preserve">. </w:t>
            </w:r>
          </w:p>
          <w:p>
            <w:pPr>
              <w:pStyle w:val="Normal"/>
              <w:ind w:firstLine="338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 xml:space="preserve">Отчеты по инженерным изысканиям в электронном виде передаются </w:t>
            </w:r>
            <w:r>
              <w:rPr>
                <w:b/>
                <w:sz w:val="24"/>
                <w:szCs w:val="24"/>
                <w:u w:val="single"/>
              </w:rPr>
              <w:t>отдельным архивом</w:t>
            </w:r>
            <w:r>
              <w:rPr>
                <w:b/>
                <w:sz w:val="24"/>
                <w:szCs w:val="24"/>
              </w:rPr>
              <w:t xml:space="preserve"> (RAR или ZIP)</w:t>
            </w:r>
            <w:r>
              <w:rPr>
                <w:b/>
              </w:rPr>
              <w:t xml:space="preserve"> </w:t>
            </w:r>
            <w:r>
              <w:rPr>
                <w:sz w:val="24"/>
                <w:szCs w:val="24"/>
              </w:rPr>
              <w:t>в формате, позволяющем обеспечить их размещение в информационных системах</w:t>
            </w:r>
            <w:r>
              <w:rPr>
                <w:b/>
                <w:sz w:val="16"/>
                <w:szCs w:val="16"/>
              </w:rPr>
              <w:t>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Документация, передаваемая на электронных носителях должна быть каталогизирована в соответствии с </w:t>
            </w:r>
            <w:hyperlink r:id="rId27" w:tooltip="&quot;О составе разделов проектной документации и требованиях к их содержанию (с изменениями на 28 декабря 2024 года)&quot; Постановление Правительства РФ от 16.02.2008 N 87 Статус: Действующая редакция документа (действ. c 01.01.2025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16.02.2008г.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требованию к их содержанию».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Заключение государственной экспертизы -</w:t>
            </w:r>
            <w:r>
              <w:rPr>
                <w:b/>
                <w:iCs/>
                <w:sz w:val="24"/>
                <w:szCs w:val="24"/>
              </w:rPr>
              <w:t xml:space="preserve"> 1 экз. на бумажном носителе и 1 в электронном виде </w:t>
            </w:r>
            <w:r>
              <w:rPr>
                <w:iCs/>
                <w:sz w:val="24"/>
                <w:szCs w:val="24"/>
              </w:rPr>
              <w:t>в формате .pdf (цветной).</w:t>
            </w:r>
          </w:p>
          <w:p>
            <w:pPr>
              <w:pStyle w:val="Normal"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версия проектной документации передается в широко доступных форматах .</w:t>
            </w:r>
            <w:r>
              <w:rPr>
                <w:sz w:val="24"/>
                <w:szCs w:val="24"/>
                <w:lang w:val="en-US"/>
              </w:rPr>
              <w:t>doc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docx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xls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dwg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pdf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ipg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425" w:left="-52" w:right="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Электронная версия всех разделов проектной документации, в том числе и раздел 9 дополнительно передается в формате .pdf в отдельном каталоге "Формат PDF".</w:t>
            </w:r>
          </w:p>
          <w:p>
            <w:pPr>
              <w:pStyle w:val="Normal"/>
              <w:keepLines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Диски должны иметь возможности подготовки копий; иметь этикетку с указанием изготовителя, даты изготовления, названия комплекта. В корневом каталоге дисков должны находиться текстовые файлы содержания.</w:t>
            </w:r>
          </w:p>
          <w:p>
            <w:pPr>
              <w:pStyle w:val="Normal"/>
              <w:keepLines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содержание дисков должны соответствовать комплекту документации. Каждый физический раздел комплекта (том, книга, и т.п.) должен быть представлен в отдельном каталоге диска файлом (группой файлов) электронного документа. Название каталога должно соответствовать названию раздела.</w:t>
            </w:r>
          </w:p>
          <w:p>
            <w:pPr>
              <w:pStyle w:val="Header"/>
              <w:ind w:firstLine="33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Файлы должны открываться на просмотр стандартными средствами, предназначенными для работы с ними в среде используемых операционных систем без предварительного вывода на экран каких-либо предупреждений или сообщений об ошибках. При копировании файлов с носителей информации, просмотре на компьютере или распечатке на устройстве печати не должно возникать ошибок, связанных с записью на носитель, физическим повреждением носителя. Не допускается в файлах устанавливать опцию запрета печати содержимого файла, парольную защиту на открытие файла, гипертекстовые ссылки на другие файлы.</w:t>
            </w:r>
          </w:p>
          <w:p>
            <w:pPr>
              <w:pStyle w:val="Normal"/>
              <w:ind w:firstLine="425" w:left="-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Сметная документация, составленная в ценах на момент составления сметной документации, передается в электронном виде в формате программного комплекса "РИК" или аналог в формате 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xls</w:t>
            </w:r>
            <w:r>
              <w:rPr>
                <w:iCs/>
                <w:sz w:val="24"/>
                <w:szCs w:val="24"/>
              </w:rPr>
              <w:t xml:space="preserve"> и (или) 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doc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docx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файлах не должна устанавливаться парольная и другие виды защит, а также опция запрета печати содержимого</w:t>
            </w:r>
            <w:r>
              <w:rPr>
                <w:iCs/>
                <w:sz w:val="24"/>
                <w:szCs w:val="24"/>
              </w:rPr>
              <w:t>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приемки проектной документации исключительные права на результаты выполненных проектных работ принадлежат Заказчику.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считаются выполненными после получения проектной документации, получившей положительное заключение государственной экспертизы инженерных изысканий, Сводной ведомости объемов и стоимости работ. 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Требования к информационной модели объекта капитального строительства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</w:t>
            </w:r>
            <w:hyperlink r:id="rId28" w:tooltip="&quot;О внесении изменений в некоторые акты Правительства Российской Федерации (с изменениями на 31 марта 2021 года)&quot; Постановление Правительства РФ от 31.12.2020 N 2443 Статус: Действующая редакция документа (действ. c 18.04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Приказа Минстроя России от 31.12.2020</w:t>
              </w:r>
            </w:hyperlink>
            <w:r>
              <w:rPr>
                <w:sz w:val="24"/>
                <w:szCs w:val="24"/>
              </w:rPr>
              <w:t xml:space="preserve"> </w:t>
              <w:br/>
              <w:t xml:space="preserve">N 928/пр "Об утверждении </w:t>
            </w:r>
            <w:hyperlink r:id="rId29" w:tooltip="&quot;СП 333.1325800.2020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01.07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333.1325800.2020</w:t>
              </w:r>
            </w:hyperlink>
            <w:r>
              <w:rPr>
                <w:sz w:val="24"/>
                <w:szCs w:val="24"/>
              </w:rPr>
              <w:t xml:space="preserve"> "Информационное моделирование в строительстве. Правила формирования информационной модели объектов на различных стадиях жизненного цикла" и "</w:t>
            </w:r>
            <w:hyperlink r:id="rId30" w:tooltip="&quot;СП 404.1325800.2018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18.06.2019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404.1325800.2018</w:t>
              </w:r>
            </w:hyperlink>
            <w:r>
              <w:rPr>
                <w:sz w:val="24"/>
                <w:szCs w:val="24"/>
              </w:rPr>
              <w:t xml:space="preserve">. Свод правил. Информационное моделирование в строительстве. Правила разработки планов проектов, реализуемых с применением технологии информационного моделирования" сформировать </w:t>
            </w:r>
            <w:r>
              <w:rPr>
                <w:rFonts w:eastAsia="Calibri"/>
                <w:bCs/>
                <w:sz w:val="24"/>
                <w:szCs w:val="24"/>
              </w:rPr>
              <w:t>информационную модель объекта капитального строительства</w:t>
            </w:r>
            <w:r>
              <w:rPr>
                <w:sz w:val="24"/>
                <w:szCs w:val="24"/>
              </w:rPr>
              <w:t>, включая ее сопровождение, обеспечивая предоставление и обмен информации в геоинформационной системе.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модель должна содержать информацию в объеме, достаточном для проведения экспертной оценки, и позволять выгружать из своего содержания двухмерные чертежи, документы в соответствии с </w:t>
            </w:r>
            <w:hyperlink r:id="rId31" w:tooltip="&quot;О составе разделов проектной документации и требованиях к их содержанию (с изменениями на 28 декабря 2024 года)&quot; Постановление Правительства РФ от 16.02.2008 N 87 Статус: Действующая редакция документа (действ. c 01.01.2025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требованиях к их содержанию», а также иные сведения, необходимые для проведения оценки согласно предмету государственной экспертизы проектной документации (часть 5 статьи 49 </w:t>
            </w:r>
            <w:hyperlink r:id="rId32" w:tooltip="&quot;Гражданский кодекс Российской Федерации (часть первая) (статьи 1 - 453) (с изменениями на 31 октября 2024 года)&quot; Кодекс РФ от 30.11.1994 N 51-ФЗ Статус: Действующая редакция документа (действ. c 31.10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Гражданского Кодекса РФ</w:t>
              </w:r>
            </w:hyperlink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информационная модель разбивается на файлы на основе разделения проектной документации на разделы, подразделы или части, а также специализацией программного обеспечения.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модель разделов проектной документации в формате слоёв (уровней) должна: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содержать все необходимые элементы модели и характеристики (параметры);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соответствовать заданию на проектирование;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отражать разработанные проектные решения раздела;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соответствовать представляемой документации по соответствующему разделу.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Атрибуты элементов в информационной модели должны содержать информацию о физических параметрах (объем, вес, длина и т.д.) и информацию о стоимости. 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стоимости должна позволять составить сводный сметный расчет стоимости объекта капитального строительства.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состав информационной модели входит текстовая часть проектной документации по разделам проекта в объеме и содержании, предусмотренном </w:t>
            </w:r>
            <w:hyperlink r:id="rId33" w:tooltip="&quot;О составе разделов проектной документации и требованиях к их содержанию (с изменениями на 28 декабря 2024 года)&quot; Постановление Правительства РФ от 16.02.2008 N 87 Статус: Действующая редакция документа (действ. c 01.01.2025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требованиях к их содержанию» в виде сведений и документов. Формат файлов текстовой части должен соответствовать </w:t>
            </w:r>
            <w:hyperlink r:id="rId34" w:tooltip="&quot;Об утверждении требований к формату электронных документов, представляемых для проведения ...&quot; Приказ Министерства строительства и жилищно-коммунального хозяйства Российской Федерации от ... Статус: Действующий документ (действ. c 25.09.201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Приказу Минстроя России от 12.05.2017 N 783/пр</w:t>
              </w:r>
            </w:hyperlink>
            <w:r>
              <w:rPr>
                <w:sz w:val="24"/>
                <w:szCs w:val="24"/>
              </w:rPr>
              <w:t xml:space="preserve"> "Об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строительства".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 часть проектной документации по разделам проекта включается в составе информационной модели в качестве документов, связанных (при необходимости) с графической частью информационной модели.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модель проекта должны быть выполнена в едином масштабе и системе единиц измерения в соответствии с применяемыми размерами в разделе.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Цифровая информационная модель должна быть выполнена в единой системе координат на основе инженерно-геодезического плана.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информационной модели должно быть предусмотрено редактирование наборов и значений атрибутов элементов модели. Так же не допускается наличие коллизий между элементами, кроме согласованных с Заказчиком. </w:t>
            </w:r>
          </w:p>
          <w:p>
            <w:pPr>
              <w:pStyle w:val="Normal"/>
              <w:ind w:firstLine="338"/>
              <w:jc w:val="both"/>
              <w:rPr/>
            </w:pPr>
            <w:r>
              <w:rPr>
                <w:sz w:val="24"/>
                <w:szCs w:val="24"/>
              </w:rPr>
              <w:t>Элемент информационной модели представляется в виде объекта или компонента с точными фиксированными размерами, формой, точным пространственным положением, ориентацией и необходимой атрибутивной информацией, содержащей результаты проектирования объекта капитального строительства, а именно: архитектурные, технические и технологические проектные решения.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Внутренний контроль качества информационных моделей определяется методом проверок на соответствие состава (верификация) и содержания (валидация) включенных в цифровую информационную модель атрибутивных и геометрических данных в соответствии с определенным набором требований.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элементов цифровой информационной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модели должна выполняться с помощью соответствующего программного обеспечения, реализующего функционал информационного моделирования и отвечающий требованиям действующей нормативной документации.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формирующие информационную модель должны передаваться в открытых форматах данных (XML, LandXML, IFC, PDF/A), допускающих полноценную работу по чтению, печати, редактированию и выгрузке информации (согласно </w:t>
            </w:r>
            <w:hyperlink r:id="rId35" w:tooltip="&quot;СП 328.1325800.2020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01.07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328.1325800.2020</w:t>
              </w:r>
            </w:hyperlink>
            <w:r>
              <w:rPr>
                <w:sz w:val="24"/>
                <w:szCs w:val="24"/>
              </w:rPr>
              <w:t xml:space="preserve">. Свод правил. Информационное моделирование в строительстве. Правила описания компонентов информационной модели и </w:t>
            </w:r>
            <w:hyperlink r:id="rId36" w:tooltip="&quot;СП 333.1325800.2020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01.07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333.1325800.2020</w:t>
              </w:r>
            </w:hyperlink>
            <w:r>
              <w:rPr>
                <w:sz w:val="24"/>
                <w:szCs w:val="24"/>
              </w:rPr>
              <w:t>. Свод правил. Информационное моделирование в строительстве. Правила формирования информационной модели объектов на различных стадиях жизненного цикла).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85" w:left="-52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по дальнейшему сопровождению проекта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согласование проектной документации с заинтересованными органами и организациями исполнительной власти Российской Федерации, органами местного самоуправления в соответствии с законодательством Российской Федерации, в том числе обеспечить предоставление запрашиваемых данными органами и организациями пояснений, справок, материалов и обоснований в отношении согласуемой документации.</w:t>
            </w:r>
          </w:p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без дополнительной оплаты в рассмотрении проекта Заказчиком в установленном им порядке, в защите проекта в органах государственной и в случае необходимости экологической экспертизы, а также в уполномоченных органах исполнительной власти, в том числе предоставлять по запросу данных органов необходимые пояснения, документы, материалы и обоснования.</w:t>
            </w:r>
          </w:p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Вносить в проект по замечаниям данных органов и по согласованию с Заказчиком необходимые изменения и дополнения, не противоречащие настоящему техническому заданию и действующей нормативно-технической документации в сфере строительства и дорожного хозяйства;</w:t>
            </w:r>
          </w:p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Вносить в проект по рекомендациям привлекаемых к экспертизе проекта технических, юридических, финансовых и инвестиционных консультантов и по согласованию с Заказчиком необходимые изменения и дополнения, не противоречащие настоящему техническому заданию и законодательству Российской Федерации;</w:t>
            </w:r>
          </w:p>
          <w:p>
            <w:pPr>
              <w:pStyle w:val="Normal"/>
              <w:ind w:firstLine="425" w:left="34" w:righ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по просьбе Заказчика без дополнительной оплаты в публичных презентациях, консультациях и защите проекта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261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представления документации Заказчику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сдачи проекта Заказчику – по условиям </w:t>
            </w:r>
            <w:r>
              <w:rPr>
                <w:rFonts w:ascii="Times New Roman" w:hAnsi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Calibri" w:hAnsi="Calibri" w:asciiTheme="minorHAnsi" w:hAnsiTheme="minorHAnsi"/>
                <w:iCs/>
                <w:sz w:val="24"/>
                <w:szCs w:val="24"/>
              </w:rPr>
              <w:t>п</w:t>
            </w:r>
            <w:r>
              <w:rPr>
                <w:iCs/>
                <w:sz w:val="24"/>
                <w:szCs w:val="24"/>
              </w:rPr>
              <w:t>оложительн</w:t>
            </w:r>
            <w:r>
              <w:rPr>
                <w:rFonts w:ascii="Calibri" w:hAnsi="Calibri" w:asciiTheme="minorHAnsi" w:hAnsiTheme="minorHAnsi"/>
                <w:iCs/>
                <w:sz w:val="24"/>
                <w:szCs w:val="24"/>
              </w:rPr>
              <w:t>ым</w:t>
            </w:r>
            <w:r>
              <w:rPr>
                <w:iCs/>
                <w:sz w:val="24"/>
                <w:szCs w:val="24"/>
              </w:rPr>
              <w:t xml:space="preserve"> заключение</w:t>
            </w:r>
            <w:r>
              <w:rPr>
                <w:rFonts w:ascii="Calibri" w:hAnsi="Calibri" w:asciiTheme="minorHAnsi" w:hAnsiTheme="minorHAnsi"/>
                <w:iCs/>
                <w:sz w:val="24"/>
                <w:szCs w:val="24"/>
              </w:rPr>
              <w:t>м</w:t>
            </w:r>
            <w:r>
              <w:rPr>
                <w:iCs/>
                <w:sz w:val="24"/>
                <w:szCs w:val="24"/>
              </w:rPr>
              <w:t xml:space="preserve"> государственной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экспертизы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сдачи документации и результатов инженерных изысканий: 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170100, г.Тверь, ул.Желябова, 21, 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тел.: (4822) 34-40-27, 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факс: (4822) 34–57–27, 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dorfond</w:t>
            </w:r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yandex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на разработанную проектной документации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гарантий качества работ - 5 (пять) лет с момента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подписания Сторонами документа о приемке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Подрядчик несет ответственность за ненадлежащую разработку проектной и сметной документации, включая недостатки, обнаруженные впоследствии в ходе строительства, а также в процессе эксплуатации объекта. При обнаружении недостатков в проектной документации Подрядчик по требованию Заказчика обязан безвозмездно внести изменения в проектную документацию, а так же возместить Заказчику причиненные убытки.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акты и документы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ind w:firstLine="42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выполняются в соответствии со следующей законодательной и нормативно-технической документацией: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37" w:tooltip="&quot;Гражданский кодекс Российской Федерации (часть первая) (статьи 1 - 453) (с изменениями на 25 марта 2026 года)&quot; Кодекс РФ от 30.11.1994 N 51-ФЗ Статус: Действующая редакция документа (действ. c 26.03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Гражданский кодекс Российской Федерации</w:t>
              </w:r>
            </w:hyperlink>
            <w:r>
              <w:rPr>
                <w:sz w:val="24"/>
                <w:szCs w:val="24"/>
              </w:rPr>
              <w:t xml:space="preserve"> </w:t>
            </w:r>
            <w:hyperlink r:id="rId38" w:tooltip="&quot;Гражданский кодекс Российской Федерации (часть вторая) (статьи 454 - 1109) (с изменениями на 16 декабря 2025 года)&quot; Кодекс РФ от 26.01.1996 N 14-ФЗ Статус: Действующая редакция документа (действ. c 16.12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от 26.01.1996 №14-ФЗ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39" w:tooltip="&quot;Земельный кодекс Российской Федерации (с изменениями на 30 января 2026 года) (редакция, действующая с 1 марта 2026 года)&quot; Кодекс РФ от 25.10.2001 N 136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Земельный кодекс Российской Федерации</w:t>
              </w:r>
            </w:hyperlink>
            <w:r>
              <w:rPr>
                <w:sz w:val="24"/>
                <w:szCs w:val="24"/>
              </w:rPr>
              <w:t xml:space="preserve">" </w:t>
            </w:r>
            <w:hyperlink r:id="rId40" w:tooltip="&quot;Земельный кодекс Российской Федерации (с изменениями на 30 января 2026 года) (редакция, действующая с 1 марта 2026 года)&quot; Кодекс РФ от 25.10.2001 N 136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от 25.10.2001 №136-ФЗ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tabs>
                <w:tab w:val="clear" w:pos="720"/>
                <w:tab w:val="center" w:pos="4677" w:leader="none"/>
                <w:tab w:val="right" w:pos="9355" w:leader="none"/>
              </w:tabs>
              <w:ind w:firstLine="425" w:left="34"/>
              <w:jc w:val="both"/>
              <w:rPr>
                <w:sz w:val="24"/>
                <w:szCs w:val="24"/>
              </w:rPr>
            </w:pPr>
            <w:hyperlink r:id="rId41" w:tooltip="&quot;О переводе земель или земельных участков из одной категории в другую (с изменениями на 29 сентября 2025 года)&quot; Федеральный закон от 21.12.2004 N 172-ФЗ Статус: Действующая редакция документа (действ. c 01.03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Федеральный закон от 21.12.2004 №172-ФЗ</w:t>
              </w:r>
            </w:hyperlink>
            <w:r>
              <w:rPr>
                <w:sz w:val="24"/>
                <w:szCs w:val="24"/>
              </w:rPr>
              <w:t xml:space="preserve"> "О переводе земель или земельных участков из одной категории в другую";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42" w:tooltip="&quot;О землеустройстве (с изменениями на 8 августа 2024 года)&quot; Федеральный закон от 18.06.2001 N 78-ФЗ Статус: Действующая редакция документа (действ. c 19.08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Федеральный закон от 18.06.2001 №78-ФЗ</w:t>
              </w:r>
            </w:hyperlink>
            <w:r>
              <w:rPr>
                <w:sz w:val="24"/>
                <w:szCs w:val="24"/>
              </w:rPr>
              <w:t xml:space="preserve"> "О землеустройстве";</w:t>
            </w:r>
          </w:p>
          <w:p>
            <w:pPr>
              <w:pStyle w:val="Normal"/>
              <w:keepLines/>
              <w:tabs>
                <w:tab w:val="clear" w:pos="720"/>
                <w:tab w:val="center" w:pos="4677" w:leader="none"/>
                <w:tab w:val="right" w:pos="9355" w:leader="none"/>
              </w:tabs>
              <w:ind w:firstLine="425" w:left="34"/>
              <w:jc w:val="both"/>
              <w:rPr>
                <w:sz w:val="24"/>
                <w:szCs w:val="24"/>
              </w:rPr>
            </w:pPr>
            <w:hyperlink r:id="rId43" w:tooltip="&quot;Лесной кодекс Российской Федерации (с изменениями на 29 декабря 2025 года) (редакция, действующая с 1 марта 2026 года)&quot; Кодекс РФ от 04.12.2006 N 200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Лесной кодекс Российской Федерации</w:t>
              </w:r>
            </w:hyperlink>
            <w:r>
              <w:rPr>
                <w:sz w:val="24"/>
                <w:szCs w:val="24"/>
              </w:rPr>
              <w:t xml:space="preserve">" </w:t>
            </w:r>
            <w:hyperlink r:id="rId44" w:tooltip="&quot;Лесной кодекс Российской Федерации (с изменениями на 29 декабря 2025 года) (редакция, действующая с 1 марта 2026 года)&quot; Кодекс РФ от 04.12.2006 N 200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от 04.12.2006 №200-ФЗ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tabs>
                <w:tab w:val="clear" w:pos="720"/>
                <w:tab w:val="center" w:pos="4677" w:leader="none"/>
                <w:tab w:val="right" w:pos="9355" w:leader="none"/>
              </w:tabs>
              <w:ind w:firstLine="425" w:left="34"/>
              <w:jc w:val="both"/>
              <w:rPr>
                <w:sz w:val="24"/>
                <w:szCs w:val="24"/>
              </w:rPr>
            </w:pPr>
            <w:hyperlink r:id="rId45" w:tooltip="&quot;Об автомобильных дорогах и о дорожной деятельности в Российской Федерации и о внесении ...&quot; Федеральный закон от 08.11.2007 N 257-ФЗ Статус: Действующая редакция документа (действ. c 01.03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Федеральный закон от 08.11.2007 №257-ФЗ</w:t>
              </w:r>
            </w:hyperlink>
            <w:r>
              <w:rPr>
                <w:sz w:val="24"/>
                <w:szCs w:val="24"/>
              </w:rPr>
      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Росреестра от 14.02.2023 N П/0036 "Об установлении порядка согласования и утверждения землеустроительной документации, порядка создания и ведения государственного фонда данных, полученных в результате проведения землеустройства, а также порядка их использования";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46" w:tooltip="&quot;Об утверждении Правил определения размеров земельных участков для размещения воздушных линий ...&quot; Постановление Правительства РФ от 11.08.2003 N 486 Статус: Действующий документ (действ. c 30.08.2003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 Правительства РФ от 11.08.2003 №486</w:t>
              </w:r>
            </w:hyperlink>
            <w:r>
              <w:rPr>
                <w:sz w:val="24"/>
                <w:szCs w:val="24"/>
              </w:rPr>
              <w:t xml:space="preserve"> "Об утверждении Правил определения размеров земельных участков для размещения воздушных линий электропередачи и опор линий связи, обслуживающих электрические сети";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47" w:tooltip="&quot;О порядке установления охранных зон объектов электросетевого хозяйства и особых условий ...&quot; Постановление Правительства РФ от 24.02.2009 N 160 Статус: Действующая редакция документа (действ. c 31.12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 Правительства РФ от 24.02.2009 N 160</w:t>
              </w:r>
            </w:hyperlink>
            <w:r>
              <w:rPr>
                <w:sz w:val="24"/>
                <w:szCs w:val="24"/>
              </w:rPr>
              <w:t xml:space="preserve">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(вместе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зон");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hyperlink r:id="rId48" w:tooltip="&quot;Об утверждении Порядка согласования Федеральной службой по экологическому ...&quot; Приказ Ростехнадзора от 17.01.2013 N 9 Статус: Действующая редакция документа (действ. c 31.12.201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Ростехнадзора от 17.01.2013 N 9</w:t>
              </w:r>
            </w:hyperlink>
            <w:r>
              <w:rPr>
                <w:sz w:val="24"/>
                <w:szCs w:val="24"/>
              </w:rPr>
              <w:t xml:space="preserve"> "Об утверждении Порядка согласования Федеральной службой по экологическому, технологическому и атомному надзору границ охранных зон в отношении объектов электросетевого хозяйства";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49" w:tooltip="&quot;Об утверждении содержания ходатайства о переводе земель лесного фонда в другую категорию ...&quot; Приказ Минприроды России (Министерства природных ресурсов и экологии РФ) от 25.12.2018 N 684 Статус: Действующая редакция документа (действ. c 01.06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Минприроды России от 25.12.2018 N 684</w:t>
              </w:r>
            </w:hyperlink>
            <w:r>
              <w:rPr>
                <w:sz w:val="24"/>
                <w:szCs w:val="24"/>
              </w:rPr>
              <w:t xml:space="preserve"> "Об утверждении содержания ходатайства о переводе земель лесного фонда в другую категорию и состава прилагаемых к нему документов";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hyperlink r:id="rId50" w:tooltip="&quot;О нормах отвода земель для размещения автомобильных дорог и (или) объектов дорожного сервиса (с изменениями на 11 марта 2011 года)&quot; Постановление Правительства РФ от 02.09.2009 N 717 Статус: Действующая редакция документа (действ. c 29.03.201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 Правительства РФ от 02.09.2009 N 717</w:t>
              </w:r>
            </w:hyperlink>
            <w:r>
              <w:rPr>
                <w:sz w:val="24"/>
                <w:szCs w:val="24"/>
              </w:rPr>
              <w:t xml:space="preserve"> "О нормах отвода земель для размещения автомобильных дорог и (или) объектов дорожного сервиса";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1" w:tooltip="&quot;Об утверждении требований к подготовке схемы расположения земельного ...&quot; Приказ Росреестра от 19.04.2022 N П/0148 Статус: Действующий документ. С ограниченным сроком действия (действ. c 01.09.2022 по 30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19.04.2022 N П/0148</w:t>
              </w:r>
            </w:hyperlink>
            <w:r>
              <w:rPr>
                <w:sz w:val="24"/>
                <w:szCs w:val="24"/>
              </w:rPr>
              <w:t xml:space="preserve">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2" w:tooltip="&quot;Об утверждении формы и состава сведений межевого плана, требований к его подготовке (с ...&quot; Приказ Росреестра от 14.12.2021 N П/0592 Статус: Действующая редакция документа (действ. c 01.02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14.12.2021 N П/0592</w:t>
              </w:r>
            </w:hyperlink>
            <w:r>
              <w:rPr>
                <w:sz w:val="24"/>
                <w:szCs w:val="24"/>
              </w:rPr>
              <w:t xml:space="preserve"> "Об утверждении формы и состава сведений межевого плана, требований к его подготовке";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3" w:tooltip="&quot;Об утверждении требований к точности и методам определения координат ...&quot; Приказ Росреестра от 23.10.2020 N П/0393 Статус: Действующий документ. С ограниченным сроком действия (действ. c 01.01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23.10.2020 N П/0393</w:t>
              </w:r>
            </w:hyperlink>
            <w:r>
              <w:rPr>
                <w:sz w:val="24"/>
                <w:szCs w:val="24"/>
              </w:rPr>
              <w:t xml:space="preserve">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4" w:tooltip="&quot;Об утверждении Порядка осуществления государственного мониторинга земель, за исключением ...&quot; Приказ Росреестра от 22.07.2021 N П/0315 Статус: Действующая редакция документа (действ. c 01.03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22.07.2021 N П/0315</w:t>
              </w:r>
            </w:hyperlink>
            <w:r>
              <w:rPr>
                <w:sz w:val="24"/>
                <w:szCs w:val="24"/>
              </w:rPr>
              <w:t xml:space="preserve"> "Об утверждении Порядка осуществления государственного мониторинга земель, за исключением земель сельскохозяйственного назначения";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Росреестра от 29.12.2023 N П/0574 "О размещении 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используемой для формирования межевого плана в форме электронного документа".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hyperlink r:id="rId55" w:tooltip="&quot;Об утверждении Состава проекта освоения лесов, порядка его разработки и ...&quot; Приказ Минприроды России (Министерства природных ресурсов и экологии РФ) ... Статус: Действующий документ. С ограниченным сроком действия (действ. c 01.03.2023 по 28.02.20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Минприроды России от 16.11.2021 N 864</w:t>
              </w:r>
            </w:hyperlink>
            <w:r>
              <w:rPr>
                <w:sz w:val="24"/>
                <w:szCs w:val="24"/>
              </w:rPr>
              <w:t xml:space="preserve"> "Об утверждении Состава проекта освоения лесов, порядка его разработки и внесения в него изменений, требований к формату проекта освоения лесов в форме электронного документа";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межеванию земель. Утверждена  </w:t>
              <w:br/>
              <w:t>Комитетом Российской Федерации по</w:t>
            </w:r>
            <w:r>
              <w:rPr>
                <w:rStyle w:val="apple-converted-space"/>
                <w:sz w:val="24"/>
                <w:szCs w:val="24"/>
              </w:rPr>
              <w:t xml:space="preserve">  </w:t>
            </w:r>
            <w:r>
              <w:rPr>
                <w:rStyle w:val="match"/>
                <w:sz w:val="24"/>
                <w:szCs w:val="24"/>
              </w:rPr>
              <w:t>земельным</w:t>
            </w:r>
            <w:r>
              <w:rPr>
                <w:rStyle w:val="apple-converted-space"/>
                <w:sz w:val="24"/>
                <w:szCs w:val="24"/>
              </w:rPr>
              <w:t xml:space="preserve">  </w:t>
            </w:r>
            <w:bookmarkStart w:id="17" w:name="_GoBack"/>
            <w:bookmarkEnd w:id="17"/>
            <w:r>
              <w:rPr>
                <w:sz w:val="24"/>
                <w:szCs w:val="24"/>
              </w:rPr>
              <w:t>ресурсам и землеустройству 8 апреля 1996г.;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tooltip="&quot;Правила устройства электроустановок (ПУЭ). Оглавление&quot; (утв. Минэнерго России от 06.10.1999) Статус: Статус документа не определен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Правила устройства электроустановок (ПУЭ)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57" w:tooltip="&quot;ГОСТ Р 52766-2007 Дороги автомобильные общего пользования. Элементы обустройства. Общие ...&quot; (утв. приказом Росстандарта от 23.10.2007 N 270-ст) Применяется с 01.07.2008 Статус: Действующая редакция документа (действ. c 01.01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ГОСТ Р 52766-2007</w:t>
              </w:r>
            </w:hyperlink>
            <w:r>
              <w:rPr>
                <w:sz w:val="24"/>
                <w:szCs w:val="24"/>
              </w:rPr>
              <w:t xml:space="preserve"> Национальный стандарт Российской Федерации. Дороги автомобильные общего пользования. Элементы обустройства. Общие требования;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8" w:tooltip="&quot;СП 34.13330.2021 &quot;СНиП 2.05.02-85* Автомобильные дороги&quot; (с Изменением № 1)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34.13330.2021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Свод правил. Автомобильные дороги. Актуализированная редакция </w:t>
            </w:r>
            <w:hyperlink r:id="rId59" w:tooltip="&quot;СНиП 2.05.02-85* Автомобильные дороги (с Изменениями N 2-5)&quot; (утв. постановлением Госстроя СССР от 17.12.1985 N 233) Статус: Недействующая редакция документа (действ. c 01.04.2005 по 31.12.2012)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СНиП 2.05.02-85*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; 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60" w:tooltip="&quot;СП 42.13330.2016 Градостроительство. Планировка и застройка городских и сельских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42.13330.2016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Свод правил. Градостроительство. Планировка и застройка городских и сельских поселений. Актуализированная редакция </w:t>
            </w:r>
            <w:hyperlink r:id="rId61" w:tooltip="&quot;СНиП 2.07.01-89* Градостроительство. Планировка и застройка городских и сельских поселений&quot; (утв. постановлением Госстроя СССР от 16.05.1989 N 78) Статус: Недействующая редакция документа (действ. c 01.01.1990 по 28.04.2020)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СНиП 2.07.01-89*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; 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tooltip="&quot;СП 20.13330.2016 Нагрузки и воздействия. Актуализированная редакция СНиП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20.13330.2016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. Свод правил. Нагрузки и воздействия. Актуализированная редакция СНиП 2.01.07-85*;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63" w:tooltip="&quot;ГОСТ 32947-2014 Дороги автомобильные общего пользования. Опоры стационарного ...&quot; (утв. приказом Росстандарта от 31.08.2016 N 993-ст) Применяется с 08.09.2016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iCs/>
                  <w:color w:val="auto"/>
                  <w:sz w:val="24"/>
                  <w:szCs w:val="24"/>
                  <w:u w:val="none"/>
                </w:rPr>
                <w:t>ГОСТ 32947-2014</w:t>
              </w:r>
            </w:hyperlink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 Межгосударственный стандарт дороги автомобильные общего пользования опоры стационарного электрического освещения технические требования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; 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64" w:tooltip="&quot;ГОСТ Р 52289-2019 Технические средства организации дорожного движения. Правила применения ...&quot; (утв. приказом Росстандарта от 20.12.2019 N 1425-ст) Применяется с 01.04.2020 взамен ... Статус: Действующая редакция документа (действ. c 01.01.2026)">
              <w:r>
                <w:rPr>
                  <w:rStyle w:val="Hyperlink"/>
                  <w:rFonts w:cs="Times New Roman" w:ascii="Times New Roman" w:hAnsi="Times New Roman"/>
                  <w:iCs/>
                  <w:color w:val="auto"/>
                  <w:sz w:val="24"/>
                  <w:szCs w:val="24"/>
                  <w:u w:val="none"/>
                </w:rPr>
                <w:t>ГОСТ Р 52289-2019</w:t>
              </w:r>
            </w:hyperlink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. 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65" w:tooltip="&quot;СП 126.13330.2017 Геодезические работы в строительстве. СНиП 3.01.03-84 (с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126.13330.2017</w:t>
              </w:r>
            </w:hyperlink>
            <w:r>
              <w:rPr>
                <w:sz w:val="28"/>
                <w:szCs w:val="28"/>
                <w:shd w:fill="FFFFFF" w:val="clear"/>
              </w:rPr>
              <w:t xml:space="preserve">. </w:t>
            </w:r>
            <w:r>
              <w:rPr>
                <w:sz w:val="24"/>
                <w:szCs w:val="24"/>
                <w:shd w:fill="FFFFFF" w:val="clear"/>
              </w:rPr>
              <w:t>Свод правил. </w:t>
            </w:r>
            <w:r>
              <w:rPr>
                <w:bCs/>
                <w:sz w:val="24"/>
                <w:szCs w:val="24"/>
                <w:shd w:fill="FFFFFF" w:val="clear"/>
              </w:rPr>
              <w:t>Геодезические</w:t>
            </w:r>
            <w:r>
              <w:rPr>
                <w:sz w:val="24"/>
                <w:szCs w:val="24"/>
                <w:shd w:fill="FFFFFF" w:val="clear"/>
              </w:rPr>
              <w:t> </w:t>
            </w:r>
            <w:r>
              <w:rPr>
                <w:bCs/>
                <w:sz w:val="24"/>
                <w:szCs w:val="24"/>
                <w:shd w:fill="FFFFFF" w:val="clear"/>
              </w:rPr>
              <w:t>работы</w:t>
            </w:r>
            <w:r>
              <w:rPr>
                <w:sz w:val="24"/>
                <w:szCs w:val="24"/>
                <w:shd w:fill="FFFFFF" w:val="clear"/>
              </w:rPr>
              <w:t xml:space="preserve"> в строительстве </w:t>
            </w:r>
            <w:r>
              <w:rPr>
                <w:bCs/>
                <w:sz w:val="24"/>
                <w:szCs w:val="24"/>
                <w:shd w:fill="FFFFFF" w:val="clear"/>
              </w:rPr>
              <w:t>Актуализированная</w:t>
            </w:r>
            <w:r>
              <w:rPr>
                <w:sz w:val="24"/>
                <w:szCs w:val="24"/>
                <w:shd w:fill="FFFFFF" w:val="clear"/>
              </w:rPr>
              <w:t> </w:t>
            </w:r>
            <w:r>
              <w:rPr>
                <w:bCs/>
                <w:sz w:val="24"/>
                <w:szCs w:val="24"/>
                <w:shd w:fill="FFFFFF" w:val="clear"/>
              </w:rPr>
              <w:t>редакция</w:t>
            </w:r>
            <w:r>
              <w:rPr>
                <w:sz w:val="24"/>
                <w:szCs w:val="24"/>
                <w:shd w:fill="FFFFFF" w:val="clear"/>
              </w:rPr>
              <w:t> </w:t>
            </w:r>
            <w:hyperlink r:id="rId66" w:tooltip="&quot;СНиП 3.01.03-84 Геодезические работы в строительстве&quot; (утв. постановлением Госстроя СССР от 04.02.1985 N 15) Заменен на СП 126.13330.2012 Статус: Недействующий документ (действ. c 01.07.1985)">
              <w:r>
                <w:rPr>
                  <w:rStyle w:val="Hyperlink"/>
                  <w:color w:val="auto"/>
                  <w:sz w:val="24"/>
                  <w:szCs w:val="24"/>
                  <w:u w:val="none"/>
                  <w:shd w:fill="FFFFFF" w:val="clear"/>
                </w:rPr>
                <w:t>СНиП 3.01.03-84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67" w:tooltip="&quot;СП 47.13330.2016 Инженерные изыскания для строительства. Основные положения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47.13330.2016</w:t>
              </w:r>
            </w:hyperlink>
            <w:r>
              <w:rPr>
                <w:sz w:val="24"/>
                <w:szCs w:val="24"/>
              </w:rPr>
              <w:t xml:space="preserve">. Свод правил. Инженерные изыскания для строительства. Основные положения. Актуализированная редакция </w:t>
            </w:r>
            <w:hyperlink r:id="rId68" w:tooltip="&quot;СНиП 11-02-96 Инженерные изыскания для строительства. Основные положения&quot; (утв. постановлением Минстроя России от 29.10.1996 N 18-77) Заменен с 01.07.2013 на СП 47.13330.2012 Статус: Недействующий документ (действ. c 01.11.1996 по 30.06.2013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11-02-96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69" w:tooltip="&quot;СП 446.1325800.2019 Инженерно-геологические изыскания для строительства. Общи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446.1325800.2019</w:t>
              </w:r>
            </w:hyperlink>
            <w:r>
              <w:rPr>
                <w:sz w:val="24"/>
                <w:szCs w:val="24"/>
              </w:rPr>
              <w:t xml:space="preserve">. Свод правил инженерно геологические изыскания для строительства; 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11-105-97. Инженерно-геологические изыскания для строительства. Часть I. Общие правила производства работ;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70" w:tooltip="&quot;СП 11-102-97 Инженерно-экологические изыскания для строительства&quot; Статус: Применение действующим законодательством не регулируется (действ. c 15.08.199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11-102-97</w:t>
              </w:r>
            </w:hyperlink>
            <w:r>
              <w:rPr>
                <w:sz w:val="24"/>
                <w:szCs w:val="24"/>
              </w:rPr>
              <w:t>. Инженерно-экологические изыскания для строительства;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71" w:tooltip="&quot;Об установлении примерной формы извещения о проведении собрания о согласовании местоположения ...&quot; Приказ Минэкономразвития России от 21.11.2016 N 735 Статус: Действующий документ (действ. c 01.01.201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Минэкономразвития России от 21.11.2016 N 735</w:t>
              </w:r>
            </w:hyperlink>
            <w:r>
              <w:rPr>
                <w:sz w:val="24"/>
                <w:szCs w:val="24"/>
              </w:rPr>
              <w:t xml:space="preserve"> "Об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России";</w:t>
            </w:r>
          </w:p>
          <w:p>
            <w:pPr>
              <w:pStyle w:val="3"/>
              <w:widowControl w:val="false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Условные знаки для топографических планов масштабов 1:5000, 1:2000, 1:1000, 1:500. Утверждены ГУГК при Совете Министров СССР 25 ноября 1986г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pStyle w:val="Normal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Примечание: нормативная документация применяется по мере введения действующих редакций.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sectPr>
      <w:headerReference w:type="even" r:id="rId72"/>
      <w:headerReference w:type="default" r:id="rId73"/>
      <w:headerReference w:type="first" r:id="rId74"/>
      <w:footerReference w:type="even" r:id="rId75"/>
      <w:footerReference w:type="default" r:id="rId76"/>
      <w:footerReference w:type="first" r:id="rId77"/>
      <w:type w:val="nextPage"/>
      <w:pgSz w:w="11906" w:h="16838"/>
      <w:pgMar w:left="1134" w:right="567" w:gutter="0" w:header="425" w:top="482" w:footer="223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Tms Rmn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2"/>
      <w:ind w:right="-1"/>
      <w:jc w:val="left"/>
      <w:rPr>
        <w:sz w:val="16"/>
        <w:szCs w:val="16"/>
      </w:rPr>
    </w:pPr>
    <w:r>
      <w:rPr>
        <w:sz w:val="16"/>
        <w:szCs w:val="16"/>
      </w:rPr>
    </w:r>
    <w:r>
      <mc:AlternateContent>
        <mc:Choice Requires="wps">
          <w:drawing>
            <wp:anchor distT="0" distB="0" distL="0" distR="0" simplePos="0" relativeHeight="1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54.5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2"/>
      <w:ind w:right="-1"/>
      <w:jc w:val="left"/>
      <w:rPr>
        <w:sz w:val="16"/>
        <w:szCs w:val="16"/>
      </w:rPr>
    </w:pPr>
    <w:r>
      <w:rPr>
        <w:sz w:val="16"/>
        <w:szCs w:val="16"/>
      </w:rPr>
    </w:r>
    <w:r>
      <mc:AlternateContent>
        <mc:Choice Requires="wps">
          <w:drawing>
            <wp:anchor distT="0" distB="0" distL="0" distR="0" simplePos="0" relativeHeight="1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54.5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  <w:rPr/>
    </w:lvl>
  </w:abstractNum>
  <w:abstractNum w:abstractNumId="4"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/>
        <w:i w:val="false"/>
        <w:spacing w:val="0"/>
        <w:w w:val="1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1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1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227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Normal (Web)" w:qFormat="1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e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6851d0"/>
    <w:pPr>
      <w:keepNext w:val="true"/>
      <w:ind w:left="5387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2"/>
    <w:qFormat/>
    <w:rsid w:val="006851d0"/>
    <w:pPr>
      <w:keepNext w:val="true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6851d0"/>
    <w:pPr>
      <w:keepNext w:val="true"/>
      <w:jc w:val="center"/>
      <w:outlineLvl w:val="2"/>
    </w:pPr>
    <w:rPr>
      <w:b/>
      <w:bCs/>
      <w:i/>
      <w:iCs/>
      <w:sz w:val="24"/>
      <w:szCs w:val="22"/>
    </w:rPr>
  </w:style>
  <w:style w:type="paragraph" w:styleId="Heading4">
    <w:name w:val="heading 4"/>
    <w:basedOn w:val="Normal"/>
    <w:next w:val="Normal"/>
    <w:qFormat/>
    <w:rsid w:val="006851d0"/>
    <w:pPr>
      <w:keepNext w:val="true"/>
      <w:jc w:val="center"/>
      <w:outlineLvl w:val="3"/>
    </w:pPr>
    <w:rPr>
      <w:b/>
      <w:bCs/>
      <w:szCs w:val="22"/>
    </w:rPr>
  </w:style>
  <w:style w:type="paragraph" w:styleId="Heading5">
    <w:name w:val="heading 5"/>
    <w:basedOn w:val="Normal"/>
    <w:next w:val="Normal"/>
    <w:qFormat/>
    <w:rsid w:val="006851d0"/>
    <w:pPr>
      <w:keepNext w:val="true"/>
      <w:outlineLvl w:val="4"/>
    </w:pPr>
    <w:rPr>
      <w:sz w:val="24"/>
      <w:szCs w:val="22"/>
    </w:rPr>
  </w:style>
  <w:style w:type="paragraph" w:styleId="Heading6">
    <w:name w:val="heading 6"/>
    <w:basedOn w:val="Normal"/>
    <w:next w:val="Normal"/>
    <w:qFormat/>
    <w:rsid w:val="006851d0"/>
    <w:pPr>
      <w:keepNext w:val="true"/>
      <w:jc w:val="center"/>
      <w:outlineLvl w:val="5"/>
    </w:pPr>
    <w:rPr>
      <w:b/>
      <w:bCs/>
      <w:sz w:val="24"/>
      <w:szCs w:val="22"/>
    </w:rPr>
  </w:style>
  <w:style w:type="paragraph" w:styleId="Heading7">
    <w:name w:val="heading 7"/>
    <w:basedOn w:val="Normal"/>
    <w:next w:val="Normal"/>
    <w:qFormat/>
    <w:rsid w:val="006851d0"/>
    <w:pPr>
      <w:keepNext w:val="true"/>
      <w:jc w:val="center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rsid w:val="006851d0"/>
    <w:pPr>
      <w:keepNext w:val="true"/>
      <w:jc w:val="center"/>
      <w:outlineLvl w:val="7"/>
    </w:pPr>
    <w:rPr>
      <w:bCs/>
      <w:color w:val="000000"/>
      <w:sz w:val="28"/>
    </w:rPr>
  </w:style>
  <w:style w:type="paragraph" w:styleId="Heading9">
    <w:name w:val="heading 9"/>
    <w:basedOn w:val="Normal"/>
    <w:next w:val="Normal"/>
    <w:qFormat/>
    <w:rsid w:val="006851d0"/>
    <w:pPr>
      <w:keepNext w:val="true"/>
      <w:ind w:left="-108" w:right="-108"/>
      <w:jc w:val="both"/>
      <w:outlineLvl w:val="8"/>
    </w:pPr>
    <w:rPr>
      <w:b/>
      <w:bCs/>
      <w:i/>
      <w:i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6851d0"/>
    <w:rPr/>
  </w:style>
  <w:style w:type="character" w:styleId="Hyperlink">
    <w:name w:val="Hyperlink"/>
    <w:basedOn w:val="DefaultParagraphFont"/>
    <w:rsid w:val="006851d0"/>
    <w:rPr>
      <w:color w:val="0000FF"/>
      <w:u w:val="single"/>
    </w:rPr>
  </w:style>
  <w:style w:type="character" w:styleId="Style5">
    <w:name w:val="Символ сноски"/>
    <w:basedOn w:val="DefaultParagraphFont"/>
    <w:semiHidden/>
    <w:qFormat/>
    <w:rsid w:val="006851d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rsid w:val="006851d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6851d0"/>
    <w:rPr>
      <w:b/>
      <w:bCs/>
    </w:rPr>
  </w:style>
  <w:style w:type="character" w:styleId="Style6" w:customStyle="1">
    <w:name w:val="Гипертекстовая ссылка"/>
    <w:basedOn w:val="DefaultParagraphFont"/>
    <w:qFormat/>
    <w:rsid w:val="00351217"/>
    <w:rPr>
      <w:color w:val="008000"/>
      <w:u w:val="single"/>
    </w:rPr>
  </w:style>
  <w:style w:type="character" w:styleId="CommentReference">
    <w:name w:val="annotation reference"/>
    <w:basedOn w:val="DefaultParagraphFont"/>
    <w:semiHidden/>
    <w:qFormat/>
    <w:rsid w:val="00d94880"/>
    <w:rPr>
      <w:sz w:val="16"/>
      <w:szCs w:val="16"/>
    </w:rPr>
  </w:style>
  <w:style w:type="character" w:styleId="2" w:customStyle="1">
    <w:name w:val="Заголовок 2 Знак"/>
    <w:basedOn w:val="DefaultParagraphFont"/>
    <w:qFormat/>
    <w:rsid w:val="001322c8"/>
    <w:rPr>
      <w:b/>
      <w:sz w:val="28"/>
      <w:lang w:val="ru-RU" w:eastAsia="ru-RU" w:bidi="ar-SA"/>
    </w:rPr>
  </w:style>
  <w:style w:type="character" w:styleId="postbody" w:customStyle="1">
    <w:name w:val="postbody"/>
    <w:basedOn w:val="DefaultParagraphFont"/>
    <w:qFormat/>
    <w:rsid w:val="001322c8"/>
    <w:rPr/>
  </w:style>
  <w:style w:type="character" w:styleId="1" w:customStyle="1">
    <w:name w:val="Основной текст с отступом Знак1"/>
    <w:basedOn w:val="DefaultParagraphFont"/>
    <w:qFormat/>
    <w:rsid w:val="001e69cc"/>
    <w:rPr>
      <w:b/>
      <w:sz w:val="30"/>
      <w:lang w:val="ru-RU" w:eastAsia="ru-RU" w:bidi="ar-SA"/>
    </w:rPr>
  </w:style>
  <w:style w:type="character" w:styleId="apple-converted-space" w:customStyle="1">
    <w:name w:val="apple-converted-space"/>
    <w:basedOn w:val="DefaultParagraphFont"/>
    <w:qFormat/>
    <w:rsid w:val="00791d80"/>
    <w:rPr/>
  </w:style>
  <w:style w:type="character" w:styleId="match" w:customStyle="1">
    <w:name w:val="match"/>
    <w:basedOn w:val="DefaultParagraphFont"/>
    <w:qFormat/>
    <w:rsid w:val="00791d80"/>
    <w:rPr/>
  </w:style>
  <w:style w:type="character" w:styleId="Style7" w:customStyle="1">
    <w:name w:val="Верхний колонтитул Знак"/>
    <w:basedOn w:val="DefaultParagraphFont"/>
    <w:qFormat/>
    <w:rsid w:val="00f3656d"/>
    <w:rPr/>
  </w:style>
  <w:style w:type="character" w:styleId="blk" w:customStyle="1">
    <w:name w:val="blk"/>
    <w:basedOn w:val="DefaultParagraphFont"/>
    <w:qFormat/>
    <w:rsid w:val="000052e1"/>
    <w:rPr/>
  </w:style>
  <w:style w:type="character" w:styleId="21" w:customStyle="1">
    <w:name w:val="Основной текст 2 Знак"/>
    <w:basedOn w:val="DefaultParagraphFont"/>
    <w:link w:val="BodyText2"/>
    <w:qFormat/>
    <w:rsid w:val="007f17b1"/>
    <w:rPr>
      <w:sz w:val="32"/>
    </w:rPr>
  </w:style>
  <w:style w:type="character" w:styleId="Style8" w:customStyle="1">
    <w:name w:val="Нижний колонтитул Знак"/>
    <w:basedOn w:val="DefaultParagraphFont"/>
    <w:uiPriority w:val="99"/>
    <w:qFormat/>
    <w:rsid w:val="000e1034"/>
    <w:rPr/>
  </w:style>
  <w:style w:type="character" w:styleId="Style9" w:customStyle="1">
    <w:name w:val="Основной текст Знак"/>
    <w:basedOn w:val="DefaultParagraphFont"/>
    <w:uiPriority w:val="99"/>
    <w:qFormat/>
    <w:rsid w:val="00253e7b"/>
    <w:rPr>
      <w:sz w:val="23"/>
    </w:rPr>
  </w:style>
  <w:style w:type="character" w:styleId="Style10" w:customStyle="1">
    <w:name w:val="Обычный (веб) Знак"/>
    <w:link w:val="NormalWeb"/>
    <w:qFormat/>
    <w:locked/>
    <w:rsid w:val="00ea36ac"/>
    <w:rPr>
      <w:sz w:val="24"/>
      <w:szCs w:val="24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9"/>
    <w:uiPriority w:val="99"/>
    <w:qFormat/>
    <w:rsid w:val="006851d0"/>
    <w:pPr>
      <w:widowControl w:val="false"/>
      <w:jc w:val="both"/>
    </w:pPr>
    <w:rPr>
      <w:sz w:val="23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qFormat/>
    <w:rsid w:val="006851d0"/>
    <w:pPr>
      <w:keepNext w:val="true"/>
      <w:ind w:firstLine="567"/>
      <w:jc w:val="both"/>
    </w:pPr>
    <w:rPr>
      <w:b/>
      <w:i/>
      <w:iCs/>
      <w:sz w:val="22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qFormat/>
    <w:rsid w:val="006851d0"/>
    <w:pPr>
      <w:jc w:val="center"/>
    </w:pPr>
    <w:rPr>
      <w:sz w:val="28"/>
    </w:rPr>
  </w:style>
  <w:style w:type="paragraph" w:styleId="BodyTextIndent">
    <w:name w:val="Body Text Indent"/>
    <w:basedOn w:val="Normal"/>
    <w:link w:val="1"/>
    <w:rsid w:val="006851d0"/>
    <w:pPr>
      <w:ind w:left="5387"/>
      <w:jc w:val="center"/>
    </w:pPr>
    <w:rPr>
      <w:b/>
      <w:sz w:val="30"/>
    </w:rPr>
  </w:style>
  <w:style w:type="paragraph" w:styleId="Subtitle">
    <w:name w:val="Subtitle"/>
    <w:basedOn w:val="Normal"/>
    <w:qFormat/>
    <w:rsid w:val="006851d0"/>
    <w:pPr>
      <w:jc w:val="center"/>
    </w:pPr>
    <w:rPr>
      <w:b/>
      <w:sz w:val="36"/>
    </w:rPr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link w:val="Style7"/>
    <w:qFormat/>
    <w:rsid w:val="006851d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rsid w:val="006851d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3">
    <w:name w:val="Body Text Indent 3"/>
    <w:basedOn w:val="Normal"/>
    <w:qFormat/>
    <w:rsid w:val="006851d0"/>
    <w:pPr>
      <w:widowControl w:val="false"/>
      <w:ind w:firstLine="567"/>
      <w:jc w:val="both"/>
    </w:pPr>
    <w:rPr/>
  </w:style>
  <w:style w:type="paragraph" w:styleId="FootnoteText">
    <w:name w:val="footnote text"/>
    <w:basedOn w:val="Normal"/>
    <w:semiHidden/>
    <w:rsid w:val="006851d0"/>
    <w:pPr/>
    <w:rPr/>
  </w:style>
  <w:style w:type="paragraph" w:styleId="BodyTextIndent2">
    <w:name w:val="Body Text Indent 2"/>
    <w:basedOn w:val="Normal"/>
    <w:qFormat/>
    <w:rsid w:val="006851d0"/>
    <w:pPr>
      <w:widowControl w:val="false"/>
      <w:ind w:firstLine="567"/>
      <w:jc w:val="both"/>
    </w:pPr>
    <w:rPr>
      <w:sz w:val="24"/>
      <w:szCs w:val="24"/>
    </w:rPr>
  </w:style>
  <w:style w:type="paragraph" w:styleId="HTMLPreformatted">
    <w:name w:val="HTML Preformatted"/>
    <w:basedOn w:val="Normal"/>
    <w:qFormat/>
    <w:rsid w:val="006851d0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 w:cs="Courier New"/>
      <w:color w:val="000000"/>
    </w:rPr>
  </w:style>
  <w:style w:type="paragraph" w:styleId="FR5" w:customStyle="1">
    <w:name w:val="FR5"/>
    <w:qFormat/>
    <w:rsid w:val="006851d0"/>
    <w:pPr>
      <w:widowControl/>
      <w:bidi w:val="0"/>
      <w:spacing w:before="0" w:after="0"/>
      <w:ind w:firstLine="420" w:left="40"/>
      <w:jc w:val="both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BodyText2">
    <w:name w:val="Body Text 2"/>
    <w:basedOn w:val="Normal"/>
    <w:link w:val="21"/>
    <w:qFormat/>
    <w:rsid w:val="006851d0"/>
    <w:pPr>
      <w:ind w:right="-143"/>
      <w:jc w:val="center"/>
    </w:pPr>
    <w:rPr>
      <w:sz w:val="32"/>
    </w:rPr>
  </w:style>
  <w:style w:type="paragraph" w:styleId="BodyText3">
    <w:name w:val="Body Text 3"/>
    <w:basedOn w:val="Normal"/>
    <w:qFormat/>
    <w:rsid w:val="006851d0"/>
    <w:pPr>
      <w:jc w:val="both"/>
    </w:pPr>
    <w:rPr>
      <w:sz w:val="22"/>
    </w:rPr>
  </w:style>
  <w:style w:type="paragraph" w:styleId="11" w:customStyle="1">
    <w:name w:val="заголовок 11"/>
    <w:basedOn w:val="Normal"/>
    <w:next w:val="Normal"/>
    <w:qFormat/>
    <w:rsid w:val="006851d0"/>
    <w:pPr>
      <w:keepNext w:val="true"/>
      <w:jc w:val="center"/>
    </w:pPr>
    <w:rPr>
      <w:sz w:val="24"/>
    </w:rPr>
  </w:style>
  <w:style w:type="paragraph" w:styleId="xl24" w:customStyle="1">
    <w:name w:val="xl24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styleId="xl25" w:customStyle="1">
    <w:name w:val="xl25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26" w:customStyle="1">
    <w:name w:val="xl26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b/>
      <w:bCs/>
      <w:sz w:val="24"/>
      <w:szCs w:val="24"/>
    </w:rPr>
  </w:style>
  <w:style w:type="paragraph" w:styleId="xl27" w:customStyle="1">
    <w:name w:val="xl27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/>
      <w:b/>
      <w:bCs/>
      <w:sz w:val="24"/>
      <w:szCs w:val="24"/>
    </w:rPr>
  </w:style>
  <w:style w:type="paragraph" w:styleId="xl28" w:customStyle="1">
    <w:name w:val="xl28"/>
    <w:basedOn w:val="Normal"/>
    <w:qFormat/>
    <w:rsid w:val="006851d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/>
      <w:b/>
      <w:bCs/>
      <w:sz w:val="24"/>
      <w:szCs w:val="24"/>
    </w:rPr>
  </w:style>
  <w:style w:type="paragraph" w:styleId="xl29" w:customStyle="1">
    <w:name w:val="xl29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/>
      <w:sz w:val="24"/>
      <w:szCs w:val="24"/>
    </w:rPr>
  </w:style>
  <w:style w:type="paragraph" w:styleId="xl30" w:customStyle="1">
    <w:name w:val="xl30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Arial" w:hAnsi="Arial"/>
      <w:b/>
      <w:bCs/>
      <w:sz w:val="24"/>
      <w:szCs w:val="24"/>
    </w:rPr>
  </w:style>
  <w:style w:type="paragraph" w:styleId="xl31" w:customStyle="1">
    <w:name w:val="xl31"/>
    <w:basedOn w:val="Normal"/>
    <w:qFormat/>
    <w:rsid w:val="006851d0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Arial" w:hAnsi="Arial"/>
      <w:b/>
      <w:bCs/>
      <w:sz w:val="24"/>
      <w:szCs w:val="24"/>
    </w:rPr>
  </w:style>
  <w:style w:type="paragraph" w:styleId="xl32" w:customStyle="1">
    <w:name w:val="xl32"/>
    <w:basedOn w:val="Normal"/>
    <w:qFormat/>
    <w:rsid w:val="006851d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/>
      <w:b/>
      <w:bCs/>
      <w:sz w:val="24"/>
      <w:szCs w:val="24"/>
    </w:rPr>
  </w:style>
  <w:style w:type="paragraph" w:styleId="xl33" w:customStyle="1">
    <w:name w:val="xl33"/>
    <w:basedOn w:val="Normal"/>
    <w:qFormat/>
    <w:rsid w:val="006851d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styleId="xl34" w:customStyle="1">
    <w:name w:val="xl34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/>
      <w:b/>
      <w:bCs/>
      <w:sz w:val="24"/>
      <w:szCs w:val="24"/>
    </w:rPr>
  </w:style>
  <w:style w:type="paragraph" w:styleId="xl35" w:customStyle="1">
    <w:name w:val="xl35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/>
      <w:b/>
      <w:bCs/>
      <w:sz w:val="24"/>
      <w:szCs w:val="24"/>
    </w:rPr>
  </w:style>
  <w:style w:type="paragraph" w:styleId="xl36" w:customStyle="1">
    <w:name w:val="xl36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a750a5"/>
    <w:pPr>
      <w:ind w:hanging="200" w:left="200"/>
    </w:pPr>
    <w:rPr/>
  </w:style>
  <w:style w:type="paragraph" w:styleId="Index2">
    <w:name w:val="index 2"/>
    <w:basedOn w:val="Normal"/>
    <w:next w:val="Normal"/>
    <w:autoRedefine/>
    <w:semiHidden/>
    <w:rsid w:val="00a750a5"/>
    <w:pPr>
      <w:ind w:hanging="200" w:left="400"/>
    </w:pPr>
    <w:rPr/>
  </w:style>
  <w:style w:type="paragraph" w:styleId="Index3">
    <w:name w:val="index 3"/>
    <w:basedOn w:val="Normal"/>
    <w:next w:val="Normal"/>
    <w:autoRedefine/>
    <w:semiHidden/>
    <w:rsid w:val="00a750a5"/>
    <w:pPr>
      <w:ind w:hanging="200" w:left="600"/>
    </w:pPr>
    <w:rPr/>
  </w:style>
  <w:style w:type="paragraph" w:styleId="Index4">
    <w:name w:val="index 4"/>
    <w:basedOn w:val="Normal"/>
    <w:next w:val="Normal"/>
    <w:autoRedefine/>
    <w:semiHidden/>
    <w:qFormat/>
    <w:rsid w:val="00a750a5"/>
    <w:pPr>
      <w:ind w:hanging="200" w:left="800"/>
    </w:pPr>
    <w:rPr/>
  </w:style>
  <w:style w:type="paragraph" w:styleId="Index5">
    <w:name w:val="index 5"/>
    <w:basedOn w:val="Normal"/>
    <w:next w:val="Normal"/>
    <w:autoRedefine/>
    <w:semiHidden/>
    <w:qFormat/>
    <w:rsid w:val="00a750a5"/>
    <w:pPr>
      <w:ind w:hanging="200" w:left="1000"/>
    </w:pPr>
    <w:rPr/>
  </w:style>
  <w:style w:type="paragraph" w:styleId="Index6">
    <w:name w:val="index 6"/>
    <w:basedOn w:val="Normal"/>
    <w:next w:val="Normal"/>
    <w:autoRedefine/>
    <w:semiHidden/>
    <w:qFormat/>
    <w:rsid w:val="00a750a5"/>
    <w:pPr>
      <w:ind w:hanging="200" w:left="1200"/>
    </w:pPr>
    <w:rPr/>
  </w:style>
  <w:style w:type="paragraph" w:styleId="Index7">
    <w:name w:val="index 7"/>
    <w:basedOn w:val="Normal"/>
    <w:next w:val="Normal"/>
    <w:autoRedefine/>
    <w:semiHidden/>
    <w:qFormat/>
    <w:rsid w:val="00a750a5"/>
    <w:pPr>
      <w:ind w:hanging="200" w:left="1400"/>
    </w:pPr>
    <w:rPr/>
  </w:style>
  <w:style w:type="paragraph" w:styleId="Index8">
    <w:name w:val="index 8"/>
    <w:basedOn w:val="Normal"/>
    <w:next w:val="Normal"/>
    <w:autoRedefine/>
    <w:semiHidden/>
    <w:qFormat/>
    <w:rsid w:val="00a750a5"/>
    <w:pPr>
      <w:ind w:hanging="200" w:left="1600"/>
    </w:pPr>
    <w:rPr/>
  </w:style>
  <w:style w:type="paragraph" w:styleId="Index9">
    <w:name w:val="index 9"/>
    <w:basedOn w:val="Normal"/>
    <w:next w:val="Normal"/>
    <w:autoRedefine/>
    <w:semiHidden/>
    <w:qFormat/>
    <w:rsid w:val="00a750a5"/>
    <w:pPr>
      <w:ind w:hanging="200" w:left="1800"/>
    </w:pPr>
    <w:rPr/>
  </w:style>
  <w:style w:type="paragraph" w:styleId="IndexHeading">
    <w:name w:val="index heading"/>
    <w:basedOn w:val="Normal"/>
    <w:next w:val="Index1"/>
    <w:semiHidden/>
    <w:rsid w:val="00a750a5"/>
    <w:pPr/>
    <w:rPr/>
  </w:style>
  <w:style w:type="paragraph" w:styleId="BalloonText">
    <w:name w:val="Balloon Text"/>
    <w:basedOn w:val="Normal"/>
    <w:semiHidden/>
    <w:qFormat/>
    <w:rsid w:val="00460005"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1d6937"/>
    <w:pPr>
      <w:tabs>
        <w:tab w:val="clear" w:pos="720"/>
        <w:tab w:val="right" w:pos="10065" w:leader="none"/>
      </w:tabs>
      <w:spacing w:before="120" w:after="120"/>
      <w:ind w:firstLine="284"/>
    </w:pPr>
    <w:rPr>
      <w:bCs/>
      <w:caps/>
    </w:rPr>
  </w:style>
  <w:style w:type="paragraph" w:styleId="TOC2">
    <w:name w:val="toc 2"/>
    <w:basedOn w:val="Normal"/>
    <w:next w:val="Normal"/>
    <w:autoRedefine/>
    <w:semiHidden/>
    <w:rsid w:val="00803647"/>
    <w:pPr>
      <w:tabs>
        <w:tab w:val="clear" w:pos="720"/>
        <w:tab w:val="left" w:pos="9639" w:leader="none"/>
      </w:tabs>
      <w:spacing w:before="120" w:after="0"/>
      <w:ind w:right="-2"/>
      <w:jc w:val="center"/>
    </w:pPr>
    <w:rPr>
      <w:smallCaps/>
    </w:rPr>
  </w:style>
  <w:style w:type="paragraph" w:styleId="TOC3">
    <w:name w:val="toc 3"/>
    <w:basedOn w:val="Normal"/>
    <w:next w:val="Normal"/>
    <w:autoRedefine/>
    <w:semiHidden/>
    <w:rsid w:val="005f69fc"/>
    <w:pPr>
      <w:ind w:left="400"/>
    </w:pPr>
    <w:rPr>
      <w:i/>
      <w:iCs/>
    </w:rPr>
  </w:style>
  <w:style w:type="paragraph" w:styleId="TOC4">
    <w:name w:val="toc 4"/>
    <w:basedOn w:val="Normal"/>
    <w:next w:val="Normal"/>
    <w:autoRedefine/>
    <w:semiHidden/>
    <w:rsid w:val="00c22896"/>
    <w:pPr>
      <w:ind w:left="60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c22896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c22896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c22896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c22896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c22896"/>
    <w:pPr>
      <w:ind w:left="1600"/>
    </w:pPr>
    <w:rPr>
      <w:sz w:val="18"/>
      <w:szCs w:val="18"/>
    </w:rPr>
  </w:style>
  <w:style w:type="paragraph" w:styleId="CommentText">
    <w:name w:val="annotation text"/>
    <w:basedOn w:val="Normal"/>
    <w:semiHidden/>
    <w:rsid w:val="00d94880"/>
    <w:pPr/>
    <w:rPr/>
  </w:style>
  <w:style w:type="paragraph" w:styleId="annotationsubject">
    <w:name w:val="annotation subject"/>
    <w:basedOn w:val="CommentText"/>
    <w:next w:val="CommentText"/>
    <w:semiHidden/>
    <w:qFormat/>
    <w:rsid w:val="00d94880"/>
    <w:pPr/>
    <w:rPr>
      <w:b/>
      <w:bCs/>
    </w:rPr>
  </w:style>
  <w:style w:type="paragraph" w:styleId="PlainText">
    <w:name w:val="Plain Text"/>
    <w:basedOn w:val="Normal"/>
    <w:qFormat/>
    <w:rsid w:val="00287894"/>
    <w:pPr/>
    <w:rPr>
      <w:rFonts w:ascii="Courier New" w:hAnsi="Courier New"/>
    </w:rPr>
  </w:style>
  <w:style w:type="paragraph" w:styleId="Style14" w:customStyle="1">
    <w:name w:val="Заголовок статьи"/>
    <w:basedOn w:val="Normal"/>
    <w:next w:val="Normal"/>
    <w:qFormat/>
    <w:rsid w:val="00a135e2"/>
    <w:pPr>
      <w:widowControl w:val="false"/>
      <w:ind w:hanging="892" w:left="1612"/>
      <w:jc w:val="both"/>
    </w:pPr>
    <w:rPr>
      <w:rFonts w:ascii="Arial" w:hAnsi="Arial" w:cs="Arial"/>
    </w:rPr>
  </w:style>
  <w:style w:type="paragraph" w:styleId="BlockText">
    <w:name w:val="Block Text"/>
    <w:basedOn w:val="Normal"/>
    <w:qFormat/>
    <w:rsid w:val="0018315b"/>
    <w:pPr>
      <w:ind w:firstLine="1287" w:left="-567" w:right="-240"/>
      <w:jc w:val="both"/>
    </w:pPr>
    <w:rPr>
      <w:sz w:val="24"/>
    </w:rPr>
  </w:style>
  <w:style w:type="paragraph" w:styleId="ConsNonformat" w:customStyle="1">
    <w:name w:val="ConsNonformat"/>
    <w:qFormat/>
    <w:rsid w:val="00346242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Стиль2"/>
    <w:basedOn w:val="Normal"/>
    <w:qFormat/>
    <w:rsid w:val="0019306e"/>
    <w:pPr/>
    <w:rPr>
      <w:b/>
      <w:bCs/>
      <w:caps/>
      <w:sz w:val="28"/>
    </w:rPr>
  </w:style>
  <w:style w:type="paragraph" w:styleId="12" w:customStyle="1">
    <w:name w:val="Обычный1"/>
    <w:qFormat/>
    <w:rsid w:val="00b8447c"/>
    <w:pPr>
      <w:widowControl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нак Знак Знак1 Знак Знак Знак Знак"/>
    <w:basedOn w:val="Normal"/>
    <w:qFormat/>
    <w:rsid w:val="001322c8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1322c8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link w:val="Style10"/>
    <w:qFormat/>
    <w:rsid w:val="001322c8"/>
    <w:pPr>
      <w:spacing w:beforeAutospacing="1" w:afterAutospacing="1"/>
    </w:pPr>
    <w:rPr>
      <w:sz w:val="24"/>
      <w:szCs w:val="24"/>
    </w:rPr>
  </w:style>
  <w:style w:type="paragraph" w:styleId="211" w:customStyle="1">
    <w:name w:val="Основной текст с отступом 21"/>
    <w:basedOn w:val="Normal"/>
    <w:qFormat/>
    <w:rsid w:val="005e2b2e"/>
    <w:pPr>
      <w:overflowPunct w:val="true"/>
      <w:ind w:left="360"/>
      <w:jc w:val="both"/>
      <w:textAlignment w:val="baseline"/>
    </w:pPr>
    <w:rPr>
      <w:sz w:val="24"/>
    </w:rPr>
  </w:style>
  <w:style w:type="paragraph" w:styleId="BodyTextIndent22" w:customStyle="1">
    <w:name w:val="Body Text Indent 22"/>
    <w:basedOn w:val="Normal"/>
    <w:qFormat/>
    <w:rsid w:val="005e2b2e"/>
    <w:pPr>
      <w:ind w:firstLine="567"/>
    </w:pPr>
    <w:rPr>
      <w:sz w:val="24"/>
    </w:rPr>
  </w:style>
  <w:style w:type="paragraph" w:styleId="Aaoieeeieiioeooe1" w:customStyle="1">
    <w:name w:val="Aa?oiee eieiioeooe1"/>
    <w:basedOn w:val="Normal"/>
    <w:qFormat/>
    <w:rsid w:val="005e2b2e"/>
    <w:pPr>
      <w:widowControl w:val="false"/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5" w:customStyle="1">
    <w:name w:val="Знак"/>
    <w:basedOn w:val="Normal"/>
    <w:qFormat/>
    <w:rsid w:val="001e69cc"/>
    <w:pPr>
      <w:spacing w:beforeAutospacing="1" w:afterAutospacing="1"/>
    </w:pPr>
    <w:rPr>
      <w:rFonts w:ascii="Tahoma" w:hAnsi="Tahoma"/>
      <w:lang w:val="en-US" w:eastAsia="en-US"/>
    </w:rPr>
  </w:style>
  <w:style w:type="paragraph" w:styleId="Style16" w:customStyle="1">
    <w:name w:val="Основной текст с отступом.Основной текст без отступа.текст"/>
    <w:basedOn w:val="Normal"/>
    <w:qFormat/>
    <w:rsid w:val="00d20a78"/>
    <w:pPr>
      <w:ind w:left="5387"/>
      <w:jc w:val="center"/>
    </w:pPr>
    <w:rPr>
      <w:b/>
      <w:sz w:val="30"/>
    </w:rPr>
  </w:style>
  <w:style w:type="paragraph" w:styleId="ConsPlusTitle" w:customStyle="1">
    <w:name w:val="ConsPlusTitle"/>
    <w:qFormat/>
    <w:rsid w:val="000f75a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17" w:customStyle="1">
    <w:name w:val="подпись"/>
    <w:basedOn w:val="Normal"/>
    <w:qFormat/>
    <w:rsid w:val="00e33fc8"/>
    <w:pPr>
      <w:widowControl w:val="false"/>
      <w:tabs>
        <w:tab w:val="clear" w:pos="720"/>
        <w:tab w:val="left" w:pos="6237" w:leader="none"/>
      </w:tabs>
      <w:spacing w:before="1440" w:after="0"/>
    </w:pPr>
    <w:rPr/>
  </w:style>
  <w:style w:type="paragraph" w:styleId="ListParagraph">
    <w:name w:val="List Paragraph"/>
    <w:basedOn w:val="Normal"/>
    <w:qFormat/>
    <w:rsid w:val="008f65a6"/>
    <w:pPr>
      <w:spacing w:before="0" w:after="0"/>
      <w:ind w:left="720"/>
      <w:contextualSpacing/>
    </w:pPr>
    <w:rPr/>
  </w:style>
  <w:style w:type="paragraph" w:styleId="3" w:customStyle="1">
    <w:name w:val="Обычный3"/>
    <w:qFormat/>
    <w:rsid w:val="00b87c65"/>
    <w:pPr>
      <w:widowControl/>
      <w:bidi w:val="0"/>
      <w:spacing w:before="0" w:after="0"/>
      <w:jc w:val="both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uiPriority w:val="99"/>
    <w:semiHidden/>
    <w:qFormat/>
    <w:rsid w:val="00036bd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7f17b1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eastAsia="en-US" w:val="ru-RU" w:bidi="ar-SA"/>
    </w:rPr>
  </w:style>
  <w:style w:type="paragraph" w:styleId="Style18" w:customStyle="1">
    <w:name w:val="Знак Знак Знак Знак"/>
    <w:basedOn w:val="Normal"/>
    <w:qFormat/>
    <w:rsid w:val="00253e7b"/>
    <w:pPr>
      <w:spacing w:beforeAutospacing="1" w:afterAutospacing="1"/>
    </w:pPr>
    <w:rPr>
      <w:rFonts w:ascii="Tahoma" w:hAnsi="Tahoma"/>
      <w:lang w:val="en-US" w:eastAsia="en-US"/>
    </w:rPr>
  </w:style>
  <w:style w:type="paragraph" w:styleId="Normal0" w:customStyle="1">
    <w:name w:val="Normal_0"/>
    <w:qFormat/>
    <w:rsid w:val="00f44c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485d31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eastAsia="en-US" w:val="ru-RU" w:bidi="ar-SA"/>
    </w:rPr>
  </w:style>
  <w:style w:type="paragraph" w:styleId="4" w:customStyle="1">
    <w:name w:val="Без интервала4"/>
    <w:qFormat/>
    <w:rsid w:val="008775e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9b45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kodeks://link/d?nd=902192610" TargetMode="External"/><Relationship Id="rId3" Type="http://schemas.openxmlformats.org/officeDocument/2006/relationships/hyperlink" Target="kodeks://link/d?nd=456054209" TargetMode="External"/><Relationship Id="rId4" Type="http://schemas.openxmlformats.org/officeDocument/2006/relationships/hyperlink" Target="kodeks://link/d?nd=5200163" TargetMode="External"/><Relationship Id="rId5" Type="http://schemas.openxmlformats.org/officeDocument/2006/relationships/hyperlink" Target="kodeks://link/d?nd=1200134398" TargetMode="External"/><Relationship Id="rId6" Type="http://schemas.openxmlformats.org/officeDocument/2006/relationships/hyperlink" Target="kodeks://link/d?nd=1200134398" TargetMode="External"/><Relationship Id="rId7" Type="http://schemas.openxmlformats.org/officeDocument/2006/relationships/hyperlink" Target="kodeks://link/d?nd=1200003114" TargetMode="External"/><Relationship Id="rId8" Type="http://schemas.openxmlformats.org/officeDocument/2006/relationships/hyperlink" Target="kodeks://link/d?nd=1200003114" TargetMode="External"/><Relationship Id="rId9" Type="http://schemas.openxmlformats.org/officeDocument/2006/relationships/hyperlink" Target="kodeks://link/d?nd=1200158480" TargetMode="External"/><Relationship Id="rId10" Type="http://schemas.openxmlformats.org/officeDocument/2006/relationships/hyperlink" Target="kodeks://link/d?nd=902030917" TargetMode="External"/><Relationship Id="rId11" Type="http://schemas.openxmlformats.org/officeDocument/2006/relationships/hyperlink" Target="kodeks://link/d?nd=456045544" TargetMode="External"/><Relationship Id="rId12" Type="http://schemas.openxmlformats.org/officeDocument/2006/relationships/hyperlink" Target="kodeks://link/d?nd=871001042" TargetMode="External"/><Relationship Id="rId13" Type="http://schemas.openxmlformats.org/officeDocument/2006/relationships/hyperlink" Target="kodeks://link/d?nd=550965720" TargetMode="External"/><Relationship Id="rId14" Type="http://schemas.openxmlformats.org/officeDocument/2006/relationships/hyperlink" Target="kodeks://link/d?nd=5200029" TargetMode="External"/><Relationship Id="rId15" Type="http://schemas.openxmlformats.org/officeDocument/2006/relationships/hyperlink" Target="kodeks://link/d?nd=550965720" TargetMode="External"/><Relationship Id="rId16" Type="http://schemas.openxmlformats.org/officeDocument/2006/relationships/hyperlink" Target="kodeks://link/d?nd=5200029" TargetMode="External"/><Relationship Id="rId17" Type="http://schemas.openxmlformats.org/officeDocument/2006/relationships/hyperlink" Target="kodeks://link/d?nd=561027906" TargetMode="External"/><Relationship Id="rId18" Type="http://schemas.openxmlformats.org/officeDocument/2006/relationships/hyperlink" Target="kodeks://link/d?nd=871001220" TargetMode="External"/><Relationship Id="rId19" Type="http://schemas.openxmlformats.org/officeDocument/2006/relationships/hyperlink" Target="kodeks://link/d?nd=420396987" TargetMode="External"/><Relationship Id="rId20" Type="http://schemas.openxmlformats.org/officeDocument/2006/relationships/hyperlink" Target="kodeks://link/d?nd=727292360" TargetMode="External"/><Relationship Id="rId21" Type="http://schemas.openxmlformats.org/officeDocument/2006/relationships/hyperlink" Target="kodeks://link/d?nd=901919551" TargetMode="External"/><Relationship Id="rId22" Type="http://schemas.openxmlformats.org/officeDocument/2006/relationships/hyperlink" Target="kodeks://link/d?nd=902192610" TargetMode="External"/><Relationship Id="rId23" Type="http://schemas.openxmlformats.org/officeDocument/2006/relationships/hyperlink" Target="kodeks://link/d?nd=902192610" TargetMode="External"/><Relationship Id="rId24" Type="http://schemas.openxmlformats.org/officeDocument/2006/relationships/hyperlink" Target="kodeks://link/d?nd=902087949" TargetMode="External"/><Relationship Id="rId25" Type="http://schemas.openxmlformats.org/officeDocument/2006/relationships/hyperlink" Target="kodeks://link/d?nd=901919338" TargetMode="External"/><Relationship Id="rId26" Type="http://schemas.openxmlformats.org/officeDocument/2006/relationships/hyperlink" Target="kodeks://link/d?nd=1315995216" TargetMode="External"/><Relationship Id="rId27" Type="http://schemas.openxmlformats.org/officeDocument/2006/relationships/hyperlink" Target="kodeks://link/d?nd=902087949" TargetMode="External"/><Relationship Id="rId28" Type="http://schemas.openxmlformats.org/officeDocument/2006/relationships/hyperlink" Target="kodeks://link/d?nd=573319190" TargetMode="External"/><Relationship Id="rId29" Type="http://schemas.openxmlformats.org/officeDocument/2006/relationships/hyperlink" Target="kodeks://link/d?nd=573514520" TargetMode="External"/><Relationship Id="rId30" Type="http://schemas.openxmlformats.org/officeDocument/2006/relationships/hyperlink" Target="kodeks://link/d?nd=553863489" TargetMode="External"/><Relationship Id="rId31" Type="http://schemas.openxmlformats.org/officeDocument/2006/relationships/hyperlink" Target="kodeks://link/d?nd=902087949" TargetMode="External"/><Relationship Id="rId32" Type="http://schemas.openxmlformats.org/officeDocument/2006/relationships/hyperlink" Target="kodeks://link/d?nd=9027690" TargetMode="External"/><Relationship Id="rId33" Type="http://schemas.openxmlformats.org/officeDocument/2006/relationships/hyperlink" Target="kodeks://link/d?nd=902087949" TargetMode="External"/><Relationship Id="rId34" Type="http://schemas.openxmlformats.org/officeDocument/2006/relationships/hyperlink" Target="kodeks://link/d?nd=456075299" TargetMode="External"/><Relationship Id="rId35" Type="http://schemas.openxmlformats.org/officeDocument/2006/relationships/hyperlink" Target="kodeks://link/d?nd=573514518" TargetMode="External"/><Relationship Id="rId36" Type="http://schemas.openxmlformats.org/officeDocument/2006/relationships/hyperlink" Target="kodeks://link/d?nd=573514520" TargetMode="External"/><Relationship Id="rId37" Type="http://schemas.openxmlformats.org/officeDocument/2006/relationships/hyperlink" Target="kodeks://link/d?nd=9027690" TargetMode="External"/><Relationship Id="rId38" Type="http://schemas.openxmlformats.org/officeDocument/2006/relationships/hyperlink" Target="kodeks://link/d?nd=9027703" TargetMode="External"/><Relationship Id="rId39" Type="http://schemas.openxmlformats.org/officeDocument/2006/relationships/hyperlink" Target="kodeks://link/d?nd=744100004" TargetMode="External"/><Relationship Id="rId40" Type="http://schemas.openxmlformats.org/officeDocument/2006/relationships/hyperlink" Target="kodeks://link/d?nd=744100004" TargetMode="External"/><Relationship Id="rId41" Type="http://schemas.openxmlformats.org/officeDocument/2006/relationships/hyperlink" Target="kodeks://link/d?nd=901918785" TargetMode="External"/><Relationship Id="rId42" Type="http://schemas.openxmlformats.org/officeDocument/2006/relationships/hyperlink" Target="kodeks://link/d?nd=901789647" TargetMode="External"/><Relationship Id="rId43" Type="http://schemas.openxmlformats.org/officeDocument/2006/relationships/hyperlink" Target="kodeks://link/d?nd=902017047" TargetMode="External"/><Relationship Id="rId44" Type="http://schemas.openxmlformats.org/officeDocument/2006/relationships/hyperlink" Target="kodeks://link/d?nd=902017047" TargetMode="External"/><Relationship Id="rId45" Type="http://schemas.openxmlformats.org/officeDocument/2006/relationships/hyperlink" Target="kodeks://link/d?nd=902070582" TargetMode="External"/><Relationship Id="rId46" Type="http://schemas.openxmlformats.org/officeDocument/2006/relationships/hyperlink" Target="kodeks://link/d?nd=901870860" TargetMode="External"/><Relationship Id="rId47" Type="http://schemas.openxmlformats.org/officeDocument/2006/relationships/hyperlink" Target="kodeks://link/d?nd=902145038" TargetMode="External"/><Relationship Id="rId48" Type="http://schemas.openxmlformats.org/officeDocument/2006/relationships/hyperlink" Target="kodeks://link/d?nd=902397056" TargetMode="External"/><Relationship Id="rId49" Type="http://schemas.openxmlformats.org/officeDocument/2006/relationships/hyperlink" Target="kodeks://link/d?nd=552356752" TargetMode="External"/><Relationship Id="rId50" Type="http://schemas.openxmlformats.org/officeDocument/2006/relationships/hyperlink" Target="kodeks://link/d?nd=902173656" TargetMode="External"/><Relationship Id="rId51" Type="http://schemas.openxmlformats.org/officeDocument/2006/relationships/hyperlink" Target="kodeks://link/d?nd=350340977" TargetMode="External"/><Relationship Id="rId52" Type="http://schemas.openxmlformats.org/officeDocument/2006/relationships/hyperlink" Target="kodeks://link/d?nd=727784145" TargetMode="External"/><Relationship Id="rId53" Type="http://schemas.openxmlformats.org/officeDocument/2006/relationships/hyperlink" Target="kodeks://link/d?nd=566321344" TargetMode="External"/><Relationship Id="rId54" Type="http://schemas.openxmlformats.org/officeDocument/2006/relationships/hyperlink" Target="kodeks://link/d?nd=608934765" TargetMode="External"/><Relationship Id="rId55" Type="http://schemas.openxmlformats.org/officeDocument/2006/relationships/hyperlink" Target="kodeks://link/d?nd=727709226" TargetMode="External"/><Relationship Id="rId56" Type="http://schemas.openxmlformats.org/officeDocument/2006/relationships/hyperlink" Target="kodeks://link/d?nd=1200003114" TargetMode="External"/><Relationship Id="rId57" Type="http://schemas.openxmlformats.org/officeDocument/2006/relationships/hyperlink" Target="kodeks://link/d?nd=1200057674" TargetMode="External"/><Relationship Id="rId58" Type="http://schemas.openxmlformats.org/officeDocument/2006/relationships/hyperlink" Target="kodeks://link/d?nd=573818172" TargetMode="External"/><Relationship Id="rId59" Type="http://schemas.openxmlformats.org/officeDocument/2006/relationships/hyperlink" Target="kodeks://link/d?nd=5200258" TargetMode="External"/><Relationship Id="rId60" Type="http://schemas.openxmlformats.org/officeDocument/2006/relationships/hyperlink" Target="kodeks://link/d?nd=456054209" TargetMode="External"/><Relationship Id="rId61" Type="http://schemas.openxmlformats.org/officeDocument/2006/relationships/hyperlink" Target="kodeks://link/d?nd=5200163" TargetMode="External"/><Relationship Id="rId62" Type="http://schemas.openxmlformats.org/officeDocument/2006/relationships/hyperlink" Target="kodeks://link/d?nd=456044318" TargetMode="External"/><Relationship Id="rId63" Type="http://schemas.openxmlformats.org/officeDocument/2006/relationships/hyperlink" Target="kodeks://link/d?nd=1200134398" TargetMode="External"/><Relationship Id="rId64" Type="http://schemas.openxmlformats.org/officeDocument/2006/relationships/hyperlink" Target="kodeks://link/d?nd=1200170422" TargetMode="External"/><Relationship Id="rId65" Type="http://schemas.openxmlformats.org/officeDocument/2006/relationships/hyperlink" Target="kodeks://link/d?nd=550965720" TargetMode="External"/><Relationship Id="rId66" Type="http://schemas.openxmlformats.org/officeDocument/2006/relationships/hyperlink" Target="kodeks://link/d?nd=5200029" TargetMode="External"/><Relationship Id="rId67" Type="http://schemas.openxmlformats.org/officeDocument/2006/relationships/hyperlink" Target="kodeks://link/d?nd=456045544" TargetMode="External"/><Relationship Id="rId68" Type="http://schemas.openxmlformats.org/officeDocument/2006/relationships/hyperlink" Target="kodeks://link/d?nd=871001042" TargetMode="External"/><Relationship Id="rId69" Type="http://schemas.openxmlformats.org/officeDocument/2006/relationships/hyperlink" Target="kodeks://link/d?nd=561027906" TargetMode="External"/><Relationship Id="rId70" Type="http://schemas.openxmlformats.org/officeDocument/2006/relationships/hyperlink" Target="kodeks://link/d?nd=871001220" TargetMode="External"/><Relationship Id="rId71" Type="http://schemas.openxmlformats.org/officeDocument/2006/relationships/hyperlink" Target="kodeks://link/d?nd=456027044" TargetMode="External"/><Relationship Id="rId72" Type="http://schemas.openxmlformats.org/officeDocument/2006/relationships/header" Target="header1.xml"/><Relationship Id="rId73" Type="http://schemas.openxmlformats.org/officeDocument/2006/relationships/header" Target="header2.xml"/><Relationship Id="rId74" Type="http://schemas.openxmlformats.org/officeDocument/2006/relationships/header" Target="header3.xml"/><Relationship Id="rId75" Type="http://schemas.openxmlformats.org/officeDocument/2006/relationships/footer" Target="footer1.xml"/><Relationship Id="rId76" Type="http://schemas.openxmlformats.org/officeDocument/2006/relationships/footer" Target="footer2.xml"/><Relationship Id="rId77" Type="http://schemas.openxmlformats.org/officeDocument/2006/relationships/footer" Target="footer3.xml"/><Relationship Id="rId78" Type="http://schemas.openxmlformats.org/officeDocument/2006/relationships/numbering" Target="numbering.xml"/><Relationship Id="rId79" Type="http://schemas.openxmlformats.org/officeDocument/2006/relationships/fontTable" Target="fontTable.xml"/><Relationship Id="rId80" Type="http://schemas.openxmlformats.org/officeDocument/2006/relationships/settings" Target="settings.xml"/><Relationship Id="rId81" Type="http://schemas.openxmlformats.org/officeDocument/2006/relationships/theme" Target="theme/theme1.xml"/><Relationship Id="rId8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03582F-114B-4DCC-8FAB-D83CEF0D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LibreOffice/25.8.7.3$Linux_X86_64 LibreOffice_project/30742500f2d3eb4366ac312fa33d3dcabdb3eba5</Application>
  <AppVersion>15.0000</AppVersion>
  <Pages>15</Pages>
  <Words>4688</Words>
  <Characters>35184</Characters>
  <CharactersWithSpaces>39624</CharactersWithSpaces>
  <Paragraphs>250</Paragraphs>
  <Company>ГКУ "Дирекция ТДФ"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2026-06-24T08:18:00Z</dcterms:created>
  <dc:creator>Windows</dc:creator>
  <dc:description/>
  <dc:language>ru-RU</dc:language>
  <cp:lastModifiedBy/>
  <cp:lastPrinted>2023-02-13T14:01:00Z</cp:lastPrinted>
  <dcterms:modified xsi:type="dcterms:W3CDTF">2026-08-14T08:42:48Z</dcterms:modified>
  <cp:revision>12</cp:revision>
  <dc:subject/>
  <dc:title>Администрация Тверской области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