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6"/>
        <w:keepNext w:val="true"/>
        <w:spacing w:before="120" w:after="0"/>
        <w:jc w:val="right"/>
        <w:rPr/>
      </w:pPr>
      <w:r>
        <w:rPr/>
        <w:t>Приложение №4</w:t>
      </w:r>
    </w:p>
    <w:p>
      <w:pPr>
        <w:pStyle w:val="Style35"/>
        <w:pageBreakBefore w:val="false"/>
        <w:numPr>
          <w:ilvl w:val="0"/>
          <w:numId w:val="0"/>
        </w:numPr>
        <w:spacing w:before="360" w:after="360"/>
        <w:ind w:left="0" w:hanging="0"/>
        <w:jc w:val="center"/>
        <w:outlineLvl w:val="3"/>
        <w:rPr/>
      </w:pPr>
      <w:r>
        <w:rPr/>
        <w:t>Техническое предложение</w:t>
      </w:r>
    </w:p>
    <w:p>
      <w:pPr>
        <w:pStyle w:val="Style36"/>
        <w:tabs>
          <w:tab w:val="clear" w:pos="708"/>
          <w:tab w:val="right" w:pos="9922" w:leader="none"/>
        </w:tabs>
        <w:rPr/>
      </w:pPr>
      <w:r>
        <w:rPr/>
        <w:t>Наименование Участника:</w:t>
        <w:tab/>
        <w:t>________________________________________.</w:t>
      </w:r>
    </w:p>
    <w:p>
      <w:pPr>
        <w:pStyle w:val="Style36"/>
        <w:tabs>
          <w:tab w:val="clear" w:pos="708"/>
          <w:tab w:val="right" w:pos="9922" w:leader="none"/>
        </w:tabs>
        <w:rPr/>
      </w:pPr>
      <w:r>
        <w:rPr/>
        <w:t>ИНН Участника:</w:t>
        <w:tab/>
        <w:t>________________________________________.</w:t>
      </w:r>
    </w:p>
    <w:p>
      <w:pPr>
        <w:pStyle w:val="Style36"/>
        <w:tabs>
          <w:tab w:val="clear" w:pos="708"/>
          <w:tab w:val="right" w:pos="9922" w:leader="none"/>
        </w:tabs>
        <w:spacing w:before="120" w:after="240"/>
        <w:rPr/>
      </w:pPr>
      <w:r>
        <w:rPr/>
        <w:t>Предмет договора:</w:t>
        <w:tab/>
        <w:t xml:space="preserve"> </w:t>
      </w:r>
      <w:hyperlink r:id="rId2">
        <w:r>
          <w:rPr>
            <w:rStyle w:val="Hyperlink"/>
            <w:rFonts w:eastAsia="Calibri"/>
            <w:b/>
            <w:bCs/>
            <w:color w:val="000000"/>
            <w:spacing w:val="0"/>
            <w:u w:val="none"/>
          </w:rPr>
          <w:t>Поставка канцелярских товаров для нужд АО «СК РусГидро» в г. Хабаровск</w:t>
        </w:r>
      </w:hyperlink>
      <w:r>
        <w:rPr>
          <w:rFonts w:eastAsia="Calibri"/>
          <w:b/>
          <w:bCs/>
          <w:color w:val="000000"/>
          <w:spacing w:val="0"/>
          <w:u w:val="none"/>
        </w:rPr>
        <w:t>е на 2027 год.</w:t>
      </w:r>
    </w:p>
    <w:p>
      <w:pPr>
        <w:pStyle w:val="Style36"/>
        <w:keepNext w:val="true"/>
        <w:numPr>
          <w:ilvl w:val="0"/>
          <w:numId w:val="2"/>
        </w:numPr>
        <w:spacing w:before="240" w:after="120"/>
        <w:ind w:left="567" w:hanging="567"/>
        <w:rPr>
          <w:b/>
          <w:bCs/>
        </w:rPr>
      </w:pPr>
      <w:r>
        <w:rPr>
          <w:b/>
          <w:bCs/>
        </w:rPr>
        <w:t>Общие сведения</w:t>
      </w:r>
    </w:p>
    <w:p>
      <w:pPr>
        <w:pStyle w:val="Style36"/>
        <w:tabs>
          <w:tab w:val="clear" w:pos="708"/>
          <w:tab w:val="left" w:pos="567" w:leader="none"/>
        </w:tabs>
        <w:rPr/>
      </w:pPr>
      <w:r>
        <w:rPr/>
        <w:tab/>
        <w:t>Настоящим мы подтверждаем, что изучили Технические требования (Приложение № 1 к Запросу ТКП) и согласны поставить товар</w:t>
      </w:r>
      <w:r>
        <w:rPr/>
        <w:t>ы</w:t>
      </w:r>
      <w:r>
        <w:rPr/>
        <w:t xml:space="preserve"> (МТР), полностью соответствующи</w:t>
      </w:r>
      <w:r>
        <w:rPr/>
        <w:t>е</w:t>
      </w:r>
      <w:r>
        <w:rPr/>
        <w:t xml:space="preserve"> требованиям Заказчика.</w:t>
      </w:r>
    </w:p>
    <w:p>
      <w:pPr>
        <w:pStyle w:val="Style36"/>
        <w:tabs>
          <w:tab w:val="clear" w:pos="708"/>
          <w:tab w:val="left" w:pos="567" w:leader="none"/>
        </w:tabs>
        <w:rPr/>
      </w:pPr>
      <w:r>
        <w:rPr/>
        <w:tab/>
        <w:t>При этом подробная информация о перечне и объемах поставляемой продукции представлена также в Приложении № 3 - «Коммерческое предложение».</w:t>
      </w:r>
    </w:p>
    <w:p>
      <w:pPr>
        <w:pStyle w:val="Style36"/>
        <w:keepNext w:val="true"/>
        <w:numPr>
          <w:ilvl w:val="0"/>
          <w:numId w:val="2"/>
        </w:numPr>
        <w:spacing w:before="240" w:after="120"/>
        <w:ind w:left="567" w:hanging="567"/>
        <w:rPr>
          <w:b/>
          <w:bCs/>
        </w:rPr>
      </w:pPr>
      <w:r>
        <w:rPr>
          <w:b/>
          <w:bCs/>
        </w:rPr>
        <w:t>Предложения в части продукции</w:t>
      </w:r>
    </w:p>
    <w:tbl>
      <w:tblPr>
        <w:tblStyle w:val="affff7"/>
        <w:tblW w:w="15315" w:type="dxa"/>
        <w:jc w:val="left"/>
        <w:tblInd w:w="108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2397"/>
        <w:gridCol w:w="937"/>
        <w:gridCol w:w="3855"/>
        <w:gridCol w:w="2490"/>
        <w:gridCol w:w="2444"/>
        <w:gridCol w:w="2340"/>
      </w:tblGrid>
      <w:tr>
        <w:trPr/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33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Предложение участника по характеристикам и параметрам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( Участником закупки должен быть предложен товар с точным значением характеристикии марки)</w:t>
            </w:r>
          </w:p>
        </w:tc>
      </w:tr>
      <w:tr>
        <w:trPr/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33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8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3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7189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Корзина для бумаг 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Объем: 12 литров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Тип: Сетчатая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Цвет: Серый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Корзина для бумаг Attomex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Объем: 12 литров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Тип: Сетчатая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Синий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54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Органайзер Attomex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Материал: Пластик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черный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Вращающийся: Да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 наполнением: Да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предметов:10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Органайзер настольный Стамм Maxi Desk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Материал: Пластик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черный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Вращающийся: Да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 наполнением: Нет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отделений:10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Органайзер настольный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Материал: Металл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черный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Вращающийся: Нет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 наполнением: Нет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секций: 3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Органайзер настольный Brauberg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Материал: Полистирол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черный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Вращающийся: Нет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 наполнением: Нет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отделений: 5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Блок ддля записи 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Высота блока: 90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Длина блока: 90 мм.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 блока: 90 мм.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 бумаги: белый.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Плотность: 65 г/2.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Белизна: 92 %.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Липкий блок для записей Attomex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Тип: С клейким краем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листов в блоке: 100 шт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цветов: 1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Липкий блок для записей 76*76 см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Тип: С клейким краем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листов в блоке: 400 шт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цветов: 4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Липкий блок 50*50 мм 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Тип: С клейким краем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листов в блоке: 250 шт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цветов: 5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Липкий блок 51x51 мм BRAUBERG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Тип: С клейким краем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листов в блоке: 400 шт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цветов: 4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Линейка 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Длина: 30 см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прозрачный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Материал: пластик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Бумага А3 СНЕГУРОЧКА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листов в пачке: 500 листов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Формат: А3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 бумаги: С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Белизна CIE %: 146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 бумаги г/м2: 80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Бумага А4 СНЕГУРОЧКА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листов в пачке: 500 листов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Формат: А4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 бумаги: С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Белизна CIE %: 146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 бумаги г/м2: 80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Бумага А4 CARTBLANK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листов в пачке: 500 листов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Формат: А4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 бумаги: С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Белизна CIE %: 150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 бумаги г/м2: 80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Папка Зажим А4 Attomex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Формат: А4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Плотность: 500 мкм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Синий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 корешка: 15 мм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Папка зажим 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Формат: А4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Плотность: 700 мкм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Синий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 корешка: 15 мм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Калькулятор 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разрядов: 12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Тип: Настольный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Калькулятор STAFF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разрядов: 10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Тип: Настольный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 выделителей CROWN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маркера: Текстовыделитель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цветов: 6 шт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Толщина линии: 1-4 мм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 выделителей 1-5 мм 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маркера: Текстовыделитель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цветов: 4 шт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Толщина линии: 1-5мм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 выделителей 1-5 мм Attomex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маркера: Текстовыделитель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цветов: 6 шт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Толщина линии: 1-5мм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Выделитель текста 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маркера: Текстовыделитель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Желтый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Толщина линии: 1-4 мм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Перманентный маркер Erich Krause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Чёрный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MIN толщина линии письма: 0,8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MAX толщина линии письма: 2,2 мм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Перманентный маркер OfficeSpace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Чёрный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Толщина линии письма: 2 мм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Мультифора А4 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Вид: глянцевая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файлов в упаковке: 100 шт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Плотность: 35 мкм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Формат: А4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Папка-вкладыш с перфорацией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Вид: глянцевая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файлов в упаковке: 100 шт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Плотность: 60 мкм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Формат: А4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Кнопки канцелярские GLOBUS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штук в упаковке: 100 шт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 шляпки: Пластик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Диаметр: 12 мм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Кнопки силовые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Hatber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штук в упаковке: 50 шт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Длина ножки: 12 мм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Доска магнитно-маркерная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Высота: 60 см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Ширина: 90 см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в комплекте держателя для маркеров: Да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Тип размещения: Настенная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Тип покрытия доски: Лаковое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 рамки: Алюминий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Доска пробковая 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Высота: 60 см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Ширина: 90 см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Тип размещения: Настенная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Расположение доски: Горизонтальное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Магнит для доски 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Диаметр: 20 мм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Клейкие закладки пластиковые 45*12мм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листов в упаковке: 20 шт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цветов: 5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Тон: Неоновый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закладки: Прямоугольная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Клейкие закладки пластиковые 45*12мм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листов в упаковке: 25 шт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цветов: 5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Тон: Неоновый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закладки: Стрелка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Клейкие закладки пластиковые 45x12мм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Attomex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листов в упаковке: 20 шт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цветов: 5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Тон: Неоновый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закладки: Стрелка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Клейкие закладки пластиковые 44х12мм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ErichKrause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листов в упаковке: 100 шт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цветов: 5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Тон: Неоновый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закладки: Прямоугольная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Клейкие закладки бумажные 50x12мм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Attomex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листов в упаковке: 80 шт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цветов: 4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Тон: Неоновый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закладки: Прямоугольная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Дырокол 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пробиваемых листов: 40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линейки: Да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Дырокол Attomex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пробиваемых листов: 45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линейки: Да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Степлер No10 ErichKrause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скрепляемых листов: 20 л Антистеплер: Да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Степлер No10 Attomex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скрепляемых листов: 10 л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Степлер No24/6 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скрепляемых листов: 50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 корпуса: Металл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 скоб: 24/6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Скобы для степлера No 10 Attomex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в упаковке: 1000 шт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Скобы для степлера No 24/6 Attomex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в упаковке 1000 шт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Антистеплер Attomexили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Возможность расшивания скоб (размер): 10, 24, 26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Скрепница Стамм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Наполнение скрепками: Нет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Скрепочница магнитная: Да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Скрепки 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штук в упаковке: 100 шт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Покрытие: цветное полимерное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покрытие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Длина: 28 мм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Скрепки Attomex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в упаковке:100 шт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 покрытия: никель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Длина: 25 мм.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Скрепки цветные 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штук в упаковке: 100 шт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Покрытие: металл и пластиковая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оболочка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ассорти Длина: 28 мм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Лоток для бумаги металлический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Тип: Вертикальный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секций: 3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Тип: Сетчатый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Лоток для бумаги пластиковый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Стамм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секций: 2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Тип: Вертикальный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Формат: А4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Черный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Лоток для бумаги пластиковый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секций: 1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Тип: Вертикальный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Черный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Лоток для бумаги пластиковый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секций: 1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Тип: Горизонтальный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Тип: Цельный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Синий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Подставка для книг монолитная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секций: 3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Материал: Пластик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Папка подвесная Attache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Формат: А4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Вместимость: 80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Плотность/толщина материала: 200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г/кв.м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 без крючков: 365x240 мм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Подставка для бумажного блока Attomex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Материал: Пластик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Прозрачный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Высота: 50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Длина: 90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Ширина: 90 мм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Ручка шариковая MC Gold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Диаметр пишущего узла: 0,5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Толщина линии письма: 0,3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 чернил: Голубой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Ручка шариковая 0,5 PILOT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Диаметр пишущего узла: 0,5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Толщина линии письма: 0,18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Эргономичная зона захвата: Резиновый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держатель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 чернил: Синий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Ручка шариковая 0,5 Berlingo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Диаметр пишущего узла: 0,5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Толщина линии письма: 0,3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 чернил: Синий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Ручка гелевая 0,38 Erich Krause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Диаметр пишущего узла: 0,38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Толщина линии письма: 0,25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 чернил: Красный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Ручка гелевая 0,7 синяя OfficeSpace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Диаметр пишущего узла: 0,7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Толщина линии письма: 0,25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 чернил: Синий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Ручка гелевая 0,5 черная с резинкой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OfficeSpace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Диаметр пишущего узла: 0,5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Толщина линии письма: 0,5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Эргономичная зона захвата: Резиновый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держатель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 чернил: Чёрный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Ручка гелевая 1,0 синяя Uni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Диаметр пишущего узла: 1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Толщина линии письма: 0,6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 чернил: Синий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Карандаш чернографитный Attomex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ластика: Да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заточенного стержня: Да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Карандаш механический 0,5 мм 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Диаметр грифеля: 0,5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 корпуса: Пластик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ластика: Да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Карандаш механический 0,5мм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BRAUBERG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Диаметр грифеля: 0,5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 корпуса: Металл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ластика: Да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Стержни графитные 0,5мм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Attomex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Диаметр грифеля: 0,5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штук в упаковке: 12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Ластик офисный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Бумажный держатель: Да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Точилка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Материал: Металл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отверстий: 2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Точилка пластиковая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Attomex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контейнера: Да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Ножницы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 ручек: Пластик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Длина: 150 мм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Ножницы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 ручек: Пластик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Длина: 210 мм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Нож канцелярский 9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Attomex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 корпуса: Пластик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Нож канцелярский 18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Attomex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 корпуса: Пластик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Корректирующая лента 10 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средства: Лента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Длина ленты: 10 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 ленты: 5 мм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Корректирующая лента 5 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Attomex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средства: Лента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Длина ленты: 4 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 ленты: 5 мм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Корректирующая лента 30 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средства: Лента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Длина ленты: 30 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 ленты: 5 мм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Корректирующая жидкость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Объём: 12 мл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аппликатора: Кисть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Зажим для бумаг 25 мм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черный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Зажим для бумаг 32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Attomex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черный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Зажим для бумаг 41мм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Attomex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черный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Зажим для бумаг 51мм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Attomex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черный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Скотч Вид 1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Ширина: 12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Длина: 57 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 40 мкм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Прозрачный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Скотч Вид 2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Ширина: 50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Длина: 50 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 40 мкм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Прозрачный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Скотч Вид 3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Attomex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Ширина: 48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Длина: 40 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Плотность: 38 мкм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Прозрачный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Скотч двухсторонний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Ширина: 25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Длина: 10 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Папка конвер на кнопке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Формат: А4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Толщина материала: 180 мкм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Синий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Клей силикатный Вид 1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Munbang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Объём: 60 мл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запасной губки: Да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Клей силикатный Вид 2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Объём: 125 мл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Дозатор-сетка: Да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Клей-карандаш Вид 1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Объём: 15 гр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Клей-карандаш Вид 2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STAFF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Объём: 36 гр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Скоросшиватель немелованный Вид 1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Attomex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Формат: А4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Плотность: 400 г/м 2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 корешка: 25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Материал: Картон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Белый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Металлический механизм сшивания: Да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Надпись на обложке «Дело No»: Да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Скоросшиватель немелованный Вид 2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Dolce Costo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Материал: Картон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Белый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Металлический механизм сшивания: Да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Надпись на обложке «Дело No»: Да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Самонаборный штамп TRODAT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Комплектация: встроенная сменная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подушка, основная касса и пинцет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Основа чернил: гелевая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Материал: Пластик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 чернил: Синий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строк: 3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Длина: 38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Ширина: 14 мм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Штампельная краска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OfficeSpace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Синий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Объём: 45 мл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Портфель текстильный 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Формат: А4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Глубина: 7 см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отделений: 1 отделение с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внутренним карманом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Крепление: молния сверху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Материал: полиэстер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Благодарственное письмо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Формат: А4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Материал: Мелованный картон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 материала: 190 г/кв.м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Изображение госсимволики: Да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Тиснение фольгой: Да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Благодарность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Квадра-принт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Формат: А4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Плотность: 230 г/м 2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Изображение госсимволики: Да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Материал: Импортный мелованный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картон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Тиснение фольгой: Да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Дизайн: Синяя рамка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Грамота Почетная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STAFF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Формат: А4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Материал: Мелованная бумага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 материала: 200 г/кв.м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Изображение госсимволики: Нет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Тиснение фольгой: Нет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Коврик для мыши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Материал: тканевая поверхность, резиновое основание</w:t>
            </w:r>
          </w:p>
          <w:p>
            <w:pPr>
              <w:pStyle w:val="Style4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размер : длинна 750мм, ширина 300мм,толщина 2мм</w:t>
            </w:r>
          </w:p>
          <w:p>
            <w:pPr>
              <w:pStyle w:val="Style4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Изображение : Нет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Коврик для мыши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Материал: тканевая поверхность, резиновое основание</w:t>
            </w:r>
          </w:p>
          <w:p>
            <w:pPr>
              <w:pStyle w:val="Style4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размер : длинна 900 мм, ширина 400мм,толщина 4 мм</w:t>
            </w:r>
          </w:p>
          <w:p>
            <w:pPr>
              <w:pStyle w:val="Style4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Изображение : Да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Фоторамка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Материал: Пластик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Чёрный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Формат: А4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 фотографий: 21х30 см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Светильник ЭРА N-121-E27-40W-BK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Материал: металл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Чёрный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 защиты от поражения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электрическим током: класс II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Максимальная мощность: 40W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Батарейка АА RIDER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Форм-фактор: AA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Химический тип: Щелочная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(алкалиновая)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Типоразмер: LR6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Номинальное напряжение, В1.5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штук в упаковке: 12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Батарейка ААА RIDER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Форм-фактор: AA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Химический тип: Щелочная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(алкалиновая)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Типоразмер: LR3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Номинальное напряжение, В1.5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штук в упаковке: 12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Батарейка CR2032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RIDER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Химический тип: Литиевая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Номинальное напряжение: В3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штук в упаковке: 12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в блистере: 2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Номинальное напряжение: 3В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Папка уголок Вид 1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Hatber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Формат: А4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 материала, мкм 180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Прозрачный: Да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Бесцветный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отделений: 1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Папка уголок Вид 2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ATTACHE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Формат: А4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Толщина материала: 150 мкм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Отделения: 3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Папка на кольцах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Формат: А4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Материал: Пластик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колец: 2 шт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Папка скоросшиватель пластиковый с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прозрачным верхом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Стамм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Формат: А4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 верхнего листа, мкм: 120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 нижнего листа, мкм: 180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Ассорти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Папка регистратор Вид 1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Защита нижнего края папки: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Металлическая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 внешнего покрытия: ПВХ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кармана на корешке: Да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Ориентация: Вертикальная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 папки: Синий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 корешка: 75 мм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Папка регистратор Вид 2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deVente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Защита нижнего края папки: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Металлическая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 внешнего покрытия: ПВХ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кармана на корешке: Да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Ориентация: Вертикальная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 папки: Синий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 корешка: 50 мм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Книга регистрации входящих документов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BRAUBERG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Формат: А4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Назначение: Входящие документы.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Внутренний блок: Офсет.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листов: 96 шт.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 внутреннего блока: 60 г/м 2.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Тип скрепления: Твердый переплет.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Ориентация: Вертикальная.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Тиснение фольгой: Да.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Тип обложки: Твердая.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 обложки: Бумвинил.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 обложки: 300 г/м 2 .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Синий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Книга регистрации исходящих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документов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Формат: А4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синий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 обложки: Бумвинил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Внутренний блок: Офсет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Ориентация: Вертикальная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листов: 96 шт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 обложки: 300 г/м2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 внутреннего блока: 60 г/м2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Тиснение фольгой: Да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Тип обложки: Твердая Вид линовки: Таблица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Конверт почтовый Е65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Размер: 220*110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Бумага, плотность: офсет, 80гр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Способ заклеивания: силикон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Подсказка Кому-Куда: Нет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Окно: Нет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Конверт почтовый С5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Размер: 229*162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Бумага, плотность: офсет, 80гр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Способ заклеивания: силикон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Подсказка Кому-Куда: Нет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Окно: Нет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Запечатка: Нет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Конверт почтовый С4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Размер: 324*229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Бумага, плотность: офсет, 80гр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Способ заклеивания: силикон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Подсказка Кому-Куда: Нет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Окно: Нет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Общий журнал работ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Формат: А4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 обложки: картон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Тип крепления: скрепки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листов: 64 шт.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Папка адресная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STAFF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Формат: А4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Назначение: на подпись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Покрытие: ПВХ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Бланк вкладыш в трудовую книжку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Гознак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бумаги: Офсетная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Ориентация листов: Вертикальная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Обложка: Мягкая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Длина: 88 мм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Ширина: 125 мм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Нить для прошивки документов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BRAUBERG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Длина намотки: 500 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Материал: лавсан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Белый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Игла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Gamma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Длина:12 см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 настольный деревянный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Good Sunrise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предметов в наборе: 8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 изготовления: Дерево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Черный, красное дерево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Тип лотка: Одинарный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Комплектация: 2 ручки, лоток для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бумаг, подставка для писем, подставка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настольная, подставка-держатель для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ручек, часы, ножичек канцелярский для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вскрытия конвертов, подставка для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бумаг для заметок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Календарь трехсекционный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Квадра-принт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Год: 2028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Расположение: вертикальное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Тип скрепления: Гребень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Курсор: Да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Внутренний блок: Мелованная бумага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Дизайн: По согласованию с заказчиком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 этапе подписания договора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Блокнот А5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листов: 60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Тип крепления: гребне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цвет синий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Тетрадь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Формат: А5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Линовка: Клетка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листов: 100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Тип крепления: гребень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Салфетки влажные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Attomex или эквивалент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салфеток: 100 шт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Назначение: Для экранов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Резинки банковские 1000гр.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Диаметр 60мм.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Цвет: Цветные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12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Гель для увлажнения пальцев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антибактериального состава: Да</w:t>
            </w:r>
          </w:p>
          <w:p>
            <w:pPr>
              <w:pStyle w:val="Style40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Вес: 25 гр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0" w:hanging="360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89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Место поставки Товара</w:t>
            </w:r>
          </w:p>
        </w:tc>
        <w:tc>
          <w:tcPr>
            <w:tcW w:w="47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x-none" w:bidi="ar-SA"/>
              </w:rPr>
              <w:t xml:space="preserve">Хабаровский край, г. Хабаровск, </w:t>
            </w:r>
            <w:r>
              <w:rPr>
                <w:rFonts w:eastAsia="Times New Roman" w:cs="Times New Roman"/>
                <w:color w:val="000000"/>
                <w:spacing w:val="0"/>
                <w:kern w:val="0"/>
                <w:sz w:val="18"/>
                <w:szCs w:val="18"/>
                <w:lang w:val="ru-RU" w:eastAsia="x-none" w:bidi="ar-SA"/>
              </w:rPr>
              <w:t>ул. Тургенева, 80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Тара и упаковка</w:t>
            </w:r>
          </w:p>
        </w:tc>
        <w:tc>
          <w:tcPr>
            <w:tcW w:w="47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1) Товар должен поставляться упакованным в тару, обеспечивающую его полную сохранность от всякого рода повреждений и порчи, с учетом возможной перевозки и длительного хранения. Тара и упаковка входят в цену поставляемого Товара, за исключением случаев, специально оговоренных Поставщиком и Заказчиком.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2) Товар должен поставляться в фирменной упаковке, защищающей от повреждений и воздействия внешней среды.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3) Упаковка должна обеспечивать сохранность Товара при транспортировке, погрузо-разгрузочных работах к конечному месту доставки и при необходимости в последующем хранении.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4) Каждая единица поставляемого Товара должна быть упакована в стандартную оригинальную заводскую упаковку.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Маркировка Товара</w:t>
            </w:r>
          </w:p>
        </w:tc>
        <w:tc>
          <w:tcPr>
            <w:tcW w:w="47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Маркировка Товара должна соответствовать требованиям ГОСТа, импортный товар - международным стандартам упаковки.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Упаковка и маркировка Товара должна содержать все признаки оригинальности, установленные производителями Товара.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0" w:hanging="360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89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18"/>
                <w:szCs w:val="18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Гарантийный срок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На поставленный по отдельным Заявкам Товар устанавливается гарантийный срок, равный не менее 12 (двенадцати) календарных месяца, исчисляемых с даты подписания накладной ТОРГ-12/УПД, но не менее гарантии производителя.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-//-</w:t>
            </w:r>
          </w:p>
        </w:tc>
      </w:tr>
      <w:tr>
        <w:trPr>
          <w:trHeight w:val="330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89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экономическим параметрам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330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89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 стоимость Товара должны входить все расходы и затраты, включая расходы на доставку по адресу, погрузочно-разгрузочные работы (включая доставку на этаж), налоги, сборы, страхование, таможенные пошлины и иные платежи, связанные с исполнением обязательств по Договору.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-//-</w:t>
            </w:r>
          </w:p>
        </w:tc>
      </w:tr>
      <w:tr>
        <w:trPr>
          <w:trHeight w:val="330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89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330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89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  <w:t>Поставляемый Товар, включая его отдельные детали, компоненты и составные части, должен быть новым, не восстановленным (дата выпуска Товара должна быть не ранее 2025 года), не бывшим в употреблении, в исправном рабочем состоянии, по своему качеству и комплектности должен соответствовать описанию (Спецификации) Заказчика.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-//-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18"/>
                <w:szCs w:val="18"/>
                <w:lang w:val="ru-RU" w:eastAsia="ru-RU" w:bidi="ar-SA"/>
              </w:rPr>
              <w:t>-//-</w:t>
            </w:r>
          </w:p>
        </w:tc>
      </w:tr>
    </w:tbl>
    <w:p>
      <w:pPr>
        <w:pStyle w:val="Normal"/>
        <w:rPr>
          <w:rStyle w:val="Style10"/>
        </w:rPr>
      </w:pPr>
      <w:r>
        <w:rPr/>
      </w:r>
    </w:p>
    <w:p>
      <w:pPr>
        <w:pStyle w:val="Style36"/>
        <w:rPr/>
      </w:pPr>
      <w:r>
        <w:rPr/>
        <w:t>____________________.</w:t>
      </w:r>
    </w:p>
    <w:p>
      <w:pPr>
        <w:pStyle w:val="Style36"/>
        <w:rPr>
          <w:rStyle w:val="Style16"/>
        </w:rPr>
      </w:pPr>
      <w:r>
        <w:rPr>
          <w:rStyle w:val="Style16"/>
        </w:rPr>
        <w:t>[Участник обязан описать все такие позиции Технических требований (Приложение № 1 к запросу ТКП), включенных во все таблицы с учетом предлагаемых условий Договора, а также иных требований Документации о закупке. Под этим понимается, что Участник должен привести в Техническом предложении все необходимые таблицы и заполнить в них отведенный для его предложения столбец «Предложение Участника» с учетом инструкций для заполнения, без корректировки уже имеющейся в таблицах информации и требований, а также с сохранением их формы и структуры. При этом формирование Участником предложений необходимо осуществлять с учетом следующего:</w:t>
      </w:r>
    </w:p>
    <w:p>
      <w:pPr>
        <w:pStyle w:val="Style36"/>
        <w:numPr>
          <w:ilvl w:val="0"/>
          <w:numId w:val="3"/>
        </w:numPr>
        <w:ind w:left="0" w:firstLine="284"/>
        <w:rPr>
          <w:rStyle w:val="Style16"/>
        </w:rPr>
      </w:pPr>
      <w:r>
        <w:rPr>
          <w:rStyle w:val="Style16"/>
        </w:rPr>
        <w:t>если по тем позициям Технических требований (Приложение № 1 к Запросу ТКП), по которым требовалось подтверждение в форме согласия («Согласны с требованием»), Участник предоставит свои подробные предложения в отношении поставляемой продукции (то есть отличные от простого согласия) вместе с требуемым согласием, такие подробные предложения будут носить исключительно информационный характер, и не будут приняты к рассмотрению;</w:t>
      </w:r>
    </w:p>
    <w:p>
      <w:pPr>
        <w:pStyle w:val="Style36"/>
        <w:numPr>
          <w:ilvl w:val="0"/>
          <w:numId w:val="3"/>
        </w:numPr>
        <w:ind w:left="0" w:firstLine="284"/>
        <w:rPr>
          <w:rStyle w:val="Style16"/>
        </w:rPr>
      </w:pPr>
      <w:r>
        <w:rPr>
          <w:rStyle w:val="Style16"/>
        </w:rPr>
        <w:t>равным образом, по тем позициям Технических требований (Приложение № 1 к  запросу ТКП), по которым требовалось подробное предложение в отношении поставляемой продукции, Участником вместе с подробным предложением дополнительно заявит согласие («Согласны с требованием» или в иной форме декларацию) на поставку продукции на условиях, указанных в Документации о закупке, такое согласие будет носить исключительно информационный характер, и не будет принято к рассмотрению;</w:t>
      </w:r>
    </w:p>
    <w:p>
      <w:pPr>
        <w:pStyle w:val="Style36"/>
        <w:numPr>
          <w:ilvl w:val="0"/>
          <w:numId w:val="3"/>
        </w:numPr>
        <w:ind w:left="0" w:firstLine="284"/>
        <w:rPr>
          <w:rStyle w:val="Style16"/>
        </w:rPr>
      </w:pPr>
      <w:r>
        <w:rPr>
          <w:rStyle w:val="Style16"/>
        </w:rPr>
        <w:t>если в отношении параметра продукции установлено также: «Предоставление подтверждающего документа или иной способ подтверждения», то вместе с Техническим предложением предоставляется соответствующий документ и (или) иная информация, сведения (в соответствии с указанным способом подтверждения), подтверждающие соответствие продукции по рассматриваемому параметру.]</w:t>
      </w:r>
    </w:p>
    <w:p>
      <w:pPr>
        <w:pStyle w:val="Style36"/>
        <w:keepNext w:val="true"/>
        <w:numPr>
          <w:ilvl w:val="0"/>
          <w:numId w:val="0"/>
        </w:numPr>
        <w:spacing w:before="240" w:after="120"/>
        <w:ind w:left="567" w:hanging="0"/>
        <w:rPr>
          <w:b/>
          <w:bCs/>
        </w:rPr>
      </w:pPr>
      <w:r>
        <w:rPr/>
      </w:r>
    </w:p>
    <w:sectPr>
      <w:footerReference w:type="default" r:id="rId3"/>
      <w:type w:val="nextPage"/>
      <w:pgSz w:orient="landscape" w:w="16838" w:h="11906"/>
      <w:pgMar w:left="1134" w:right="850" w:gutter="0" w:header="0" w:top="435" w:footer="567" w:bottom="851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Arial Unicode MS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50112048"/>
    </w:sdtPr>
    <w:sdtContent>
      <w:p>
        <w:pPr>
          <w:pStyle w:val="Footer"/>
          <w:spacing w:before="120" w:after="0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14</w:t>
        </w:r>
        <w:r>
          <w:rPr/>
          <w:fldChar w:fldCharType="end"/>
        </w:r>
      </w:p>
    </w:sdtContent>
  </w:sdt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Style30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pStyle w:val="Style3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pStyle w:val="Style32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pStyle w:val="Style33"/>
      <w:numFmt w:val="russianLower"/>
      <w:lvlText w:val="%4)"/>
      <w:lvlJc w:val="left"/>
      <w:pPr>
        <w:tabs>
          <w:tab w:val="num" w:pos="1701"/>
        </w:tabs>
        <w:ind w:left="1701" w:hanging="567"/>
      </w:pPr>
      <w:rPr/>
    </w:lvl>
    <w:lvl w:ilvl="4">
      <w:start w:val="1"/>
      <w:pStyle w:val="Style34"/>
      <w:numFmt w:val="bullet"/>
      <w:lvlText w:val=""/>
      <w:lvlJc w:val="left"/>
      <w:pPr>
        <w:tabs>
          <w:tab w:val="num" w:pos="2268"/>
        </w:tabs>
        <w:ind w:left="2268" w:hanging="567"/>
      </w:pPr>
      <w:rPr>
        <w:rFonts w:ascii="Symbol" w:hAnsi="Symbol" w:cs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b/>
        <w:szCs w:val="20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0"/>
        <w:b w:val="false"/>
        <w:szCs w:val="2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suff w:val="space"/>
      <w:lvlText w:val="%1."/>
      <w:lvlJc w:val="center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6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uiPriority="9" w:semiHidden="1" w:unhideWhenUsed="1" w:qFormat="1"/>
    <w:lsdException w:name="heading 3" w:locked="0" w:uiPriority="9" w:semiHidden="1" w:unhideWhenUsed="1" w:qFormat="1"/>
    <w:lsdException w:name="heading 4" w:locked="0" w:uiPriority="9" w:semiHidden="1" w:unhideWhenUsed="1" w:qFormat="1"/>
    <w:lsdException w:name="heading 5" w:locked="0" w:uiPriority="9" w:semiHidden="1" w:unhideWhenUsed="1" w:qFormat="1"/>
    <w:lsdException w:name="heading 6" w:locked="0" w:uiPriority="9" w:semiHidden="1" w:unhideWhenUsed="1" w:qFormat="1"/>
    <w:lsdException w:name="heading 7" w:locked="0" w:uiPriority="9" w:semiHidden="1" w:unhideWhenUsed="1" w:qFormat="1"/>
    <w:lsdException w:name="heading 8" w:locked="0" w:uiPriority="9" w:semiHidden="1" w:unhideWhenUsed="1" w:qFormat="1"/>
    <w:lsdException w:name="heading 9" w:locked="0" w:uiPriority="9" w:semiHidden="1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uiPriority="39" w:semiHidden="1" w:unhideWhenUsed="1"/>
    <w:lsdException w:name="toc 2" w:locked="0" w:uiPriority="39" w:semiHidden="1" w:unhideWhenUsed="1"/>
    <w:lsdException w:name="toc 3" w:locked="0" w:uiPriority="39" w:semiHidden="1" w:unhideWhenUsed="1"/>
    <w:lsdException w:name="toc 4" w:locked="0" w:uiPriority="39" w:semiHidden="1" w:unhideWhenUsed="1"/>
    <w:lsdException w:name="toc 5" w:locked="0" w:uiPriority="39" w:semiHidden="1" w:unhideWhenUsed="1"/>
    <w:lsdException w:name="toc 6" w:locked="0" w:uiPriority="39" w:semiHidden="1" w:unhideWhenUsed="1"/>
    <w:lsdException w:name="toc 7" w:locked="0" w:uiPriority="39" w:semiHidden="1" w:unhideWhenUsed="1"/>
    <w:lsdException w:name="toc 8" w:locked="0" w:uiPriority="39" w:semiHidden="1" w:unhideWhenUsed="1"/>
    <w:lsdException w:name="toc 9" w:locked="0" w:uiPriority="39" w:semiHidden="1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uiPriority="35" w:semiHidden="1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uiPriority="1" w:semiHidden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uiPriority="37" w:semiHidden="1" w:unhideWhenUsed="1"/>
    <w:lsdException w:name="TOC Heading" w:locked="0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styleId="Normal" w:default="1">
    <w:name w:val="Normal"/>
    <w:qFormat/>
    <w:rsid w:val="00537006"/>
    <w:pPr>
      <w:widowControl/>
      <w:suppressAutoHyphens w:val="true"/>
      <w:bidi w:val="0"/>
      <w:spacing w:before="12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6"/>
      <w:szCs w:val="22"/>
      <w:lang w:val="ru-RU" w:eastAsia="en-US" w:bidi="ar-SA"/>
    </w:rPr>
  </w:style>
  <w:style w:type="paragraph" w:styleId="Heading1">
    <w:name w:val="Heading 1"/>
    <w:basedOn w:val="Style28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basedOn w:val="DefaultParagraphFont"/>
    <w:uiPriority w:val="99"/>
    <w:qFormat/>
    <w:rsid w:val="00c95e18"/>
    <w:rPr/>
  </w:style>
  <w:style w:type="character" w:styleId="Style9" w:customStyle="1">
    <w:name w:val="Нижний колонтитул Знак"/>
    <w:basedOn w:val="DefaultParagraphFont"/>
    <w:uiPriority w:val="99"/>
    <w:qFormat/>
    <w:rsid w:val="008364e8"/>
    <w:rPr/>
  </w:style>
  <w:style w:type="character" w:styleId="Style10" w:customStyle="1">
    <w:name w:val="[РГ] Инструкция для организатора"/>
    <w:basedOn w:val="DefaultParagraphFont"/>
    <w:uiPriority w:val="1"/>
    <w:qFormat/>
    <w:rsid w:val="00277346"/>
    <w:rPr>
      <w:i/>
      <w:iCs/>
      <w:shd w:fill="FFFF99" w:val="clear"/>
      <w:lang w:val="ru-RU"/>
    </w:rPr>
  </w:style>
  <w:style w:type="character" w:styleId="Style11" w:customStyle="1">
    <w:name w:val="Текст сноски Знак"/>
    <w:basedOn w:val="DefaultParagraphFont"/>
    <w:uiPriority w:val="99"/>
    <w:semiHidden/>
    <w:qFormat/>
    <w:rsid w:val="006608d1"/>
    <w:rPr>
      <w:sz w:val="20"/>
      <w:szCs w:val="20"/>
    </w:rPr>
  </w:style>
  <w:style w:type="character" w:styleId="Style12">
    <w:name w:val="Символ сноски"/>
    <w:uiPriority w:val="99"/>
    <w:semiHidden/>
    <w:unhideWhenUsed/>
    <w:qFormat/>
    <w:rsid w:val="006608d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c7f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c7f55"/>
    <w:rPr>
      <w:color w:val="605E5C"/>
      <w:shd w:fill="E1DFDD" w:val="clear"/>
    </w:rPr>
  </w:style>
  <w:style w:type="character" w:styleId="PlaceholderText">
    <w:name w:val="Placeholder Text"/>
    <w:basedOn w:val="DefaultParagraphFont"/>
    <w:uiPriority w:val="99"/>
    <w:semiHidden/>
    <w:qFormat/>
    <w:rsid w:val="00984d97"/>
    <w:rPr>
      <w:color w:val="808080"/>
    </w:rPr>
  </w:style>
  <w:style w:type="character" w:styleId="Style13" w:customStyle="1">
    <w:name w:val="[РГ] Отсылка"/>
    <w:basedOn w:val="DefaultParagraphFont"/>
    <w:uiPriority w:val="1"/>
    <w:qFormat/>
    <w:rsid w:val="00371bdc"/>
    <w:rPr>
      <w:color w:val="000000"/>
      <w:spacing w:val="0"/>
      <w:u w:val="dotted" w:color="4472C4"/>
      <w:shd w:fill="auto" w:val="clear"/>
      <w:lang w:val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e365e"/>
    <w:rPr>
      <w:sz w:val="16"/>
      <w:szCs w:val="16"/>
    </w:rPr>
  </w:style>
  <w:style w:type="character" w:styleId="Style14" w:customStyle="1">
    <w:name w:val="Текст примечания Знак"/>
    <w:basedOn w:val="DefaultParagraphFont"/>
    <w:link w:val="Annotationtext"/>
    <w:uiPriority w:val="99"/>
    <w:qFormat/>
    <w:rsid w:val="007e365e"/>
    <w:rPr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7e365e"/>
    <w:rPr>
      <w:b/>
      <w:bCs/>
      <w:sz w:val="20"/>
      <w:szCs w:val="20"/>
    </w:rPr>
  </w:style>
  <w:style w:type="character" w:styleId="Style16" w:customStyle="1">
    <w:name w:val="[РГ] Инструкция для участника"/>
    <w:basedOn w:val="DefaultParagraphFont"/>
    <w:uiPriority w:val="1"/>
    <w:qFormat/>
    <w:rsid w:val="005864e9"/>
    <w:rPr>
      <w:i/>
      <w:shd w:fill="D0CECE" w:val="clear"/>
      <w:lang w:val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386d6a"/>
    <w:rPr>
      <w:color w:val="954F72" w:themeColor="followedHyperlink"/>
      <w:u w:val="single"/>
    </w:rPr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3c1c82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styleId="3">
    <w:name w:val="Основной текст с отступом 3 Знак"/>
    <w:qFormat/>
    <w:rPr>
      <w:sz w:val="16"/>
      <w:szCs w:val="16"/>
    </w:rPr>
  </w:style>
  <w:style w:type="character" w:styleId="1">
    <w:name w:val="Неразрешенное упоминание1"/>
    <w:qFormat/>
    <w:rPr>
      <w:rFonts w:ascii="Times New Roman" w:hAnsi="Times New Roman" w:eastAsia="Times New Roman" w:cs="Times New Roman"/>
      <w:color w:val="605E5C"/>
      <w:sz w:val="24"/>
      <w:szCs w:val="24"/>
      <w:shd w:fill="E1DFDD" w:val="clear"/>
    </w:rPr>
  </w:style>
  <w:style w:type="character" w:styleId="11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styleId="2">
    <w:name w:val="Пункт2 Знак"/>
    <w:qFormat/>
    <w:rPr>
      <w:b/>
      <w:sz w:val="28"/>
    </w:rPr>
  </w:style>
  <w:style w:type="character" w:styleId="Style18">
    <w:name w:val="Текст концевой сноски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31">
    <w:name w:val="УРОВЕНЬ_Абзац_тип3 Знак"/>
    <w:qFormat/>
    <w:rPr>
      <w:rFonts w:eastAsia="Calibri"/>
      <w:sz w:val="26"/>
      <w:szCs w:val="28"/>
      <w:lang w:eastAsia="en-US"/>
    </w:rPr>
  </w:style>
  <w:style w:type="character" w:styleId="Style19">
    <w:name w:val="Подподпункт Знак"/>
    <w:qFormat/>
    <w:rPr>
      <w:sz w:val="26"/>
      <w:szCs w:val="26"/>
    </w:rPr>
  </w:style>
  <w:style w:type="character" w:styleId="Style20">
    <w:name w:val="комментарий"/>
    <w:qFormat/>
    <w:rPr>
      <w:b/>
      <w:i/>
      <w:shd w:fill="FFFF99" w:val="clear"/>
    </w:rPr>
  </w:style>
  <w:style w:type="character" w:styleId="Style21">
    <w:name w:val="Абзац списка Знак"/>
    <w:qFormat/>
    <w:rPr>
      <w:rFonts w:eastAsia="Calibri"/>
      <w:sz w:val="24"/>
      <w:szCs w:val="24"/>
    </w:rPr>
  </w:style>
  <w:style w:type="character" w:styleId="Blk">
    <w:name w:val="blk"/>
    <w:qFormat/>
    <w:rPr/>
  </w:style>
  <w:style w:type="character" w:styleId="Style22">
    <w:name w:val="Основной текст Знак"/>
    <w:qFormat/>
    <w:rPr>
      <w:sz w:val="28"/>
      <w:szCs w:val="28"/>
    </w:rPr>
  </w:style>
  <w:style w:type="character" w:styleId="12">
    <w:name w:val="Подпункт Знак1"/>
    <w:qFormat/>
    <w:rPr>
      <w:sz w:val="28"/>
    </w:rPr>
  </w:style>
  <w:style w:type="character" w:styleId="Style23">
    <w:name w:val="Электронная подпись Знак"/>
    <w:qFormat/>
    <w:rPr>
      <w:rFonts w:eastAsia="Calibri"/>
      <w:sz w:val="24"/>
      <w:szCs w:val="24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Style24">
    <w:name w:val="Выделенная цитата Знак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21">
    <w:name w:val="Цитата 2 Знак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25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Style26">
    <w:name w:val="Название Знак"/>
    <w:qFormat/>
    <w:rPr>
      <w:sz w:val="28"/>
    </w:rPr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4">
    <w:name w:val="Заголовок 4 Знак"/>
    <w:qFormat/>
    <w:rPr>
      <w:rFonts w:eastAsia="Calibri"/>
      <w:b/>
      <w:bCs/>
      <w:spacing w:val="4"/>
      <w:sz w:val="24"/>
      <w:szCs w:val="24"/>
      <w:lang w:val="x-none" w:eastAsia="x-none"/>
    </w:rPr>
  </w:style>
  <w:style w:type="character" w:styleId="32">
    <w:name w:val="Заголовок 3 Знак"/>
    <w:qFormat/>
    <w:rPr>
      <w:rFonts w:eastAsia="Calibri"/>
      <w:b/>
      <w:sz w:val="24"/>
      <w:szCs w:val="24"/>
      <w:lang w:val="x-none" w:eastAsia="x-none"/>
    </w:rPr>
  </w:style>
  <w:style w:type="character" w:styleId="22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13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8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7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6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Strong1">
    <w:name w:val="Strong1"/>
    <w:qFormat/>
    <w:rPr>
      <w:b/>
      <w:bCs/>
    </w:rPr>
  </w:style>
  <w:style w:type="character" w:styleId="Pagenumber">
    <w:name w:val="page numbe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tyle27">
    <w:name w:val="Символ нумерации"/>
    <w:qFormat/>
    <w:rPr/>
  </w:style>
  <w:style w:type="paragraph" w:styleId="Style2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9">
    <w:name w:val="Указатель"/>
    <w:basedOn w:val="Normal"/>
    <w:qFormat/>
    <w:pPr>
      <w:suppressLineNumbers/>
    </w:pPr>
    <w:rPr/>
  </w:style>
  <w:style w:type="paragraph" w:styleId="Style30" w:customStyle="1">
    <w:name w:val="[РГ] Раздел"/>
    <w:basedOn w:val="Normal"/>
    <w:next w:val="Style31"/>
    <w:qFormat/>
    <w:rsid w:val="00c95e18"/>
    <w:pPr>
      <w:keepNext w:val="true"/>
      <w:pageBreakBefore/>
      <w:numPr>
        <w:ilvl w:val="0"/>
        <w:numId w:val="1"/>
      </w:numPr>
      <w:spacing w:before="0" w:after="360"/>
      <w:jc w:val="both"/>
      <w:outlineLvl w:val="0"/>
    </w:pPr>
    <w:rPr>
      <w:b/>
      <w:bCs/>
      <w:caps/>
    </w:rPr>
  </w:style>
  <w:style w:type="paragraph" w:styleId="Style31" w:customStyle="1">
    <w:name w:val="[РГ] Подраздел"/>
    <w:basedOn w:val="Normal"/>
    <w:next w:val="Style32"/>
    <w:qFormat/>
    <w:rsid w:val="00891546"/>
    <w:pPr>
      <w:keepNext w:val="true"/>
      <w:numPr>
        <w:ilvl w:val="1"/>
        <w:numId w:val="1"/>
      </w:numPr>
      <w:spacing w:before="360" w:after="0"/>
      <w:jc w:val="both"/>
      <w:outlineLvl w:val="1"/>
    </w:pPr>
    <w:rPr>
      <w:b/>
      <w:bCs/>
    </w:rPr>
  </w:style>
  <w:style w:type="paragraph" w:styleId="Style32" w:customStyle="1">
    <w:name w:val="[РГ] Пункт"/>
    <w:basedOn w:val="Normal"/>
    <w:qFormat/>
    <w:rsid w:val="00891546"/>
    <w:pPr>
      <w:numPr>
        <w:ilvl w:val="2"/>
        <w:numId w:val="1"/>
      </w:numPr>
      <w:jc w:val="both"/>
      <w:outlineLvl w:val="2"/>
    </w:pPr>
    <w:rPr/>
  </w:style>
  <w:style w:type="paragraph" w:styleId="Style33" w:customStyle="1">
    <w:name w:val="[РГ] Подпункт"/>
    <w:basedOn w:val="Normal"/>
    <w:qFormat/>
    <w:rsid w:val="00891546"/>
    <w:pPr>
      <w:numPr>
        <w:ilvl w:val="3"/>
        <w:numId w:val="1"/>
      </w:numPr>
      <w:jc w:val="both"/>
      <w:outlineLvl w:val="3"/>
    </w:pPr>
    <w:rPr/>
  </w:style>
  <w:style w:type="paragraph" w:styleId="Style34" w:customStyle="1">
    <w:name w:val="[РГ] Перечисление"/>
    <w:basedOn w:val="Normal"/>
    <w:qFormat/>
    <w:rsid w:val="00891546"/>
    <w:pPr>
      <w:numPr>
        <w:ilvl w:val="4"/>
        <w:numId w:val="1"/>
      </w:numPr>
      <w:jc w:val="both"/>
      <w:outlineLvl w:val="4"/>
    </w:pPr>
    <w:rPr/>
  </w:style>
  <w:style w:type="paragraph" w:styleId="Style35" w:customStyle="1">
    <w:name w:val="[РГ] Заголовок"/>
    <w:basedOn w:val="Normal"/>
    <w:next w:val="Style36"/>
    <w:qFormat/>
    <w:rsid w:val="00f87384"/>
    <w:pPr>
      <w:keepNext w:val="true"/>
      <w:pageBreakBefore/>
      <w:spacing w:before="0" w:after="360"/>
      <w:jc w:val="both"/>
    </w:pPr>
    <w:rPr>
      <w:b/>
      <w:bCs/>
      <w:caps/>
    </w:rPr>
  </w:style>
  <w:style w:type="paragraph" w:styleId="Style36" w:customStyle="1">
    <w:name w:val="[РГ] Текст"/>
    <w:basedOn w:val="Normal"/>
    <w:qFormat/>
    <w:rsid w:val="00891546"/>
    <w:pPr>
      <w:jc w:val="both"/>
    </w:pPr>
    <w:rPr/>
  </w:style>
  <w:style w:type="paragraph" w:styleId="Style37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c95e18"/>
    <w:pPr>
      <w:spacing w:before="0" w:after="120"/>
      <w:jc w:val="center"/>
    </w:pPr>
    <w:rPr/>
  </w:style>
  <w:style w:type="paragraph" w:styleId="Footer">
    <w:name w:val="Footer"/>
    <w:basedOn w:val="Normal"/>
    <w:link w:val="Style9"/>
    <w:uiPriority w:val="99"/>
    <w:unhideWhenUsed/>
    <w:rsid w:val="008364e8"/>
    <w:pPr>
      <w:jc w:val="right"/>
    </w:pPr>
    <w:rPr/>
  </w:style>
  <w:style w:type="paragraph" w:styleId="FootnoteText">
    <w:name w:val="Footnote Text"/>
    <w:basedOn w:val="Normal"/>
    <w:link w:val="Style11"/>
    <w:uiPriority w:val="99"/>
    <w:semiHidden/>
    <w:unhideWhenUsed/>
    <w:rsid w:val="006608d1"/>
    <w:pPr>
      <w:spacing w:before="0" w:after="0"/>
    </w:pPr>
    <w:rPr>
      <w:sz w:val="20"/>
      <w:szCs w:val="20"/>
    </w:rPr>
  </w:style>
  <w:style w:type="paragraph" w:styleId="Style38" w:customStyle="1">
    <w:name w:val="[РГ] Сноска"/>
    <w:basedOn w:val="FootnoteText"/>
    <w:qFormat/>
    <w:rsid w:val="006608d1"/>
    <w:pPr>
      <w:spacing w:before="80" w:after="0"/>
      <w:ind w:left="567" w:hanging="567"/>
      <w:jc w:val="both"/>
    </w:pPr>
    <w:rPr>
      <w:sz w:val="22"/>
    </w:rPr>
  </w:style>
  <w:style w:type="paragraph" w:styleId="TOC2">
    <w:name w:val="TOC 2"/>
    <w:basedOn w:val="Normal"/>
    <w:next w:val="Normal"/>
    <w:autoRedefine/>
    <w:uiPriority w:val="39"/>
    <w:unhideWhenUsed/>
    <w:rsid w:val="00bd294b"/>
    <w:pPr>
      <w:tabs>
        <w:tab w:val="clear" w:pos="708"/>
        <w:tab w:val="left" w:pos="851" w:leader="none"/>
        <w:tab w:val="right" w:pos="9923" w:leader="none"/>
      </w:tabs>
      <w:spacing w:before="120" w:after="120"/>
      <w:ind w:left="851" w:hanging="851"/>
    </w:pPr>
    <w:rPr/>
  </w:style>
  <w:style w:type="paragraph" w:styleId="TOC1">
    <w:name w:val="TOC 1"/>
    <w:basedOn w:val="Normal"/>
    <w:next w:val="Normal"/>
    <w:autoRedefine/>
    <w:uiPriority w:val="39"/>
    <w:unhideWhenUsed/>
    <w:rsid w:val="00bd294b"/>
    <w:pPr>
      <w:keepNext w:val="true"/>
      <w:tabs>
        <w:tab w:val="clear" w:pos="708"/>
        <w:tab w:val="left" w:pos="851" w:leader="none"/>
        <w:tab w:val="right" w:pos="9923" w:leader="none"/>
      </w:tabs>
      <w:spacing w:before="120" w:after="120"/>
      <w:ind w:left="851" w:hanging="851"/>
    </w:pPr>
    <w:rPr>
      <w:b/>
      <w:caps/>
    </w:rPr>
  </w:style>
  <w:style w:type="paragraph" w:styleId="TOC3">
    <w:name w:val="TOC 3"/>
    <w:basedOn w:val="Normal"/>
    <w:next w:val="Normal"/>
    <w:autoRedefine/>
    <w:uiPriority w:val="39"/>
    <w:unhideWhenUsed/>
    <w:rsid w:val="009c217f"/>
    <w:pPr>
      <w:spacing w:lineRule="auto" w:line="259" w:before="0" w:after="100"/>
      <w:ind w:left="440" w:hanging="0"/>
    </w:pPr>
    <w:rPr>
      <w:rFonts w:ascii="Calibri" w:hAnsi="Calibri" w:eastAsia="" w:asciiTheme="minorHAnsi" w:eastAsiaTheme="minorEastAsia" w:hAnsiTheme="minorHAnsi"/>
      <w:sz w:val="22"/>
      <w:lang w:eastAsia="ru-RU"/>
    </w:rPr>
  </w:style>
  <w:style w:type="paragraph" w:styleId="TOC4">
    <w:name w:val="TOC 4"/>
    <w:basedOn w:val="Normal"/>
    <w:next w:val="Normal"/>
    <w:autoRedefine/>
    <w:uiPriority w:val="39"/>
    <w:unhideWhenUsed/>
    <w:rsid w:val="009c217f"/>
    <w:pPr>
      <w:spacing w:lineRule="auto" w:line="259" w:before="0" w:after="100"/>
      <w:ind w:left="660" w:hanging="0"/>
    </w:pPr>
    <w:rPr>
      <w:rFonts w:ascii="Calibri" w:hAnsi="Calibri" w:eastAsia="" w:asciiTheme="minorHAnsi" w:eastAsiaTheme="minorEastAsia" w:hAnsiTheme="minorHAnsi"/>
      <w:sz w:val="22"/>
      <w:lang w:eastAsia="ru-RU"/>
    </w:rPr>
  </w:style>
  <w:style w:type="paragraph" w:styleId="TOC5">
    <w:name w:val="TOC 5"/>
    <w:basedOn w:val="Normal"/>
    <w:next w:val="Normal"/>
    <w:autoRedefine/>
    <w:uiPriority w:val="39"/>
    <w:unhideWhenUsed/>
    <w:rsid w:val="009c217f"/>
    <w:pPr>
      <w:spacing w:lineRule="auto" w:line="259" w:before="0" w:after="100"/>
      <w:ind w:left="880" w:hanging="0"/>
    </w:pPr>
    <w:rPr>
      <w:rFonts w:ascii="Calibri" w:hAnsi="Calibri" w:eastAsia="" w:asciiTheme="minorHAnsi" w:eastAsiaTheme="minorEastAsia" w:hAnsiTheme="minorHAnsi"/>
      <w:sz w:val="22"/>
      <w:lang w:eastAsia="ru-RU"/>
    </w:rPr>
  </w:style>
  <w:style w:type="paragraph" w:styleId="TOC6">
    <w:name w:val="TOC 6"/>
    <w:basedOn w:val="Normal"/>
    <w:next w:val="Normal"/>
    <w:autoRedefine/>
    <w:uiPriority w:val="39"/>
    <w:unhideWhenUsed/>
    <w:rsid w:val="009c217f"/>
    <w:pPr>
      <w:spacing w:lineRule="auto" w:line="259" w:before="0" w:after="100"/>
      <w:ind w:left="1100" w:hanging="0"/>
    </w:pPr>
    <w:rPr>
      <w:rFonts w:ascii="Calibri" w:hAnsi="Calibri" w:eastAsia="" w:asciiTheme="minorHAnsi" w:eastAsiaTheme="minorEastAsia" w:hAnsiTheme="minorHAnsi"/>
      <w:sz w:val="22"/>
      <w:lang w:eastAsia="ru-RU"/>
    </w:rPr>
  </w:style>
  <w:style w:type="paragraph" w:styleId="TOC7">
    <w:name w:val="TOC 7"/>
    <w:basedOn w:val="Normal"/>
    <w:next w:val="Normal"/>
    <w:autoRedefine/>
    <w:uiPriority w:val="39"/>
    <w:unhideWhenUsed/>
    <w:rsid w:val="009c217f"/>
    <w:pPr>
      <w:spacing w:lineRule="auto" w:line="259" w:before="0" w:after="100"/>
      <w:ind w:left="1320" w:hanging="0"/>
    </w:pPr>
    <w:rPr>
      <w:rFonts w:ascii="Calibri" w:hAnsi="Calibri" w:eastAsia="" w:asciiTheme="minorHAnsi" w:eastAsiaTheme="minorEastAsia" w:hAnsiTheme="minorHAnsi"/>
      <w:sz w:val="22"/>
      <w:lang w:eastAsia="ru-RU"/>
    </w:rPr>
  </w:style>
  <w:style w:type="paragraph" w:styleId="TOC8">
    <w:name w:val="TOC 8"/>
    <w:basedOn w:val="Normal"/>
    <w:next w:val="Normal"/>
    <w:autoRedefine/>
    <w:uiPriority w:val="39"/>
    <w:unhideWhenUsed/>
    <w:rsid w:val="009c217f"/>
    <w:pPr>
      <w:spacing w:lineRule="auto" w:line="259" w:before="0" w:after="100"/>
      <w:ind w:left="1540" w:hanging="0"/>
    </w:pPr>
    <w:rPr>
      <w:rFonts w:ascii="Calibri" w:hAnsi="Calibri" w:eastAsia="" w:asciiTheme="minorHAnsi" w:eastAsiaTheme="minorEastAsia" w:hAnsiTheme="minorHAnsi"/>
      <w:sz w:val="22"/>
      <w:lang w:eastAsia="ru-RU"/>
    </w:rPr>
  </w:style>
  <w:style w:type="paragraph" w:styleId="TOC9">
    <w:name w:val="TOC 9"/>
    <w:basedOn w:val="Normal"/>
    <w:next w:val="Normal"/>
    <w:autoRedefine/>
    <w:uiPriority w:val="39"/>
    <w:unhideWhenUsed/>
    <w:rsid w:val="009c217f"/>
    <w:pPr>
      <w:spacing w:lineRule="auto" w:line="259" w:before="0" w:after="100"/>
      <w:ind w:left="1760" w:hanging="0"/>
    </w:pPr>
    <w:rPr>
      <w:rFonts w:ascii="Calibri" w:hAnsi="Calibri" w:eastAsia="" w:asciiTheme="minorHAnsi" w:eastAsiaTheme="minorEastAsia" w:hAnsiTheme="minorHAnsi"/>
      <w:sz w:val="22"/>
      <w:lang w:eastAsia="ru-RU"/>
    </w:rPr>
  </w:style>
  <w:style w:type="paragraph" w:styleId="Annotationtext">
    <w:name w:val="annotation text"/>
    <w:basedOn w:val="Normal"/>
    <w:link w:val="Style14"/>
    <w:uiPriority w:val="99"/>
    <w:unhideWhenUsed/>
    <w:qFormat/>
    <w:rsid w:val="007e365e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5"/>
    <w:uiPriority w:val="99"/>
    <w:semiHidden/>
    <w:unhideWhenUsed/>
    <w:qFormat/>
    <w:rsid w:val="007e365e"/>
    <w:pPr/>
    <w:rPr>
      <w:b/>
      <w:bCs/>
    </w:rPr>
  </w:style>
  <w:style w:type="paragraph" w:styleId="Style39" w:customStyle="1">
    <w:name w:val="[РГ] Альтернатива / Дополнение"/>
    <w:basedOn w:val="Style36"/>
    <w:next w:val="Style36"/>
    <w:qFormat/>
    <w:rsid w:val="00a932a1"/>
    <w:pPr/>
    <w:rPr>
      <w:i/>
      <w:shd w:fill="CCECFF" w:val="clear"/>
    </w:rPr>
  </w:style>
  <w:style w:type="paragraph" w:styleId="Revision">
    <w:name w:val="Revision"/>
    <w:uiPriority w:val="99"/>
    <w:semiHidden/>
    <w:qFormat/>
    <w:rsid w:val="00b35b9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6"/>
      <w:szCs w:val="22"/>
      <w:lang w:val="ru-RU" w:eastAsia="en-US" w:bidi="ar-SA"/>
    </w:rPr>
  </w:style>
  <w:style w:type="paragraph" w:styleId="BalloonText">
    <w:name w:val="Balloon Text"/>
    <w:basedOn w:val="Normal"/>
    <w:link w:val="Style17"/>
    <w:uiPriority w:val="99"/>
    <w:semiHidden/>
    <w:unhideWhenUsed/>
    <w:qFormat/>
    <w:rsid w:val="003c1c82"/>
    <w:pPr>
      <w:spacing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Style40">
    <w:name w:val="Содержимое таблицы"/>
    <w:basedOn w:val="Normal"/>
    <w:qFormat/>
    <w:pPr>
      <w:widowControl w:val="false"/>
      <w:suppressLineNumbers/>
    </w:pPr>
    <w:rPr/>
  </w:style>
  <w:style w:type="paragraph" w:styleId="14">
    <w:name w:val="УРОВЕНЬ_1."/>
    <w:qFormat/>
    <w:pPr>
      <w:keepNext w:val="true"/>
      <w:keepLines/>
      <w:widowControl/>
      <w:suppressAutoHyphens w:val="true"/>
      <w:bidi w:val="0"/>
      <w:spacing w:lineRule="auto" w:line="276" w:before="240" w:after="120"/>
      <w:jc w:val="both"/>
    </w:pPr>
    <w:rPr>
      <w:rFonts w:ascii="Times New Roman" w:hAnsi="Times New Roman" w:eastAsia="Calibri" w:cs="" w:cstheme="minorBidi" w:eastAsiaTheme="minorHAnsi"/>
      <w:caps/>
      <w:color w:val="auto"/>
      <w:kern w:val="0"/>
      <w:sz w:val="26"/>
      <w:szCs w:val="22"/>
      <w:lang w:val="ru-RU" w:eastAsia="en-US" w:bidi="ar-SA"/>
    </w:rPr>
  </w:style>
  <w:style w:type="paragraph" w:styleId="NormalWeb">
    <w:name w:val="Normal (Web)"/>
    <w:basedOn w:val="Normal"/>
    <w:qFormat/>
    <w:pPr>
      <w:spacing w:beforeAutospacing="1" w:afterAutospacing="1"/>
    </w:pPr>
    <w:rPr>
      <w:sz w:val="24"/>
      <w:szCs w:val="24"/>
    </w:rPr>
  </w:style>
  <w:style w:type="paragraph" w:styleId="Style4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23">
    <w:name w:val="Заголовок 2 КВВ"/>
    <w:basedOn w:val="Normal"/>
    <w:qFormat/>
    <w:pPr>
      <w:keepNext w:val="true"/>
      <w:spacing w:before="120" w:after="120"/>
      <w:jc w:val="both"/>
    </w:pPr>
    <w:rPr>
      <w:b/>
      <w:kern w:val="2"/>
      <w:sz w:val="24"/>
      <w:szCs w:val="20"/>
      <w:lang w:eastAsia="x-none"/>
    </w:rPr>
  </w:style>
  <w:style w:type="paragraph" w:styleId="15">
    <w:name w:val="Стиль Заголовок 1 + по ширине"/>
    <w:basedOn w:val="Heading1"/>
    <w:qFormat/>
    <w:pPr>
      <w:keepNext w:val="true"/>
      <w:keepLines/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/>
      <w:b/>
      <w:bCs/>
      <w:kern w:val="2"/>
      <w:sz w:val="40"/>
      <w:szCs w:val="20"/>
    </w:rPr>
  </w:style>
  <w:style w:type="paragraph" w:styleId="Style42">
    <w:name w:val="УРОВЕНЬ_Подпись"/>
    <w:qFormat/>
    <w:pPr>
      <w:keepNext w:val="true"/>
      <w:widowControl/>
      <w:suppressAutoHyphens w:val="true"/>
      <w:bidi w:val="0"/>
      <w:spacing w:lineRule="exact" w:line="360" w:before="120" w:after="120"/>
      <w:ind w:firstLine="709"/>
      <w:jc w:val="right"/>
    </w:pPr>
    <w:rPr>
      <w:rFonts w:ascii="Times New Roman" w:hAnsi="Times New Roman" w:eastAsia="Calibri" w:cs="" w:cstheme="minorBidi" w:eastAsiaTheme="minorHAnsi"/>
      <w:color w:val="auto"/>
      <w:kern w:val="0"/>
      <w:sz w:val="26"/>
      <w:szCs w:val="22"/>
      <w:lang w:val="ru-RU" w:eastAsia="en-US" w:bidi="ar-SA"/>
    </w:rPr>
  </w:style>
  <w:style w:type="paragraph" w:styleId="33">
    <w:name w:val="УРОВЕНЬ_Абзац_тип3"/>
    <w:qFormat/>
    <w:pPr>
      <w:widowControl/>
      <w:suppressAutoHyphens w:val="true"/>
      <w:bidi w:val="0"/>
      <w:spacing w:lineRule="exact" w:line="360" w:before="120" w:after="0"/>
      <w:ind w:firstLine="709"/>
      <w:jc w:val="both"/>
    </w:pPr>
    <w:rPr>
      <w:rFonts w:ascii="Times New Roman" w:hAnsi="Times New Roman" w:eastAsia="Calibri" w:cs="" w:cstheme="minorBidi" w:eastAsiaTheme="minorHAnsi"/>
      <w:color w:val="auto"/>
      <w:kern w:val="0"/>
      <w:sz w:val="26"/>
      <w:szCs w:val="22"/>
      <w:lang w:val="ru-RU" w:eastAsia="en-US" w:bidi="ar-SA"/>
    </w:rPr>
  </w:style>
  <w:style w:type="paragraph" w:styleId="24">
    <w:name w:val="УРОВЕНЬ_Абзац_тип2"/>
    <w:qFormat/>
    <w:pPr>
      <w:widowControl/>
      <w:suppressAutoHyphens w:val="true"/>
      <w:bidi w:val="0"/>
      <w:spacing w:lineRule="exact" w:line="360" w:before="120" w:after="0"/>
      <w:ind w:firstLine="709"/>
      <w:jc w:val="both"/>
    </w:pPr>
    <w:rPr>
      <w:rFonts w:ascii="Times New Roman" w:hAnsi="Times New Roman" w:eastAsia="Calibri" w:cs="" w:cstheme="minorBidi" w:eastAsiaTheme="minorHAnsi"/>
      <w:color w:val="auto"/>
      <w:kern w:val="0"/>
      <w:sz w:val="26"/>
      <w:szCs w:val="22"/>
      <w:lang w:val="ru-RU" w:eastAsia="en-US" w:bidi="ar-SA"/>
    </w:rPr>
  </w:style>
  <w:style w:type="paragraph" w:styleId="-">
    <w:name w:val="УРОВЕНЬ_-"/>
    <w:qFormat/>
    <w:pPr>
      <w:widowControl/>
      <w:suppressAutoHyphens w:val="true"/>
      <w:bidi w:val="0"/>
      <w:spacing w:lineRule="exact" w:line="360" w:before="120" w:after="0"/>
      <w:ind w:firstLine="709"/>
      <w:jc w:val="both"/>
    </w:pPr>
    <w:rPr>
      <w:rFonts w:ascii="Times New Roman" w:hAnsi="Times New Roman" w:eastAsia="Calibri" w:cs="" w:cstheme="minorBidi" w:eastAsiaTheme="minorHAnsi"/>
      <w:color w:val="auto"/>
      <w:kern w:val="0"/>
      <w:sz w:val="26"/>
      <w:szCs w:val="22"/>
      <w:lang w:val="ru-RU" w:eastAsia="en-US" w:bidi="ar-SA"/>
    </w:rPr>
  </w:style>
  <w:style w:type="paragraph" w:styleId="Style43">
    <w:name w:val="УРОВЕНЬ_(а)"/>
    <w:qFormat/>
    <w:pPr>
      <w:widowControl/>
      <w:suppressAutoHyphens w:val="true"/>
      <w:bidi w:val="0"/>
      <w:spacing w:lineRule="exact" w:line="360" w:before="120" w:after="0"/>
      <w:ind w:firstLine="709"/>
      <w:jc w:val="both"/>
    </w:pPr>
    <w:rPr>
      <w:rFonts w:ascii="Times New Roman" w:hAnsi="Times New Roman" w:eastAsia="Calibri" w:cs="" w:cstheme="minorBidi" w:eastAsiaTheme="minorHAnsi"/>
      <w:color w:val="auto"/>
      <w:kern w:val="0"/>
      <w:sz w:val="26"/>
      <w:szCs w:val="22"/>
      <w:lang w:val="ru-RU" w:eastAsia="en-US" w:bidi="ar-SA"/>
    </w:rPr>
  </w:style>
  <w:style w:type="paragraph" w:styleId="Style44">
    <w:name w:val="Подподпункт"/>
    <w:qFormat/>
    <w:pPr>
      <w:widowControl/>
      <w:tabs>
        <w:tab w:val="clear" w:pos="708"/>
        <w:tab w:val="left" w:pos="5104" w:leader="none"/>
      </w:tabs>
      <w:suppressAutoHyphens w:val="true"/>
      <w:bidi w:val="0"/>
      <w:spacing w:lineRule="auto" w:line="240" w:before="120" w:after="0"/>
      <w:ind w:left="5104" w:hanging="567"/>
      <w:jc w:val="both"/>
    </w:pPr>
    <w:rPr>
      <w:rFonts w:ascii="Times New Roman" w:hAnsi="Times New Roman" w:eastAsia="Calibri" w:cs="" w:cstheme="minorBidi" w:eastAsiaTheme="minorHAnsi"/>
      <w:color w:val="auto"/>
      <w:kern w:val="0"/>
      <w:sz w:val="26"/>
      <w:szCs w:val="26"/>
      <w:lang w:val="ru-RU" w:eastAsia="en-US" w:bidi="ar-SA"/>
    </w:rPr>
  </w:style>
  <w:style w:type="paragraph" w:styleId="Style45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16">
    <w:name w:val="Абзац списка1"/>
    <w:basedOn w:val="Normal"/>
    <w:qFormat/>
    <w:pPr>
      <w:spacing w:lineRule="auto" w:line="276" w:before="12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46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34">
    <w:name w:val="Знак Знак3 Знак Знак"/>
    <w:basedOn w:val="Normal"/>
    <w:qFormat/>
    <w:pPr>
      <w:spacing w:lineRule="exact" w:line="240" w:before="12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25">
    <w:name w:val="Нумерованный список ур2"/>
    <w:basedOn w:val="Normal"/>
    <w:qFormat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41">
    <w:name w:val="Маркированный список 41"/>
    <w:basedOn w:val="Normal"/>
    <w:qFormat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35">
    <w:name w:val="Нумерованный список ур3"/>
    <w:basedOn w:val="Normal"/>
    <w:qFormat/>
    <w:pPr>
      <w:jc w:val="both"/>
    </w:pPr>
    <w:rPr>
      <w:rFonts w:ascii="Garamond" w:hAnsi="Garamond"/>
      <w:sz w:val="24"/>
      <w:szCs w:val="20"/>
    </w:rPr>
  </w:style>
  <w:style w:type="paragraph" w:styleId="Style47">
    <w:name w:val="Знак"/>
    <w:basedOn w:val="Normal"/>
    <w:qFormat/>
    <w:pPr>
      <w:spacing w:lineRule="exact" w:line="240" w:before="12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E-mailSignature">
    <w:name w:val="E-mail Signature"/>
    <w:basedOn w:val="Normal"/>
    <w:qFormat/>
    <w:pPr/>
    <w:rPr>
      <w:rFonts w:eastAsia="Calibri"/>
      <w:sz w:val="24"/>
      <w:szCs w:val="24"/>
      <w:lang w:val="x-none" w:eastAsia="x-none"/>
    </w:rPr>
  </w:style>
  <w:style w:type="paragraph" w:styleId="IntenseQuote">
    <w:name w:val="Intense Quote"/>
    <w:basedOn w:val="Normal"/>
    <w:next w:val="Normal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Quote">
    <w:name w:val="Quote"/>
    <w:basedOn w:val="Normal"/>
    <w:next w:val="Normal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Caption111">
    <w:name w:val="caption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Style48">
    <w:name w:val="Знак Знак Знак Знак Знак Знак Знак Знак Знак"/>
    <w:basedOn w:val="Normal"/>
    <w:qFormat/>
    <w:pPr>
      <w:spacing w:lineRule="exact" w:line="240" w:before="12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26">
    <w:name w:val="Раздел положения 2"/>
    <w:basedOn w:val="Normal"/>
    <w:qFormat/>
    <w:pPr>
      <w:jc w:val="both"/>
    </w:pPr>
    <w:rPr>
      <w:b/>
    </w:rPr>
  </w:style>
  <w:style w:type="paragraph" w:styleId="17">
    <w:name w:val="Обычный (веб)1"/>
    <w:basedOn w:val="Normal"/>
    <w:qFormat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Style49">
    <w:name w:val="Приложение к регламенту"/>
    <w:basedOn w:val="Normal"/>
    <w:qFormat/>
    <w:pPr>
      <w:jc w:val="right"/>
    </w:pPr>
    <w:rPr/>
  </w:style>
  <w:style w:type="paragraph" w:styleId="Style50">
    <w:name w:val="Раздел регламента"/>
    <w:basedOn w:val="Normal"/>
    <w:qFormat/>
    <w:pPr/>
    <w:rPr/>
  </w:style>
  <w:style w:type="paragraph" w:styleId="27">
    <w:name w:val="Пункт2"/>
    <w:basedOn w:val="Normal"/>
    <w:qFormat/>
    <w:pPr>
      <w:keepNext w:val="true"/>
      <w:tabs>
        <w:tab w:val="clear" w:pos="708"/>
        <w:tab w:val="left" w:pos="1134" w:leader="none"/>
      </w:tabs>
      <w:spacing w:before="240" w:after="120"/>
      <w:ind w:left="1134" w:hanging="1134"/>
    </w:pPr>
    <w:rPr>
      <w:b/>
      <w:szCs w:val="20"/>
    </w:rPr>
  </w:style>
  <w:style w:type="paragraph" w:styleId="Style51">
    <w:name w:val="Подпункт"/>
    <w:basedOn w:val="Normal"/>
    <w:qFormat/>
    <w:pPr>
      <w:tabs>
        <w:tab w:val="clear" w:pos="708"/>
        <w:tab w:val="left" w:pos="1134" w:leader="none"/>
      </w:tabs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BodyText2">
    <w:name w:val="Body Text 2"/>
    <w:basedOn w:val="Normal"/>
    <w:qFormat/>
    <w:pPr>
      <w:spacing w:lineRule="auto" w:line="480" w:before="120" w:after="120"/>
    </w:pPr>
    <w:rPr/>
  </w:style>
  <w:style w:type="paragraph" w:styleId="BodyTextIndent3">
    <w:name w:val="Body Text Indent 3"/>
    <w:basedOn w:val="Normal"/>
    <w:qFormat/>
    <w:pPr>
      <w:spacing w:before="120" w:after="120"/>
      <w:ind w:left="283" w:hanging="0"/>
    </w:pPr>
    <w:rPr>
      <w:sz w:val="16"/>
      <w:szCs w:val="16"/>
    </w:rPr>
  </w:style>
  <w:style w:type="paragraph" w:styleId="BodyText3">
    <w:name w:val="Body Text 3"/>
    <w:basedOn w:val="Normal"/>
    <w:qFormat/>
    <w:pPr>
      <w:spacing w:before="120" w:after="120"/>
    </w:pPr>
    <w:rPr>
      <w:sz w:val="16"/>
      <w:szCs w:val="16"/>
    </w:rPr>
  </w:style>
  <w:style w:type="paragraph" w:styleId="BodyTextIndent2">
    <w:name w:val="Body Text Indent 2"/>
    <w:basedOn w:val="Normal"/>
    <w:qFormat/>
    <w:pPr>
      <w:spacing w:lineRule="auto" w:line="480" w:before="120" w:after="120"/>
      <w:ind w:left="283" w:hanging="0"/>
    </w:pPr>
    <w:rPr/>
  </w:style>
  <w:style w:type="paragraph" w:styleId="18">
    <w:name w:val="Название1"/>
    <w:basedOn w:val="Normal"/>
    <w:qFormat/>
    <w:pPr>
      <w:jc w:val="center"/>
    </w:pPr>
    <w:rPr>
      <w:szCs w:val="20"/>
      <w:lang w:val="x-none" w:eastAsia="x-none"/>
    </w:rPr>
  </w:style>
  <w:style w:type="paragraph" w:styleId="36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28">
    <w:name w:val="Шапка 2"/>
    <w:basedOn w:val="Normal"/>
    <w:qFormat/>
    <w:pPr>
      <w:pBdr>
        <w:bottom w:val="thickThinSmallGap" w:sz="24" w:space="1" w:color="000000"/>
      </w:pBdr>
      <w:spacing w:before="120" w:after="120"/>
      <w:jc w:val="center"/>
    </w:pPr>
    <w:rPr>
      <w:b/>
      <w:sz w:val="22"/>
      <w:szCs w:val="22"/>
    </w:rPr>
  </w:style>
  <w:style w:type="paragraph" w:styleId="19">
    <w:name w:val="Шапка 1"/>
    <w:basedOn w:val="Normal"/>
    <w:qFormat/>
    <w:pPr>
      <w:pBdr>
        <w:bottom w:val="thickThinSmallGap" w:sz="24" w:space="1" w:color="000000"/>
      </w:pBdr>
      <w:spacing w:before="120" w:after="240"/>
      <w:jc w:val="center"/>
    </w:pPr>
    <w:rPr>
      <w:sz w:val="22"/>
      <w:szCs w:val="22"/>
    </w:rPr>
  </w:style>
  <w:style w:type="paragraph" w:styleId="Style52">
    <w:name w:val="Подраздел раздела положения"/>
    <w:basedOn w:val="Normal"/>
    <w:qFormat/>
    <w:pPr>
      <w:spacing w:before="80" w:after="80"/>
      <w:jc w:val="both"/>
    </w:pPr>
    <w:rPr/>
  </w:style>
  <w:style w:type="paragraph" w:styleId="Style53">
    <w:name w:val="Раздел положения"/>
    <w:basedOn w:val="Normal"/>
    <w:qFormat/>
    <w:pPr>
      <w:spacing w:before="80" w:after="80"/>
      <w:jc w:val="center"/>
    </w:pPr>
    <w:rPr>
      <w:b/>
      <w:sz w:val="32"/>
      <w:szCs w:val="32"/>
    </w:rPr>
  </w:style>
  <w:style w:type="paragraph" w:styleId="Style54">
    <w:name w:val="Название раздела инструкции"/>
    <w:basedOn w:val="Normal"/>
    <w:qFormat/>
    <w:pPr>
      <w:jc w:val="center"/>
    </w:pPr>
    <w:rPr>
      <w:b/>
    </w:rPr>
  </w:style>
  <w:style w:type="paragraph" w:styleId="Indexheading11">
    <w:name w:val="index heading11"/>
    <w:qFormat/>
    <w:pPr>
      <w:keepNext w:val="true"/>
      <w:widowControl/>
      <w:suppressAutoHyphens w:val="true"/>
      <w:bidi w:val="0"/>
      <w:spacing w:before="240" w:after="120"/>
      <w:jc w:val="left"/>
    </w:pPr>
    <w:rPr>
      <w:rFonts w:ascii="Liberation Sans" w:hAnsi="Liberation Sans" w:eastAsia="Arial Unicode MS" w:cs="Arial Unicode MS"/>
      <w:color w:val="auto"/>
      <w:kern w:val="0"/>
      <w:sz w:val="26"/>
      <w:szCs w:val="22"/>
      <w:lang w:val="ru-RU" w:eastAsia="en-US" w:bidi="ar-SA"/>
    </w:rPr>
  </w:style>
  <w:style w:type="paragraph" w:styleId="Caption11">
    <w:name w:val="caption11"/>
    <w:basedOn w:val="Normal"/>
    <w:qFormat/>
    <w:pPr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qFormat/>
    <w:pPr>
      <w:keepNext w:val="true"/>
      <w:widowControl/>
      <w:suppressAutoHyphens w:val="true"/>
      <w:bidi w:val="0"/>
      <w:spacing w:before="240" w:after="120"/>
      <w:jc w:val="left"/>
    </w:pPr>
    <w:rPr>
      <w:rFonts w:ascii="Liberation Sans" w:hAnsi="Liberation Sans" w:eastAsia="Arial Unicode MS" w:cs="Arial Unicode MS"/>
      <w:color w:val="auto"/>
      <w:kern w:val="0"/>
      <w:sz w:val="26"/>
      <w:szCs w:val="22"/>
      <w:lang w:val="ru-RU" w:eastAsia="en-US" w:bidi="ar-SA"/>
    </w:rPr>
  </w:style>
  <w:style w:type="paragraph" w:styleId="Caption1">
    <w:name w:val="caption1"/>
    <w:basedOn w:val="Normal"/>
    <w:qFormat/>
    <w:pPr>
      <w:spacing w:before="120" w:after="120"/>
    </w:pPr>
    <w:rPr>
      <w:i/>
      <w:iCs/>
      <w:sz w:val="24"/>
      <w:szCs w:val="24"/>
    </w:rPr>
  </w:style>
  <w:style w:type="paragraph" w:styleId="Indexheading2">
    <w:name w:val="index heading2"/>
    <w:qFormat/>
    <w:pPr>
      <w:keepNext w:val="true"/>
      <w:widowControl/>
      <w:suppressAutoHyphens w:val="true"/>
      <w:bidi w:val="0"/>
      <w:spacing w:before="240" w:after="120"/>
      <w:jc w:val="left"/>
    </w:pPr>
    <w:rPr>
      <w:rFonts w:ascii="Liberation Sans" w:hAnsi="Liberation Sans" w:eastAsia="Arial Unicode MS" w:cs="Arial Unicode MS"/>
      <w:color w:val="auto"/>
      <w:kern w:val="0"/>
      <w:sz w:val="26"/>
      <w:szCs w:val="22"/>
      <w:lang w:val="ru-RU" w:eastAsia="en-US" w:bidi="ar-SA"/>
    </w:rPr>
  </w:style>
  <w:style w:type="paragraph" w:styleId="Caption2">
    <w:name w:val="caption2"/>
    <w:basedOn w:val="Normal"/>
    <w:qFormat/>
    <w:pPr>
      <w:spacing w:before="120" w:after="120"/>
    </w:pPr>
    <w:rPr>
      <w:i/>
      <w:iCs/>
      <w:sz w:val="24"/>
      <w:szCs w:val="24"/>
    </w:rPr>
  </w:style>
  <w:style w:type="paragraph" w:styleId="Style55">
    <w:name w:val="Таблица"/>
    <w:basedOn w:val="Caption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40986948881">
    <w:name w:val="40986948881"/>
    <w:qFormat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name w:val="[РГ] Таблица"/>
    <w:basedOn w:val="a6"/>
    <w:uiPriority w:val="99"/>
    <w:rsid w:val="006173b0"/>
    <w:pPr>
      <w:spacing w:before="60" w:after="60"/>
    </w:pPr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57" w:type="dxa"/>
        <w:right w:w="57" w:type="dxa"/>
      </w:tblCellMar>
    </w:tblPr>
    <w:tblStylePr w:type="firstRow">
      <w:pPr>
        <w:wordWrap/>
        <w:jc w:val="center"/>
      </w:pPr>
      <w:rPr>
        <w:b/>
      </w:rPr>
      <w:tblPr/>
    </w:tblStylePr>
  </w:style>
  <w:style w:type="table" w:styleId="af6">
    <w:name w:val="Table Grid"/>
    <w:basedOn w:val="a6"/>
    <w:uiPriority w:val="39"/>
    <w:rsid w:val="006173b0"/>
    <w:pPr>
      <w:spacing w:before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nbt.rushydro.ru/Planning/Program/View/320311?returnUrl=%2FPlanning%2FProgram%2FIndex_all%3Fnotnull%3DTrue%26page%3D1%26pageSize%3D50%26Filter.Description%3D&#1082;&#1072;&#1085;&#1094;%0D%0A%26Filter.UserOrganizationType%3D2%26Filter.ExtendedFilterOpened%3DFalse%26Filter.UserOrganizationType%3D2%26Filter.tabIndex%3D0" TargetMode="Externa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9C04F-AF11-4513-A302-3375B5DDB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Application>AlterOffice/3.4.0.9$Linux_X86_64 LibreOffice_project/b8daf9e823b1a5463a2f48435ddc2e8696e7d4fc</Application>
  <AppVersion>15.0000</AppVersion>
  <Pages>14</Pages>
  <Words>3376</Words>
  <Characters>21704</Characters>
  <CharactersWithSpaces>23958</CharactersWithSpaces>
  <Paragraphs>1122</Paragraphs>
  <Company>ПАО РусГидро; ИнКонТех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2024-05-17T12:48:00Z</dcterms:created>
  <dc:creator>Владимир Щербаков</dc:creator>
  <dc:description/>
  <cp:keywords>Типовая форма</cp:keywords>
  <dc:language>ru-RU</dc:language>
  <cp:lastModifiedBy>akulovakv@corp.gidroogk.com</cp:lastModifiedBy>
  <dcterms:modified xsi:type="dcterms:W3CDTF">2026-08-17T10:17:04Z</dcterms:modified>
  <cp:revision>50</cp:revision>
  <dc:subject>Альбом типовых форм</dc:subject>
  <dc:title>Документация о закупке (формы)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