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tbl>
      <w:tblPr>
        <w:tblW w:w="9921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6"/>
        <w:gridCol w:w="741"/>
        <w:gridCol w:w="4534"/>
      </w:tblGrid>
      <w:tr>
        <w:trPr/>
        <w:tc>
          <w:tcPr>
            <w:tcW w:w="4646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«ПОДГОТОВИЛ»</w:t>
            </w:r>
          </w:p>
        </w:tc>
        <w:tc>
          <w:tcPr>
            <w:tcW w:w="741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4534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«УТВЕРЖДАЮ»</w:t>
            </w:r>
          </w:p>
        </w:tc>
      </w:tr>
      <w:tr>
        <w:trPr/>
        <w:tc>
          <w:tcPr>
            <w:tcW w:w="4646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Технический куратор договора</w:t>
            </w:r>
          </w:p>
        </w:tc>
        <w:tc>
          <w:tcPr>
            <w:tcW w:w="741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4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Инициатор договора</w:t>
            </w:r>
          </w:p>
        </w:tc>
      </w:tr>
      <w:tr>
        <w:trPr/>
        <w:tc>
          <w:tcPr>
            <w:tcW w:w="4646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Ведущий специалист отдела комплексного обслуживания</w:t>
            </w:r>
          </w:p>
        </w:tc>
        <w:tc>
          <w:tcPr>
            <w:tcW w:w="741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4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Начальник управления обслуживания объектов</w:t>
            </w:r>
          </w:p>
        </w:tc>
      </w:tr>
      <w:tr>
        <w:trPr/>
        <w:tc>
          <w:tcPr>
            <w:tcW w:w="4646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1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4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646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______________/Стрелец В.А.</w:t>
            </w:r>
          </w:p>
        </w:tc>
        <w:tc>
          <w:tcPr>
            <w:tcW w:w="741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4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______________/ Решетникова А.А.</w:t>
            </w:r>
          </w:p>
        </w:tc>
      </w:tr>
      <w:tr>
        <w:trPr/>
        <w:tc>
          <w:tcPr>
            <w:tcW w:w="4646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«      » августа 2026 года</w:t>
            </w:r>
          </w:p>
        </w:tc>
        <w:tc>
          <w:tcPr>
            <w:tcW w:w="741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4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«      » августа 2026 года</w:t>
            </w:r>
          </w:p>
        </w:tc>
      </w:tr>
    </w:tbl>
    <w:p>
      <w:pPr>
        <w:pStyle w:val="Normal"/>
        <w:keepNext w:val="true"/>
        <w:keepLines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Технические требования на оказание услуг</w:t>
      </w:r>
    </w:p>
    <w:p>
      <w:pPr>
        <w:pStyle w:val="Normal"/>
        <w:keepNext w:val="true"/>
        <w:keepLines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«ОКПД2 81.22.11.000 Оказание услуг по мытью фасадов зданий по адресам: </w:t>
        <w:br/>
        <w:t>г. Владивосток, ул. Тигровая, д. 19, ул. Октябрьская, д. 8»</w:t>
      </w:r>
    </w:p>
    <w:p>
      <w:pPr>
        <w:pStyle w:val="Normal"/>
        <w:keepNext w:val="true"/>
        <w:keepLines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Лот № 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numPr>
              <w:ilvl w:val="0"/>
            </w:numPr>
            <w:ind w:left="0" w:right="0" w:firstLine="709"/>
            <w:jc w:val="center"/>
            <w:rPr>
              <w:rFonts w:ascii="Times New Roman" w:hAnsi="Times New Roman"/>
              <w:color w:val="auto"/>
              <w:lang w:val="ru-RU"/>
            </w:rPr>
          </w:pPr>
          <w:r>
            <w:br w:type="page"/>
          </w:r>
          <w:r>
            <w:rPr>
              <w:rFonts w:ascii="Times New Roman" w:hAnsi="Times New Roman"/>
              <w:color w:val="auto"/>
              <w:lang w:val="ru-RU"/>
            </w:rPr>
            <w:t>Содержание</w:t>
          </w:r>
        </w:p>
        <w:p>
          <w:pPr>
            <w:pStyle w:val="Normal"/>
            <w:rPr>
              <w:lang w:eastAsia="x-none"/>
            </w:rPr>
          </w:pPr>
          <w:r>
            <w:rPr>
              <w:lang w:eastAsia="x-none"/>
            </w:rPr>
          </w:r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rStyle w:val="Style15"/>
              <w:sz w:val="22"/>
              <w:b w:val="false"/>
              <w:szCs w:val="22"/>
              <w:vanish w:val="false"/>
            </w:rPr>
            <w:instrText xml:space="preserve"> TOC \o "1-3" \h</w:instrText>
          </w:r>
          <w:r>
            <w:rPr>
              <w:rStyle w:val="Style15"/>
              <w:sz w:val="22"/>
              <w:b w:val="false"/>
              <w:szCs w:val="22"/>
              <w:vanish w:val="false"/>
            </w:rPr>
            <w:fldChar w:fldCharType="separate"/>
          </w:r>
          <w:hyperlink w:anchor="_Toc17928004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_Toc179280042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b w:val="false"/>
                <w:vanish w:val="false"/>
                <w:sz w:val="22"/>
                <w:szCs w:val="22"/>
              </w:rPr>
              <w:t>1. 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911" w:leader="dot"/>
            </w:tabs>
            <w:rPr>
              <w:rFonts w:ascii="Calibri" w:hAnsi="Calibri" w:eastAsia="新細明體" w:cs="Arial"/>
              <w:bCs w:val="false"/>
              <w:sz w:val="22"/>
              <w:szCs w:val="22"/>
            </w:rPr>
          </w:pPr>
          <w:hyperlink w:anchor="_Toc179280043">
            <w:r>
              <w:rPr>
                <w:rStyle w:val="Style15"/>
                <w:vanish w:val="false"/>
                <w:sz w:val="22"/>
                <w:szCs w:val="22"/>
                <w:lang w:val="en-US"/>
              </w:rPr>
              <w:t xml:space="preserve">1.1.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_Toc179280043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sz w:val="22"/>
                <w:szCs w:val="22"/>
              </w:rPr>
              <w:t>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911" w:leader="dot"/>
            </w:tabs>
            <w:rPr>
              <w:rFonts w:ascii="Calibri" w:hAnsi="Calibri" w:eastAsia="新細明體" w:cs="Arial"/>
              <w:bCs w:val="false"/>
              <w:sz w:val="22"/>
              <w:szCs w:val="22"/>
            </w:rPr>
          </w:pPr>
          <w:hyperlink w:anchor="_Toc17928004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_Toc179280044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  <w:sz w:val="22"/>
                <w:szCs w:val="22"/>
              </w:rPr>
              <w:t>1.2. Наименование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911" w:leader="dot"/>
            </w:tabs>
            <w:rPr>
              <w:rFonts w:ascii="Calibri" w:hAnsi="Calibri" w:eastAsia="新細明體" w:cs="Arial"/>
              <w:bCs w:val="false"/>
              <w:sz w:val="22"/>
              <w:szCs w:val="22"/>
            </w:rPr>
          </w:pPr>
          <w:hyperlink w:anchor="_Toc17928004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_Toc179280045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  <w:sz w:val="22"/>
                <w:szCs w:val="22"/>
              </w:rPr>
              <w:t>1.3. Цель оказания услуг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/>
              <w:b w:val="false"/>
              <w:bCs w:val="false"/>
              <w:sz w:val="22"/>
              <w:szCs w:val="22"/>
            </w:rPr>
          </w:pPr>
          <w:hyperlink w:anchor="_Toc17928004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_Toc179280046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b w:val="false"/>
                <w:vanish w:val="false"/>
                <w:sz w:val="22"/>
                <w:szCs w:val="22"/>
              </w:rPr>
              <w:t>Таблица 1. Перечень объектов заказчика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911" w:leader="dot"/>
            </w:tabs>
            <w:rPr>
              <w:rFonts w:ascii="Calibri" w:hAnsi="Calibri" w:eastAsia="新細明體" w:cs="Arial"/>
              <w:bCs w:val="false"/>
              <w:sz w:val="22"/>
              <w:szCs w:val="22"/>
            </w:rPr>
          </w:pPr>
          <w:hyperlink w:anchor="_Toc17928004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_Toc179280047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  <w:sz w:val="22"/>
                <w:szCs w:val="22"/>
              </w:rPr>
              <w:t>1.4. Информация в отношении исполнения договора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/>
              <w:b w:val="false"/>
              <w:bCs w:val="false"/>
              <w:sz w:val="22"/>
              <w:szCs w:val="22"/>
            </w:rPr>
          </w:pPr>
          <w:hyperlink w:anchor="_Toc17928004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_Toc179280048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b w:val="false"/>
                <w:vanish w:val="false"/>
                <w:sz w:val="22"/>
                <w:szCs w:val="22"/>
              </w:rPr>
              <w:t>2. Требования к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911" w:leader="dot"/>
            </w:tabs>
            <w:rPr>
              <w:rFonts w:ascii="Calibri" w:hAnsi="Calibri" w:eastAsia="新細明體" w:cs="Arial"/>
              <w:bCs w:val="false"/>
              <w:sz w:val="22"/>
              <w:szCs w:val="22"/>
            </w:rPr>
          </w:pPr>
          <w:hyperlink w:anchor="_Toc17928004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_Toc179280049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  <w:sz w:val="22"/>
                <w:szCs w:val="22"/>
              </w:rPr>
              <w:t>2.1 Требования к объемам и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/>
              <w:sz w:val="22"/>
              <w:szCs w:val="22"/>
            </w:rPr>
          </w:pPr>
          <w:hyperlink w:anchor="_Toc17928005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_Toc179280050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  <w:sz w:val="22"/>
                <w:szCs w:val="22"/>
              </w:rPr>
              <w:t>2.1.1. Требования к перечню и объему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/>
              <w:b w:val="false"/>
              <w:bCs w:val="false"/>
              <w:sz w:val="22"/>
              <w:szCs w:val="22"/>
            </w:rPr>
          </w:pPr>
          <w:hyperlink w:anchor="_Toc17928005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_Toc179280051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b w:val="false"/>
                <w:vanish w:val="false"/>
                <w:sz w:val="22"/>
                <w:szCs w:val="22"/>
              </w:rPr>
              <w:t>Таблица 2. Перечень и объем оказываемых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/>
              <w:sz w:val="22"/>
              <w:szCs w:val="22"/>
            </w:rPr>
          </w:pPr>
          <w:hyperlink w:anchor="_Toc17928005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_Toc179280052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  <w:sz w:val="22"/>
                <w:szCs w:val="22"/>
              </w:rPr>
              <w:t>2.1.2. 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/>
              <w:b w:val="false"/>
              <w:bCs w:val="false"/>
              <w:sz w:val="22"/>
              <w:szCs w:val="22"/>
            </w:rPr>
          </w:pPr>
          <w:hyperlink w:anchor="_Toc17928005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_Toc179280053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b w:val="false"/>
                <w:vanish w:val="false"/>
                <w:sz w:val="22"/>
                <w:szCs w:val="22"/>
              </w:rPr>
              <w:t>Таблица 3. 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911" w:leader="dot"/>
            </w:tabs>
            <w:rPr>
              <w:rFonts w:ascii="Calibri" w:hAnsi="Calibri" w:eastAsia="新細明體" w:cs="Arial"/>
              <w:bCs w:val="false"/>
              <w:sz w:val="22"/>
              <w:szCs w:val="22"/>
            </w:rPr>
          </w:pPr>
          <w:hyperlink w:anchor="_Toc17928005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_Toc179280054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  <w:sz w:val="22"/>
                <w:szCs w:val="22"/>
              </w:rPr>
              <w:t>2.2. Требования к качеству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/>
              <w:b w:val="false"/>
              <w:bCs w:val="false"/>
              <w:sz w:val="22"/>
              <w:szCs w:val="22"/>
            </w:rPr>
          </w:pPr>
          <w:hyperlink w:anchor="_Toc17928005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_Toc179280055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b w:val="false"/>
                <w:vanish w:val="false"/>
                <w:sz w:val="22"/>
                <w:szCs w:val="22"/>
              </w:rPr>
              <w:t>Таблица 4. Требования к качеству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/>
              <w:b w:val="false"/>
              <w:bCs w:val="false"/>
              <w:sz w:val="22"/>
              <w:szCs w:val="22"/>
            </w:rPr>
          </w:pPr>
          <w:hyperlink w:anchor="_Toc17928005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_Toc179280056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b w:val="false"/>
                <w:vanish w:val="false"/>
                <w:sz w:val="22"/>
                <w:szCs w:val="22"/>
              </w:rPr>
              <w:t>3. Требования к документации по ценообразованию на этапе закупки.</w:t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/>
              <w:b w:val="false"/>
              <w:bCs w:val="false"/>
              <w:sz w:val="22"/>
              <w:szCs w:val="22"/>
            </w:rPr>
          </w:pPr>
          <w:hyperlink w:anchor="_Toc17928005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_Toc179280057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b w:val="false"/>
                <w:vanish w:val="false"/>
                <w:sz w:val="22"/>
                <w:szCs w:val="22"/>
              </w:rPr>
              <w:t>4. Требования к документации по ценообразованию на этапе заключения (исполнения) договора.</w:t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/>
              <w:b w:val="false"/>
              <w:bCs w:val="false"/>
              <w:sz w:val="22"/>
              <w:szCs w:val="22"/>
            </w:rPr>
          </w:pPr>
          <w:hyperlink w:anchor="_Toc17928005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_Toc179280058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b w:val="false"/>
                <w:vanish w:val="false"/>
                <w:sz w:val="22"/>
                <w:szCs w:val="22"/>
              </w:rPr>
              <w:t>Приложение № 1</w:t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rPr/>
          </w:pPr>
          <w:r>
            <w:rPr/>
          </w:r>
          <w:r>
            <w:rPr/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right="0" w:firstLine="709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</w:numPr>
        <w:ind w:left="0" w:right="0" w:firstLine="709"/>
        <w:rPr/>
      </w:pPr>
      <w:bookmarkStart w:id="0" w:name="_Toc179280042"/>
      <w:bookmarkStart w:id="1" w:name="_Toc54643694"/>
      <w:r>
        <w:rPr>
          <w:sz w:val="24"/>
          <w:lang w:val="ru-RU"/>
        </w:rPr>
        <w:t xml:space="preserve">1. </w:t>
      </w:r>
      <w:r>
        <w:rPr>
          <w:sz w:val="24"/>
        </w:rPr>
        <w:t>Общие сведения</w:t>
      </w:r>
      <w:bookmarkEnd w:id="0"/>
      <w:bookmarkEnd w:id="1"/>
    </w:p>
    <w:p>
      <w:pPr>
        <w:pStyle w:val="Heading2"/>
        <w:numPr>
          <w:ilvl w:val="0"/>
        </w:numPr>
        <w:ind w:left="0" w:right="0" w:firstLine="709"/>
        <w:rPr/>
      </w:pPr>
      <w:bookmarkStart w:id="2" w:name="_Toc179280043"/>
      <w:bookmarkStart w:id="3" w:name="_Toc54643695"/>
      <w:bookmarkStart w:id="4" w:name="_Toc46743505"/>
      <w:r>
        <w:rPr>
          <w:lang w:val="en-US"/>
        </w:rPr>
        <w:t xml:space="preserve">1.1. </w:t>
      </w:r>
      <w:r>
        <w:rPr/>
        <w:t>Обозначения и сокращения</w:t>
      </w:r>
      <w:bookmarkEnd w:id="2"/>
      <w:bookmarkEnd w:id="3"/>
      <w:bookmarkEnd w:id="4"/>
    </w:p>
    <w:p>
      <w:pPr>
        <w:pStyle w:val="Normal"/>
        <w:rPr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3535"/>
        <w:gridCol w:w="6247"/>
      </w:tblGrid>
      <w:tr>
        <w:trPr>
          <w:trHeight w:val="20" w:hRule="atLeast"/>
          <w:cantSplit w:val="true"/>
        </w:trPr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 w:val="false"/>
                <w:i w:val="false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ТТ</w:t>
            </w:r>
          </w:p>
        </w:tc>
        <w:tc>
          <w:tcPr>
            <w:tcW w:w="6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bCs/>
                <w:i w:val="false"/>
                <w:i w:val="false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Технические требования</w:t>
            </w:r>
          </w:p>
        </w:tc>
      </w:tr>
      <w:tr>
        <w:trPr>
          <w:trHeight w:val="20" w:hRule="atLeast"/>
          <w:cantSplit w:val="true"/>
        </w:trPr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Заказчик</w:t>
            </w:r>
          </w:p>
        </w:tc>
        <w:tc>
          <w:tcPr>
            <w:tcW w:w="6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АО «СК РусГидро»</w:t>
            </w:r>
          </w:p>
        </w:tc>
      </w:tr>
      <w:tr>
        <w:trPr>
          <w:trHeight w:val="20" w:hRule="atLeast"/>
          <w:cantSplit w:val="true"/>
        </w:trPr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bCs/>
                <w:i w:val="false"/>
                <w:i w:val="false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Объекты</w:t>
            </w:r>
          </w:p>
        </w:tc>
        <w:tc>
          <w:tcPr>
            <w:tcW w:w="6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Офисные здание ПАО «ДЭК», расположенные по адресам: Приморский край, г. Владивосток, ул. Тигровая, д. 19, ул. Октябрьская, д. 8.</w:t>
            </w:r>
          </w:p>
        </w:tc>
      </w:tr>
      <w:tr>
        <w:trPr>
          <w:trHeight w:val="20" w:hRule="atLeast"/>
          <w:cantSplit w:val="true"/>
        </w:trPr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</w:t>
            </w:r>
          </w:p>
        </w:tc>
        <w:tc>
          <w:tcPr>
            <w:tcW w:w="6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Стандарт обслуживания зданий и территорий Группы РусГидро, утверждённый приказом ПАО «РусГидро» от 07.10.2022 № 750</w:t>
            </w:r>
          </w:p>
        </w:tc>
      </w:tr>
      <w:tr>
        <w:trPr>
          <w:trHeight w:val="20" w:hRule="atLeast"/>
          <w:cantSplit w:val="true"/>
        </w:trPr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ЕТКС</w:t>
            </w:r>
          </w:p>
        </w:tc>
        <w:tc>
          <w:tcPr>
            <w:tcW w:w="6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Единый тарифно-квалификационный справочник работ и профессий рабочих.</w:t>
            </w:r>
          </w:p>
        </w:tc>
      </w:tr>
    </w:tbl>
    <w:p>
      <w:pPr>
        <w:pStyle w:val="Heading2"/>
        <w:numPr>
          <w:ilvl w:val="0"/>
        </w:numPr>
        <w:ind w:left="0" w:right="0" w:firstLine="709"/>
        <w:rPr/>
      </w:pPr>
      <w:bookmarkStart w:id="5" w:name="_Toc179280044"/>
      <w:bookmarkStart w:id="6" w:name="_Toc46743506"/>
      <w:bookmarkStart w:id="7" w:name="_Toc54643696"/>
      <w:r>
        <w:rPr>
          <w:lang w:val="ru-RU"/>
        </w:rPr>
        <w:t xml:space="preserve">1.2. </w:t>
      </w:r>
      <w:r>
        <w:rPr/>
        <w:t>Наименование закупаемой продукции</w:t>
      </w:r>
      <w:bookmarkEnd w:id="5"/>
      <w:bookmarkEnd w:id="6"/>
      <w:bookmarkEnd w:id="7"/>
    </w:p>
    <w:p>
      <w:pPr>
        <w:pStyle w:val="Heading4"/>
        <w:numPr>
          <w:ilvl w:val="0"/>
        </w:numPr>
        <w:ind w:left="0" w:right="0" w:firstLine="709"/>
        <w:jc w:val="both"/>
        <w:rPr>
          <w:b w:val="false"/>
          <w:lang w:val="ru-RU"/>
        </w:rPr>
      </w:pPr>
      <w:r>
        <w:rPr>
          <w:b w:val="false"/>
          <w:lang w:val="ru-RU"/>
        </w:rPr>
        <w:t>ОКПД2 81.22.11.000 Оказание услуг по мытью фасадов зданий по адресам: г. Владивосток, ул. Тигровая, д. 19, ул. Октябрьская, д. 8</w:t>
      </w:r>
      <w:bookmarkStart w:id="8" w:name="_Toc54643697"/>
      <w:bookmarkStart w:id="9" w:name="_Toc46743507"/>
    </w:p>
    <w:p>
      <w:pPr>
        <w:pStyle w:val="Heading2"/>
        <w:numPr>
          <w:ilvl w:val="0"/>
        </w:numPr>
        <w:ind w:left="0" w:right="0" w:firstLine="709"/>
        <w:rPr/>
      </w:pPr>
      <w:bookmarkStart w:id="10" w:name="_Toc179280045"/>
      <w:r>
        <w:rPr>
          <w:lang w:val="ru-RU"/>
        </w:rPr>
        <w:t xml:space="preserve">1.3. </w:t>
      </w:r>
      <w:r>
        <w:rPr/>
        <w:t xml:space="preserve">Цель </w:t>
      </w:r>
      <w:bookmarkEnd w:id="9"/>
      <w:r>
        <w:rPr/>
        <w:t>оказания услуг</w:t>
      </w:r>
      <w:bookmarkEnd w:id="10"/>
      <w:r>
        <w:rPr/>
        <w:t xml:space="preserve"> </w:t>
      </w:r>
      <w:bookmarkEnd w:id="8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ind w:left="0" w:right="0" w:firstLine="709"/>
        <w:jc w:val="both"/>
        <w:rPr>
          <w:sz w:val="24"/>
          <w:szCs w:val="24"/>
        </w:rPr>
      </w:pPr>
      <w:bookmarkStart w:id="11" w:name="_Toc46743508"/>
      <w:bookmarkStart w:id="12" w:name="_Toc54643698"/>
      <w:bookmarkEnd w:id="11"/>
      <w:bookmarkEnd w:id="12"/>
      <w:r>
        <w:rPr>
          <w:sz w:val="24"/>
          <w:szCs w:val="24"/>
        </w:rPr>
        <w:t>Целью оказание услуг является своевременная очистка фасадов зданий ПАО «ДЭК» от загрязнений окружающей среды.</w:t>
      </w:r>
    </w:p>
    <w:p>
      <w:pPr>
        <w:pStyle w:val="Heading1"/>
        <w:numPr>
          <w:ilvl w:val="0"/>
        </w:numPr>
        <w:ind w:left="0" w:right="0" w:firstLine="709"/>
        <w:rPr>
          <w:sz w:val="24"/>
        </w:rPr>
      </w:pPr>
      <w:bookmarkStart w:id="13" w:name="_Toc179280046"/>
      <w:bookmarkStart w:id="14" w:name="_Toc54643699"/>
      <w:bookmarkStart w:id="15" w:name="_Toc46743508_Копия_1"/>
      <w:bookmarkStart w:id="16" w:name="_Toc54643698_Копия_1"/>
      <w:bookmarkEnd w:id="15"/>
      <w:bookmarkEnd w:id="16"/>
      <w:r>
        <w:rPr>
          <w:sz w:val="24"/>
        </w:rPr>
        <w:t>Таблица 1. Перечень объектов заказчика</w:t>
      </w:r>
      <w:bookmarkEnd w:id="13"/>
      <w:bookmarkEnd w:id="14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155"/>
        <w:gridCol w:w="2173"/>
        <w:gridCol w:w="2159"/>
        <w:gridCol w:w="261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164" w:right="0" w:hanging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Офисное з</w:t>
            </w:r>
            <w:r>
              <w:rPr>
                <w:iCs/>
                <w:sz w:val="24"/>
                <w:szCs w:val="24"/>
              </w:rPr>
              <w:t xml:space="preserve">дание </w:t>
              <w:br/>
              <w:t xml:space="preserve">ПАО </w:t>
            </w:r>
            <w:r>
              <w:rPr>
                <w:iCs/>
                <w:sz w:val="24"/>
                <w:szCs w:val="24"/>
                <w:lang w:val="en-US"/>
              </w:rPr>
              <w:t>«</w:t>
            </w:r>
            <w:r>
              <w:rPr>
                <w:iCs/>
                <w:sz w:val="24"/>
                <w:szCs w:val="24"/>
              </w:rPr>
              <w:t>ДЭК</w:t>
            </w:r>
            <w:r>
              <w:rPr>
                <w:iCs/>
                <w:sz w:val="24"/>
                <w:szCs w:val="24"/>
                <w:lang w:val="en-US"/>
              </w:rPr>
              <w:t>»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Приморский край, </w:t>
              <w:br/>
              <w:t xml:space="preserve">г. Владивосток, </w:t>
              <w:br/>
              <w:t>ул. Октябрьская, д.8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Часть фасада, площадью 700 кв. м.</w:t>
            </w:r>
          </w:p>
        </w:tc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Заказчика является зданием с ограниченным допуском. Проход в здания осуществляется на основании пропусков, оформленных на основании паспортов Российской Федерации.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164" w:right="0" w:hanging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Офисное з</w:t>
            </w:r>
            <w:r>
              <w:rPr>
                <w:iCs/>
                <w:sz w:val="24"/>
                <w:szCs w:val="24"/>
              </w:rPr>
              <w:t xml:space="preserve">дание </w:t>
              <w:br/>
              <w:t xml:space="preserve">ПАО </w:t>
            </w:r>
            <w:r>
              <w:rPr>
                <w:iCs/>
                <w:sz w:val="24"/>
                <w:szCs w:val="24"/>
                <w:lang w:val="en-US"/>
              </w:rPr>
              <w:t>«</w:t>
            </w:r>
            <w:r>
              <w:rPr>
                <w:iCs/>
                <w:sz w:val="24"/>
                <w:szCs w:val="24"/>
              </w:rPr>
              <w:t>ДЭК</w:t>
            </w:r>
            <w:r>
              <w:rPr>
                <w:iCs/>
                <w:sz w:val="24"/>
                <w:szCs w:val="24"/>
                <w:lang w:val="en-US"/>
              </w:rPr>
              <w:t>»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Приморский край, </w:t>
              <w:br/>
              <w:t xml:space="preserve">г. Владивосток, </w:t>
              <w:br/>
            </w:r>
            <w:r>
              <w:rPr>
                <w:rFonts w:eastAsia="Calibri"/>
                <w:sz w:val="24"/>
                <w:szCs w:val="24"/>
              </w:rPr>
              <w:t>ул. Тигровая, д. 19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Часть фасада, площадью 2500 кв. м.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Heading2"/>
        <w:numPr>
          <w:ilvl w:val="0"/>
        </w:numPr>
        <w:ind w:left="0" w:right="0" w:firstLine="709"/>
        <w:jc w:val="both"/>
        <w:rPr/>
      </w:pPr>
      <w:bookmarkStart w:id="17" w:name="_Hlk49857604"/>
      <w:bookmarkStart w:id="18" w:name="_Toc179280047"/>
      <w:bookmarkStart w:id="19" w:name="_Toc46743509"/>
      <w:bookmarkStart w:id="20" w:name="_Toc54643700"/>
      <w:r>
        <w:rPr>
          <w:lang w:val="ru-RU"/>
        </w:rPr>
        <w:t xml:space="preserve">1.4. </w:t>
      </w:r>
      <w:r>
        <w:rPr/>
        <w:t xml:space="preserve">Информация в отношении исполнения договора, </w:t>
      </w:r>
      <w:bookmarkStart w:id="21" w:name="_Hlk46492347"/>
      <w:r>
        <w:rPr/>
        <w:t xml:space="preserve">которая должна быть учтена при подготовке заявки </w:t>
      </w:r>
      <w:bookmarkEnd w:id="21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 этапе исполнения договора)</w:t>
      </w:r>
      <w:bookmarkEnd w:id="17"/>
      <w:bookmarkEnd w:id="18"/>
      <w:bookmarkEnd w:id="19"/>
      <w:bookmarkEnd w:id="20"/>
    </w:p>
    <w:p>
      <w:pPr>
        <w:pStyle w:val="Normal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Услуги оказываются высококвалифицированным персоналом с необходимыми профессиональными знаниями и опытом работы, а также допусками, аттестациями и регулярными повышением квалификации в соответствии с требованиями следующих документов: </w:t>
      </w:r>
    </w:p>
    <w:p>
      <w:pPr>
        <w:pStyle w:val="Normal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Приказом Минтруда России от 16.11.2020 № 782н (ред. от 29.04.2025) «Об утверждении Правил по охране труда при работе на высоте».</w:t>
      </w:r>
    </w:p>
    <w:p>
      <w:pPr>
        <w:pStyle w:val="Normal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Приказом Минтруда России № 988н, Минздрава № 1420н от 31.12.2020 «Об утверждении перечня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при поступлении на работу и периодические медицинские осмотры».</w:t>
      </w:r>
    </w:p>
    <w:p>
      <w:pPr>
        <w:pStyle w:val="Normal"/>
        <w:spacing w:lineRule="auto" w:line="276"/>
        <w:ind w:left="0" w:right="0"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1.5 Квалификационные требования к персоналу Исполнителя</w:t>
      </w:r>
    </w:p>
    <w:p>
      <w:pPr>
        <w:pStyle w:val="Normal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4"/>
          <w:szCs w:val="24"/>
        </w:rPr>
        <w:t xml:space="preserve">1.5.1 </w:t>
      </w:r>
      <w:r>
        <w:rPr>
          <w:iCs/>
          <w:sz w:val="24"/>
          <w:szCs w:val="24"/>
          <w:lang w:val="ru-RU"/>
        </w:rPr>
        <w:t xml:space="preserve">Исполнитель для проведения работ обязуется направить на объект для проведения работ персонал в количественном составе, необходимом для выполнения работ в объеме, указанном в настоящих технических требованиях. До проведения работ Исполнитель назначает лиц, ответственных за выполнение работ, </w:t>
      </w:r>
      <w:r>
        <w:rPr>
          <w:b w:val="false"/>
          <w:i w:val="false"/>
          <w:sz w:val="24"/>
          <w:szCs w:val="24"/>
        </w:rPr>
        <w:t xml:space="preserve">с правом </w:t>
      </w:r>
      <w:r>
        <w:rPr>
          <w:sz w:val="24"/>
          <w:szCs w:val="24"/>
        </w:rPr>
        <w:t xml:space="preserve"> подписи в акте-допуске и правами выдачи нарядов- допусков на выполняемые  работы </w:t>
      </w:r>
      <w:r>
        <w:rPr>
          <w:iCs/>
          <w:sz w:val="24"/>
          <w:szCs w:val="24"/>
          <w:lang w:val="ru-RU"/>
        </w:rPr>
        <w:t>по предварительному согласованию с представителем Заказчика на объекте (руководитель работ, производитель работ)</w:t>
      </w:r>
    </w:p>
    <w:p>
      <w:pPr>
        <w:pStyle w:val="Normal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1.5.2 Услуги должны оказываться промышленными альпинистами с необходимыми профессиональными знаниями и опытом работы, а также допусками, аттестациями и регулярным повышением квалификации в соответствии с требованиями следующих документов: </w:t>
      </w:r>
    </w:p>
    <w:p>
      <w:pPr>
        <w:pStyle w:val="Normal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Приказом Минтруда России от 16.11.2020 </w:t>
      </w:r>
    </w:p>
    <w:p>
      <w:pPr>
        <w:pStyle w:val="Normal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>
        <w:rPr>
          <w:sz w:val="24"/>
          <w:szCs w:val="24"/>
        </w:rPr>
        <w:t>782н (ред. от 29.04.2025) «Об утверждении Правил по охране труда при работе на высоте».</w:t>
      </w:r>
    </w:p>
    <w:p>
      <w:pPr>
        <w:pStyle w:val="Normal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Приказом Минтруда России № 988н, Минздрава № 1420н от 31.12.2020 «Об утверждении перечня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при поступлении на работу и периодические медицинские осмотры».</w:t>
      </w:r>
    </w:p>
    <w:p>
      <w:pPr>
        <w:pStyle w:val="Normal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1.5.3. Сотрудники Исполнителя должны быть обеспечены спецодеждой единого образца и обязаны иметь аккуратный внешний вид.</w:t>
      </w:r>
    </w:p>
    <w:p>
      <w:pPr>
        <w:pStyle w:val="Normal"/>
        <w:ind w:left="0" w:right="0" w:firstLine="709"/>
        <w:jc w:val="both"/>
        <w:rPr/>
      </w:pPr>
      <w:r>
        <w:rPr>
          <w:rFonts w:eastAsia="Calibri"/>
          <w:b/>
          <w:bCs/>
          <w:sz w:val="24"/>
          <w:szCs w:val="24"/>
          <w:lang w:val="ru-RU" w:eastAsia="x-none"/>
        </w:rPr>
        <w:t>1.5.4 При оказании услуг с привлечением промышленных альпинистов обязательное условие - наличие удостоверения промышленного альпиниста, группа по безопасности работ на высоте не ниже II. Личная книжка учета работ на высоте в соответствии с Приложением № 4 Приказа Минтруда России от 16.11.2020 N 782н «Об утверждении Правил по охране труда при работе на высоте». Группа по электробезопасности не ниже II.</w:t>
      </w:r>
    </w:p>
    <w:p>
      <w:pPr>
        <w:pStyle w:val="Normal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</w:numPr>
        <w:ind w:left="0" w:right="0" w:firstLine="709"/>
        <w:jc w:val="center"/>
        <w:rPr/>
      </w:pPr>
      <w:bookmarkStart w:id="22" w:name="_Toc51339693"/>
      <w:bookmarkStart w:id="23" w:name="_Toc54643702"/>
      <w:bookmarkStart w:id="24" w:name="_Toc179280048"/>
      <w:bookmarkStart w:id="25" w:name="_Toc50125126"/>
      <w:bookmarkStart w:id="26" w:name="_Toc46743510"/>
      <w:bookmarkEnd w:id="25"/>
      <w:bookmarkEnd w:id="26"/>
      <w:r>
        <w:rPr>
          <w:sz w:val="24"/>
        </w:rPr>
        <w:t>2. Требования к продукции</w:t>
      </w:r>
      <w:bookmarkEnd w:id="22"/>
      <w:bookmarkEnd w:id="23"/>
      <w:bookmarkEnd w:id="24"/>
    </w:p>
    <w:p>
      <w:pPr>
        <w:pStyle w:val="Heading2"/>
        <w:numPr>
          <w:ilvl w:val="0"/>
        </w:numPr>
        <w:ind w:left="0" w:right="0" w:firstLine="709"/>
        <w:rPr/>
      </w:pPr>
      <w:bookmarkStart w:id="27" w:name="_Toc179280049"/>
      <w:bookmarkStart w:id="28" w:name="_Toc54643703"/>
      <w:r>
        <w:rPr>
          <w:lang w:val="ru-RU"/>
        </w:rPr>
        <w:t xml:space="preserve">2.1 </w:t>
      </w:r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27"/>
      <w:bookmarkEnd w:id="28"/>
    </w:p>
    <w:p>
      <w:pPr>
        <w:pStyle w:val="Heading3"/>
        <w:numPr>
          <w:ilvl w:val="0"/>
        </w:numPr>
        <w:ind w:left="0" w:right="0" w:firstLine="709"/>
        <w:rPr/>
      </w:pPr>
      <w:bookmarkStart w:id="29" w:name="_Toc179280050"/>
      <w:bookmarkStart w:id="30" w:name="_Toc54643704"/>
      <w:r>
        <w:rPr/>
        <w:t>2.1.1. Требования к перечню и объему услуг</w:t>
      </w:r>
      <w:bookmarkEnd w:id="29"/>
      <w:bookmarkEnd w:id="30"/>
    </w:p>
    <w:p>
      <w:pPr>
        <w:pStyle w:val="Heading1"/>
        <w:numPr>
          <w:ilvl w:val="0"/>
        </w:numPr>
        <w:ind w:left="0" w:right="0" w:firstLine="709"/>
        <w:rPr>
          <w:sz w:val="24"/>
        </w:rPr>
      </w:pPr>
      <w:bookmarkStart w:id="31" w:name="_Toc54643705"/>
      <w:bookmarkStart w:id="32" w:name="_Toc179280051"/>
      <w:bookmarkStart w:id="33" w:name="_Toc51339695"/>
      <w:r>
        <w:rPr>
          <w:sz w:val="24"/>
        </w:rPr>
        <w:t xml:space="preserve">Таблица 2. Перечень </w:t>
      </w:r>
      <w:bookmarkEnd w:id="33"/>
      <w:r>
        <w:rPr>
          <w:sz w:val="24"/>
        </w:rPr>
        <w:t>и объем оказываемых услуг</w:t>
      </w:r>
      <w:bookmarkEnd w:id="31"/>
      <w:bookmarkEnd w:id="32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2913"/>
        <w:gridCol w:w="1346"/>
        <w:gridCol w:w="2961"/>
        <w:gridCol w:w="1859"/>
      </w:tblGrid>
      <w:tr>
        <w:trPr>
          <w:trHeight w:val="475" w:hRule="atLeast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ind w:left="742" w:right="0" w:hanging="70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Периодичность</w:t>
            </w:r>
          </w:p>
        </w:tc>
      </w:tr>
      <w:tr>
        <w:trPr>
          <w:trHeight w:val="250" w:hRule="atLeast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742" w:right="0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80" w:hRule="atLeast"/>
        </w:trPr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widowControl w:val="false"/>
              <w:numPr>
                <w:ilvl w:val="0"/>
              </w:numPr>
              <w:spacing w:before="120" w:after="60"/>
              <w:ind w:left="0" w:right="0" w:hanging="0"/>
              <w:jc w:val="left"/>
              <w:rPr/>
            </w:pPr>
            <w:r>
              <w:rPr>
                <w:b w:val="false"/>
              </w:rPr>
              <w:t>ОКПД2 81.22.11.000 Оказание услуг по мытью фасадов зданий по адресам: г. Владивосток, ул. Тигровая, д. 19, ул. Октябрьская, д. 8 включая:</w:t>
            </w:r>
          </w:p>
        </w:tc>
      </w:tr>
      <w:tr>
        <w:trPr>
          <w:trHeight w:val="80" w:hRule="atLeast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360" w:right="0" w:hanging="360"/>
              <w:rPr/>
            </w:pPr>
            <w:r>
              <w:rPr/>
            </w:r>
          </w:p>
        </w:tc>
        <w:tc>
          <w:tcPr>
            <w:tcW w:w="2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Мытье </w:t>
            </w:r>
            <w:r>
              <w:rPr>
                <w:iCs/>
                <w:sz w:val="24"/>
                <w:szCs w:val="24"/>
              </w:rPr>
              <w:t xml:space="preserve">части фасада по адресу г. Владивосток, </w:t>
              <w:br/>
              <w:t>ул. Октябрьская, д.8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кв.м.</w:t>
            </w:r>
          </w:p>
        </w:tc>
        <w:tc>
          <w:tcPr>
            <w:tcW w:w="2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3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80" w:hRule="atLeast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360" w:right="0" w:hanging="360"/>
              <w:rPr/>
            </w:pPr>
            <w:r>
              <w:rPr/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Мытье </w:t>
            </w:r>
            <w:r>
              <w:rPr>
                <w:iCs/>
                <w:sz w:val="24"/>
                <w:szCs w:val="24"/>
              </w:rPr>
              <w:t xml:space="preserve">части фасада по адресу г. Владивосток, </w:t>
              <w:br/>
            </w:r>
            <w:r>
              <w:rPr>
                <w:rFonts w:eastAsia="Calibri"/>
                <w:sz w:val="24"/>
                <w:szCs w:val="24"/>
              </w:rPr>
              <w:t>ул. Тигровая, д. 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кв.м.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2500,00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30" w:hanging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left="0" w:right="0"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0"/>
        </w:numPr>
        <w:ind w:left="0" w:right="0" w:firstLine="709"/>
        <w:rPr/>
      </w:pPr>
      <w:bookmarkStart w:id="34" w:name="_Toc54643706"/>
      <w:bookmarkStart w:id="35" w:name="_Toc179280052"/>
      <w:bookmarkStart w:id="36" w:name="_Toc51339696"/>
      <w:r>
        <w:rPr/>
        <w:t xml:space="preserve">2.1.2. Требования </w:t>
      </w:r>
      <w:bookmarkEnd w:id="36"/>
      <w:r>
        <w:rPr/>
        <w:t>к срокам оказания услуг</w:t>
      </w:r>
      <w:bookmarkEnd w:id="34"/>
      <w:bookmarkEnd w:id="35"/>
    </w:p>
    <w:p>
      <w:pPr>
        <w:pStyle w:val="Heading1"/>
        <w:numPr>
          <w:ilvl w:val="0"/>
        </w:numPr>
        <w:ind w:left="0" w:right="0" w:firstLine="709"/>
        <w:rPr>
          <w:sz w:val="24"/>
          <w:lang w:val="ru-RU"/>
        </w:rPr>
      </w:pPr>
      <w:bookmarkStart w:id="37" w:name="_Toc179280053"/>
      <w:bookmarkStart w:id="38" w:name="_Toc54643707"/>
      <w:bookmarkStart w:id="39" w:name="_Toc51339697"/>
      <w:bookmarkStart w:id="40" w:name="_Toc50125127"/>
      <w:bookmarkStart w:id="41" w:name="_Toc50125126_Копия_1"/>
      <w:bookmarkEnd w:id="41"/>
      <w:r>
        <w:rPr>
          <w:sz w:val="24"/>
        </w:rPr>
        <w:t xml:space="preserve">Таблица </w:t>
      </w:r>
      <w:r>
        <w:rPr>
          <w:sz w:val="24"/>
          <w:lang w:val="ru-RU"/>
        </w:rPr>
        <w:t>3</w:t>
      </w:r>
      <w:r>
        <w:rPr>
          <w:sz w:val="24"/>
        </w:rPr>
        <w:t xml:space="preserve">. </w:t>
      </w:r>
      <w:bookmarkStart w:id="42" w:name="_Hlk50465284"/>
      <w:r>
        <w:rPr>
          <w:sz w:val="24"/>
        </w:rPr>
        <w:t xml:space="preserve">Требования </w:t>
      </w:r>
      <w:r>
        <w:rPr>
          <w:sz w:val="24"/>
          <w:lang w:val="ru-RU"/>
        </w:rPr>
        <w:t>к</w:t>
      </w:r>
      <w:r>
        <w:rPr>
          <w:sz w:val="24"/>
        </w:rPr>
        <w:t xml:space="preserve"> срокам </w:t>
      </w:r>
      <w:bookmarkEnd w:id="39"/>
      <w:bookmarkEnd w:id="40"/>
      <w:bookmarkEnd w:id="42"/>
      <w:r>
        <w:rPr>
          <w:sz w:val="24"/>
          <w:lang w:val="ru-RU"/>
        </w:rPr>
        <w:t>оказания услуг</w:t>
      </w:r>
      <w:bookmarkEnd w:id="37"/>
      <w:bookmarkEnd w:id="38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3990"/>
        <w:gridCol w:w="1961"/>
        <w:gridCol w:w="3261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360" w:right="0" w:hanging="338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>
            <w:pPr>
              <w:pStyle w:val="ListParagraph"/>
              <w:widowControl w:val="false"/>
              <w:ind w:left="360" w:right="0" w:hanging="338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ОКПД2 81.22.11.000 Оказание услуг по мытью фасадов зданий по адресам: 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г. Владивосток, ул. Тигровая, д. 19, ул. Октябрьская, д. 8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10 (десяти) календарных дней </w:t>
            </w:r>
            <w:r>
              <w:rPr>
                <w:sz w:val="24"/>
                <w:szCs w:val="24"/>
              </w:rPr>
              <w:t>с даты подписания договора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134" w:right="851" w:gutter="0" w:header="680" w:top="1134" w:footer="737" w:bottom="992"/>
          <w:pgNumType w:start="1"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2"/>
        <w:numPr>
          <w:ilvl w:val="0"/>
        </w:numPr>
        <w:ind w:left="0" w:right="0" w:firstLine="709"/>
        <w:rPr/>
      </w:pPr>
      <w:bookmarkStart w:id="43" w:name="_Toc54643709"/>
      <w:bookmarkStart w:id="44" w:name="_Toc51339698"/>
      <w:bookmarkStart w:id="45" w:name="_Toc179280054"/>
      <w:bookmarkStart w:id="46" w:name="_Toc54643708"/>
      <w:bookmarkStart w:id="47" w:name="_Toc46743511"/>
      <w:r>
        <w:rPr/>
        <w:t xml:space="preserve">2.2. Требования к </w:t>
      </w:r>
      <w:bookmarkEnd w:id="47"/>
      <w:r>
        <w:rPr/>
        <w:t>качеству услуг</w:t>
      </w:r>
      <w:bookmarkEnd w:id="45"/>
      <w:bookmarkEnd w:id="46"/>
    </w:p>
    <w:p>
      <w:pPr>
        <w:pStyle w:val="Heading1"/>
        <w:numPr>
          <w:ilvl w:val="0"/>
        </w:numPr>
        <w:ind w:left="0" w:right="0" w:firstLine="709"/>
        <w:rPr>
          <w:sz w:val="24"/>
        </w:rPr>
      </w:pPr>
      <w:bookmarkStart w:id="48" w:name="_Toc179280055"/>
      <w:r>
        <w:rPr>
          <w:sz w:val="24"/>
        </w:rPr>
        <w:t xml:space="preserve">Таблица </w:t>
      </w:r>
      <w:r>
        <w:rPr>
          <w:sz w:val="24"/>
          <w:lang w:val="ru-RU"/>
        </w:rPr>
        <w:t>4</w:t>
      </w:r>
      <w:r>
        <w:rPr>
          <w:sz w:val="24"/>
        </w:rPr>
        <w:t xml:space="preserve">. Требования к </w:t>
      </w:r>
      <w:bookmarkEnd w:id="44"/>
      <w:r>
        <w:rPr>
          <w:sz w:val="24"/>
          <w:lang w:val="ru-RU"/>
        </w:rPr>
        <w:t>качеству услуг</w:t>
      </w:r>
      <w:bookmarkEnd w:id="43"/>
      <w:bookmarkEnd w:id="48"/>
      <w:r>
        <w:rPr>
          <w:sz w:val="24"/>
        </w:rPr>
        <w:t xml:space="preserve"> </w:t>
      </w:r>
    </w:p>
    <w:p>
      <w:pPr>
        <w:pStyle w:val="Normal"/>
        <w:rPr>
          <w:sz w:val="24"/>
          <w:lang w:eastAsia="x-none"/>
        </w:rPr>
      </w:pPr>
      <w:r>
        <w:rPr>
          <w:sz w:val="24"/>
          <w:lang w:eastAsia="x-none"/>
        </w:rPr>
        <w:t>Наименование услуг: ОКПД2 81.22.11.000 Оказание услуг по мытью фасадов зданий по адресам: г. Владивосток, ул. Тигровая, д. 19, ул. Октябрьская, д. 8</w:t>
      </w:r>
    </w:p>
    <w:tbl>
      <w:tblPr>
        <w:tblW w:w="1487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2897"/>
        <w:gridCol w:w="3254"/>
        <w:gridCol w:w="2516"/>
        <w:gridCol w:w="2785"/>
        <w:gridCol w:w="2608"/>
      </w:tblGrid>
      <w:tr>
        <w:trPr>
          <w:trHeight w:val="20" w:hRule="atLeast"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>
          <w:trHeight w:val="20" w:hRule="atLeast"/>
        </w:trPr>
        <w:tc>
          <w:tcPr>
            <w:tcW w:w="8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49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49"/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>
          <w:trHeight w:val="20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360" w:right="0" w:hanging="3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0" w:after="0"/>
              <w:ind w:left="-117" w:right="0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0" w:after="0"/>
              <w:ind w:left="1224" w:right="0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Общие технические условия для оказания услуг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Осуществляются в соответствии с </w:t>
              <w:br/>
              <w:t>ГОСТ Р 51870-2014 «Услуги профессиональной уборки – клининговые услуги»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-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>
          <w:trHeight w:val="20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1.1.2.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Обеспечение соблюдения техники безопасности при оказании услуг, требований к квалификации персонала.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соответствии со статьёй 214 Трудового Кодекса РФ, ЕТКС работ и рабочих профессий. Исполнитель обязан использовать труд обученного, опытного и квалифицированного персонала. Обязательно наличие у сотрудников Исполнителя действующего  удостоверения на выполнение работ на высоте.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-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>
          <w:trHeight w:val="20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0" w:after="0"/>
              <w:ind w:left="-117" w:right="0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0" w:after="0"/>
              <w:ind w:left="1224" w:right="0" w:hanging="1199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 к способам оказания услуг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Услуги должны оказываться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промышленными альпинистами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с необходимыми профессиональными знаниями и опытом работы, а также допусками, аттестациями и регулярным повышением квалификации.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-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>
          <w:trHeight w:val="20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0" w:after="0"/>
              <w:ind w:left="-117" w:right="0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0" w:after="0"/>
              <w:ind w:left="1224" w:right="0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1. Помывка светопрозрачных конструкций фасада включает в себя очистку от загрязнений всех наружных стеклянных поверхностей, мытье отливов. В процессе мойки использовать только специальное профессиональное оборудование, разработанное для мытья окон, которое исключает возможные механические повреждения оконного переплета и остекления.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2. При помывке светопрозрачных конструкций не должен быть поврежден фасад здания, светопрозрачные конструкции после мытья должны быть без разводов и грязи. Моющие средства должны быть полностью смыты.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3. Персонал Исполнителя обеспечивает поддержание чистоты на рабочих местах, своевременную уборку и вывоз отходов по окончании оказания услуг.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4. Исполнитель обеспечивает текущий контроль оказываемых услуг, включающий в себя надзор за правильностью и последовательностью выполнения отдельных технологических операций.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5. Отходы, образующиеся в результате деятельности Исполнителя, в том числе отходы, образующиеся в процессе административно-хозяйственной деятельности персонала Исполнителя на территории Объекта, являются собственностью Исполнителя. Деятельность по обращению с такими отходами, а также связанная с этим ответственность, является обязанностью Исполнителя.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по оказанию услуг, требования по организации оказания услуг: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1. Подготовку рабочих мест и допуск на рабочие места выполняет персонал Исполнителя.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Персонал Исполнителя самостоятельно подготавливает рабочие места: устанавливает и проверяет лестницы/автовышки/страховочные системы, ограждает зону работ, чтобы исключить падение людей или предметов. Исполнитель до начала оказания услуг проверяет исправность оборудования (моечных установок/шлангов/средств защиты, используемых при оказании услуг) и готовит необходимые для оказания услуг материалы и моющие средства.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Перед началом оказания услуг Исполнитель проводит инструктаж по охране труда своих работников., обеспечивает нужными средствами защиты (страховочные привязи, каски, перчатки, спецодежда и т.д.).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2. Исполнитель обеспечивает подготовку рабочей площадки, монтаж ограждения и т.д.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3. Исполнитель обеспечивает соблюдение требований охраны труда, промышленной, пожарной и экологической безопасности при оказании услуг, требований к квалификации персонала.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4. Основные федеральные законы, НТД определяющие требования к оказываемым услугам: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4.1. Федеральный закон № 7 от 10.01.2002 «Об охране окружающей среды»;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4.2. Федеральный закон № 89 от 24.06.1998 «Об отходах производства и потребления»;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4.3. Федеральный закон № 96 от 04.05.1999 «Об охране атмосферного воздуха»;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4.4. Федеральный закон № 52 от 30.03.1999 «О санитарно-эпидемиологическом благополучии населения»;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4.5. Водный кодекс Российской федерации от 03.06.2006 № 74;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4.6. Федеральный закон № 99 от 04.05.2011 «О лицензировании отдельных видов деятельности».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4.7. Постановление Главного государственного санитарного врача РФ от 28.01. 2021 № 3 «Об утверждении санитарных правил и норм СанПиН 2.1.3684-21».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5. Персонал Исполнителя обеспечивает поддержание чистоты в местах оказания услуг (на рабочих местах).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6. Исполнитель при оказании услуг обеспечивает соблюдение санитарных требований и требований в области охраны окружающей среды к обращению с отходами, установленных законодательством Российской Федерации.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Перечень этапов и видов услуг подлежащих приемке, должен быть согласован с Заказчиком.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материально-техническому оснащению: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Наличие у Исполнителя материально-технических ресурсов (материалы, механизмы, приспособления, специальный инструмент и т.д.), используемых при оказании услуг и принадлежащих ему на праве собственности или ином законном основании. Моющие средства, оборудование и инвентарь, санитарно-гигиенические материалы, используемые в процессе оказания услуг, должны соответствовать государственным стандартам Российской Федерации и иметь соответствующие сертификаты. Моющие и чистящие средства приобретаются за счет Исполнителя.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природоохранного законодательства: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При оказании услуг Исполнитель должен: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-Назначить ответственных лиц за соблюдение требований природоохранного законодательства при оказании услуг на территории Заказчика;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 Выполнять требования природоохранного законодательства в сфере обращения с отходами, соблюдать принцип раздельного складирования отходов в контейнеры по видам отходов.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 Не допускать складирование и временное накопление отходов на непредназначенной для этих целей территории.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 Соблюдать экологические требования в области обращения с отходами, отраженные в ст.51 Федерального закона от 10.1.2002 № 7 «Об охране окружающей среды», ст. 17, 18 Федерального закона от 04.05.1999 № 96 «Об охране атмосферного воздуха»;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- Соблюдать санитарные требования при обращении с отходами, установленные в ст. 22 Федерального закона от 30.03.1999 № 52-ФЗ «О санитарно-эпидемиологическом благополучии населения»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 СанПин 2.1.3684-21;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Качество оказываемых услуг должно соответствовать требованиям: - ГОСТ Р 51870-2014 «Услуги профессиональной уборки — клининговые услуги».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-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>
          <w:trHeight w:val="20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360" w:right="0" w:hanging="3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0" w:after="0"/>
              <w:ind w:left="-117" w:right="0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0" w:after="0"/>
              <w:ind w:left="1224" w:right="0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Услуги оказываются в таком объёме, который позволяет продолжать эксплуатацию объекта без закупки Заказчиком дополнительных объёмов каких-либо материалов, оборудования и услуг. Услуги считаются оказанными после приёмки услуг комиссией Заказчика, с оформлением отчётной документации со стороны Исполнителя.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После окончания оказания услуг Исполнитель обязан произвести уборку мест крепления страховочных строп и иных площадей, задействованных в процессе оказания услуг.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b w:val="false"/>
                <w:lang w:val="en-US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en-US" w:eastAsia="ru-RU" w:bidi="ar-SA"/>
              </w:rPr>
              <w:t>-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>
          <w:trHeight w:val="20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0" w:after="0"/>
              <w:ind w:left="-117" w:right="0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0" w:after="0"/>
              <w:ind w:left="1224" w:right="0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При оказании услуг Исполнитель должен обеспечить безопасность собственного персонала, жизни, здоровья потребителей услуг и сохранность их имущества, а также соблюдать санитарно-эпидемиологические нормы.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Химические средства (очищающие, чистящие, моющие, дезинфицирующие и т.п.), используемые при оказании услуг, должны иметь паспорт безопасности, оформленный в установленном в РФ порядке. Химические средства и материалы, входящие в перечень товаров, подлежащих обязательному подтверждению соответствия, должны иметь сертификат соответствия или декларацию о соответствии, а подлежащие государственной регистрации - свидетельства о регистрации.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en-US" w:eastAsia="ru-RU" w:bidi="ar-SA"/>
              </w:rPr>
              <w:t>-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>
          <w:trHeight w:val="20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0" w:after="0"/>
              <w:ind w:left="-117" w:right="0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0" w:after="0"/>
              <w:ind w:left="1224" w:right="0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По окончании оказания Услуг Исполнитель в течение 3 (трех) рабочих дней предоставляет Заказчику подписанный со своей стороны в 2 (двух) экземплярах 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УПД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-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>
          <w:trHeight w:val="20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360" w:right="0" w:hanging="3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0" w:after="0"/>
              <w:ind w:left="1224" w:right="0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 Правила по охране труда при работе с инструментом и приспособлениями (утв. приказом Минтруда России от 27.11.2020 № 835н)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 Правила противопожарного режима в Российской Федерации (утверждены Постановлением Правительства РФ от 16.09.2020 № 1479)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- Правила по охране труда при работе на высоте (утверждены приказом Минтруда РФ от 16.11.2020 </w:t>
              <w:br/>
              <w:t>№ 782н)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 Правила по охране труда при погрузочно-разгрузочных работах и размещении грузов (утв. приказом Минтруда России от 28.10.2020 № 753н)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uppressAutoHyphens w:val="true"/>
              <w:spacing w:before="0" w:after="0"/>
              <w:jc w:val="left"/>
              <w:rPr>
                <w:lang w:val="en-US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-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20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360" w:right="0" w:hanging="3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0" w:after="0"/>
              <w:ind w:left="1224" w:right="0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случае повреждения имущества Заказчика в ходе оказания услуг, Исполнитель устраняет возникшие повреждения за самостоятельно и за свой счет, в согласованные с Заказчиком сроки, но не позднее 15 календарных дней.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en-US" w:eastAsia="ru-RU" w:bidi="ar-SA"/>
              </w:rPr>
              <w:t>-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0" w:hanging="0"/>
              <w:jc w:val="left"/>
              <w:outlineLvl w:val="2"/>
              <w:rPr>
                <w:rFonts w:eastAsia="Times New Roman"/>
                <w:b w:val="false"/>
                <w:bCs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20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360" w:right="0" w:hanging="3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Прочие требования к оказанию услуг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0" w:after="0"/>
              <w:ind w:left="-117" w:right="0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bookmarkStart w:id="50" w:name="_Toc130372589"/>
            <w:bookmarkStart w:id="51" w:name="_Toc128734755"/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Услуги оказываются в рабочие дни. Устранять замечания в установленные Заказчиком сроки в рабочем порядке, в том числе в выходные и нерабочие праздничные дни</w:t>
            </w:r>
            <w:bookmarkEnd w:id="50"/>
            <w:bookmarkEnd w:id="51"/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по согласованию с Заказчиком.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bookmarkStart w:id="52" w:name="_Toc130372590"/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  <w:bookmarkEnd w:id="52"/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-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</w:tbl>
    <w:p>
      <w:pPr>
        <w:sectPr>
          <w:headerReference w:type="default" r:id="rId4"/>
          <w:headerReference w:type="first" r:id="rId5"/>
          <w:footerReference w:type="default" r:id="rId6"/>
          <w:footerReference w:type="first" r:id="rId7"/>
          <w:type w:val="nextPage"/>
          <w:pgSz w:orient="landscape" w:w="16838" w:h="11906"/>
          <w:pgMar w:left="992" w:right="567" w:gutter="0" w:header="680" w:top="851" w:footer="737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</w:numPr>
        <w:ind w:left="357" w:right="0" w:hanging="0"/>
        <w:jc w:val="center"/>
        <w:rPr>
          <w:rFonts w:ascii="Times New Roman" w:hAnsi="Times New Roman"/>
        </w:rPr>
      </w:pPr>
      <w:r>
        <w:rPr>
          <w:sz w:val="24"/>
          <w:szCs w:val="24"/>
          <w:lang w:val="ru-RU"/>
        </w:rPr>
        <w:t xml:space="preserve">3. </w:t>
      </w:r>
      <w:bookmarkStart w:id="53" w:name="_Toc146805893"/>
      <w:bookmarkStart w:id="54" w:name="_Toc53395937"/>
      <w:bookmarkStart w:id="55" w:name="_Toc53393312"/>
      <w:r>
        <w:rPr>
          <w:sz w:val="24"/>
          <w:szCs w:val="24"/>
          <w:lang w:val="ru-RU"/>
        </w:rPr>
        <w:t xml:space="preserve">Требования к </w:t>
      </w:r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ru-RU" w:eastAsia="x-none" w:bidi="ar-SA"/>
        </w:rPr>
        <w:t>документации</w:t>
      </w:r>
      <w:r>
        <w:rPr>
          <w:sz w:val="24"/>
          <w:szCs w:val="24"/>
          <w:lang w:val="ru-RU"/>
        </w:rPr>
        <w:t xml:space="preserve"> по ценообразованию</w:t>
      </w:r>
      <w:bookmarkEnd w:id="54"/>
      <w:bookmarkEnd w:id="55"/>
      <w:r>
        <w:rPr>
          <w:sz w:val="24"/>
          <w:szCs w:val="24"/>
          <w:lang w:val="ru-RU"/>
        </w:rPr>
        <w:t xml:space="preserve"> на этапе закупки</w:t>
      </w:r>
      <w:bookmarkEnd w:id="53"/>
    </w:p>
    <w:p>
      <w:pPr>
        <w:pStyle w:val="Normal"/>
        <w:widowControl/>
        <w:suppressAutoHyphens w:val="true"/>
        <w:bidi w:val="0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3.1 В обоснование стоимости своей заявки Участник предоставляет Коммерческое предложение, по установленным в Документации о закупке формам (с учетом прилагаемых к ним инструкций по заполнению).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sz w:val="24"/>
          <w:szCs w:val="24"/>
        </w:rPr>
        <w:t>3.2 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договора.</w:t>
      </w:r>
    </w:p>
    <w:p>
      <w:pPr>
        <w:pStyle w:val="Normal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keepLines/>
        <w:numPr>
          <w:ilvl w:val="0"/>
        </w:numPr>
        <w:ind w:left="357" w:right="0" w:hanging="0"/>
        <w:jc w:val="center"/>
        <w:rPr>
          <w:rFonts w:ascii="Times New Roman" w:hAnsi="Times New Roman"/>
        </w:rPr>
      </w:pPr>
      <w:r>
        <w:rPr>
          <w:sz w:val="24"/>
          <w:szCs w:val="24"/>
          <w:lang w:val="ru-RU"/>
        </w:rPr>
        <w:t>4. Т</w:t>
      </w:r>
      <w:bookmarkStart w:id="56" w:name="_Toc51339699_Копия_1_Копия_1"/>
      <w:bookmarkStart w:id="57" w:name="_Toc46743519_Копия_1_Копия_1"/>
      <w:bookmarkStart w:id="58" w:name="_Toc146805896"/>
      <w:bookmarkStart w:id="59" w:name="_Toc54281228"/>
      <w:r>
        <w:rPr>
          <w:sz w:val="24"/>
          <w:szCs w:val="24"/>
          <w:lang w:val="ru-RU"/>
        </w:rPr>
        <w:t>ребования к документации по ценообразованию на этапе заключения (исполнения) договора</w:t>
      </w:r>
      <w:bookmarkEnd w:id="56"/>
      <w:bookmarkEnd w:id="57"/>
      <w:bookmarkEnd w:id="58"/>
      <w:bookmarkEnd w:id="59"/>
    </w:p>
    <w:p>
      <w:pPr>
        <w:pStyle w:val="Heading1"/>
        <w:keepNext w:val="true"/>
        <w:widowControl/>
        <w:numPr>
          <w:ilvl w:val="0"/>
        </w:numPr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eastAsia="Times New Roman"/>
          <w:b w:val="false"/>
          <w:sz w:val="24"/>
          <w:szCs w:val="24"/>
          <w:lang w:val="ru-RU" w:eastAsia="ru-RU"/>
        </w:rPr>
        <w:t>4.1 По результатам настоящей закупки заключается договор с предельной ценой, предложенной Участником закупки, который был признан Победителем, заявка которого соответствовала требованиям ТТ и содержала наиболее низкую цену договора.</w:t>
      </w:r>
    </w:p>
    <w:p>
      <w:pPr>
        <w:pStyle w:val="Normal"/>
        <w:ind w:left="0" w:right="0" w:firstLine="709"/>
        <w:jc w:val="both"/>
        <w:rPr>
          <w:sz w:val="24"/>
          <w:lang w:val="ru-RU"/>
        </w:rPr>
      </w:pPr>
      <w:r>
        <w:rPr>
          <w:sz w:val="24"/>
          <w:lang w:val="ru-RU"/>
        </w:rPr>
      </w:r>
      <w:bookmarkStart w:id="60" w:name="_Toc51339699_Копия_1"/>
      <w:bookmarkStart w:id="61" w:name="_Toc46743519_Копия_1"/>
      <w:bookmarkStart w:id="62" w:name="_Toc51339699_Копия_1"/>
      <w:bookmarkStart w:id="63" w:name="_Toc46743519_Копия_1"/>
      <w:bookmarkEnd w:id="62"/>
      <w:bookmarkEnd w:id="63"/>
    </w:p>
    <w:p>
      <w:pPr>
        <w:pStyle w:val="Normal"/>
        <w:rPr/>
      </w:pPr>
      <w:r>
        <w:rPr/>
      </w:r>
    </w:p>
    <w:sectPr>
      <w:headerReference w:type="default" r:id="rId8"/>
      <w:headerReference w:type="first" r:id="rId9"/>
      <w:footerReference w:type="default" r:id="rId10"/>
      <w:footerReference w:type="first" r:id="rId11"/>
      <w:type w:val="nextPage"/>
      <w:pgSz w:w="11906" w:h="16838"/>
      <w:pgMar w:left="1134" w:right="851" w:gutter="0" w:header="680" w:top="1134" w:footer="737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pPr>
      <w:numPr>
        <w:ilvl w:val="0"/>
        <w:numId w:val="0"/>
      </w:numPr>
      <w:ind w:left="0" w:right="0" w:firstLine="709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numPr>
        <w:ilvl w:val="0"/>
        <w:numId w:val="0"/>
      </w:numPr>
      <w:ind w:left="0" w:right="0" w:firstLine="709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numPr>
        <w:ilvl w:val="0"/>
        <w:numId w:val="0"/>
      </w:numPr>
      <w:spacing w:before="120" w:after="60"/>
      <w:ind w:left="0" w:right="0" w:firstLine="709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numPr>
        <w:ilvl w:val="0"/>
        <w:numId w:val="0"/>
      </w:numPr>
      <w:ind w:left="0" w:right="0" w:firstLine="709"/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numPr>
        <w:ilvl w:val="0"/>
        <w:numId w:val="0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numPr>
        <w:ilvl w:val="0"/>
        <w:numId w:val="0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>
    <w:name w:val="Default Paragraph Font"/>
    <w:qFormat/>
    <w:rPr/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>
    <w:name w:val="Заголовок 3 Знак"/>
    <w:qFormat/>
    <w:rPr>
      <w:rFonts w:eastAsia="Calibri"/>
      <w:b/>
      <w:sz w:val="24"/>
      <w:szCs w:val="24"/>
      <w:lang w:val="x-none" w:eastAsia="x-none"/>
    </w:rPr>
  </w:style>
  <w:style w:type="character" w:styleId="4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Style1">
    <w:name w:val="Название Знак"/>
    <w:link w:val="14"/>
    <w:qFormat/>
    <w:rPr>
      <w:sz w:val="28"/>
    </w:rPr>
  </w:style>
  <w:style w:type="character" w:styleId="Style2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3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1">
    <w:name w:val="Подпункт Знак1"/>
    <w:link w:val="Style23"/>
    <w:qFormat/>
    <w:rPr>
      <w:sz w:val="28"/>
    </w:rPr>
  </w:style>
  <w:style w:type="character" w:styleId="Style5">
    <w:name w:val="Текст сноски Знак"/>
    <w:qFormat/>
    <w:rPr/>
  </w:style>
  <w:style w:type="character" w:styleId="Style6">
    <w:name w:val="Основной текст Знак"/>
    <w:qFormat/>
    <w:rPr>
      <w:sz w:val="28"/>
      <w:szCs w:val="28"/>
    </w:rPr>
  </w:style>
  <w:style w:type="character" w:styleId="Blk">
    <w:name w:val="blk"/>
    <w:qFormat/>
    <w:rPr/>
  </w:style>
  <w:style w:type="character" w:styleId="Style7">
    <w:name w:val="Абзац списка Знак"/>
    <w:link w:val="ListParagraph"/>
    <w:qFormat/>
    <w:rPr>
      <w:rFonts w:eastAsia="Calibri"/>
      <w:sz w:val="24"/>
      <w:szCs w:val="24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Подподпункт Знак"/>
    <w:link w:val="Style31"/>
    <w:qFormat/>
    <w:rPr>
      <w:sz w:val="26"/>
      <w:szCs w:val="26"/>
    </w:rPr>
  </w:style>
  <w:style w:type="character" w:styleId="31">
    <w:name w:val="УРОВЕНЬ_Абзац_тип3 Знак"/>
    <w:link w:val="35"/>
    <w:qFormat/>
    <w:rPr>
      <w:rFonts w:eastAsia="Calibri"/>
      <w:sz w:val="26"/>
      <w:szCs w:val="28"/>
      <w:lang w:eastAsia="en-US"/>
    </w:rPr>
  </w:style>
  <w:style w:type="character" w:styleId="Style10">
    <w:name w:val="Верхний колонтитул Знак"/>
    <w:qFormat/>
    <w:rPr>
      <w:sz w:val="24"/>
      <w:szCs w:val="24"/>
    </w:rPr>
  </w:style>
  <w:style w:type="character" w:styleId="Style11">
    <w:name w:val="Текст примечания Знак"/>
    <w:link w:val="Annotationtext"/>
    <w:qFormat/>
    <w:rPr/>
  </w:style>
  <w:style w:type="character" w:styleId="Style12">
    <w:name w:val="Текст концевой сноски Знак"/>
    <w:basedOn w:val="DefaultParagraphFont"/>
    <w:qFormat/>
    <w:rPr/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>
    <w:name w:val="Пункт2 Знак"/>
    <w:link w:val="24"/>
    <w:qFormat/>
    <w:rPr>
      <w:b/>
      <w:sz w:val="28"/>
    </w:rPr>
  </w:style>
  <w:style w:type="character" w:styleId="12">
    <w:name w:val="УРОВЕНЬ_1. Знак"/>
    <w:link w:val="18"/>
    <w:qFormat/>
    <w:rPr>
      <w:rFonts w:eastAsia="Calibri"/>
      <w:caps/>
      <w:sz w:val="28"/>
      <w:szCs w:val="28"/>
      <w:lang w:eastAsia="en-US"/>
    </w:rPr>
  </w:style>
  <w:style w:type="character" w:styleId="Style14">
    <w:name w:val="Нижний колонтитул Знак"/>
    <w:basedOn w:val="DefaultParagraphFont"/>
    <w:qFormat/>
    <w:rPr>
      <w:sz w:val="28"/>
      <w:szCs w:val="28"/>
    </w:rPr>
  </w:style>
  <w:style w:type="character" w:styleId="Style15">
    <w:name w:val="Ссылка указателя"/>
    <w:qFormat/>
    <w:rPr/>
  </w:style>
  <w:style w:type="character" w:styleId="Style16">
    <w:name w:val="Символ нумерации"/>
    <w:qFormat/>
    <w:rPr/>
  </w:style>
  <w:style w:type="character" w:styleId="Linenumber1">
    <w:name w:val="line number1"/>
    <w:qFormat/>
    <w:rPr/>
  </w:style>
  <w:style w:type="character" w:styleId="LineNumber">
    <w:name w:val="Line Number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widowControl w:val="false"/>
      <w:spacing w:before="0" w:after="120"/>
      <w:jc w:val="center"/>
      <w:textAlignment w:val="baseline"/>
    </w:pPr>
    <w:rPr>
      <w:b/>
      <w:bCs/>
      <w:sz w:val="32"/>
      <w:szCs w:val="20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9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20">
    <w:name w:val="Раздел положения"/>
    <w:basedOn w:val="Normal"/>
    <w:autoRedefine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>
    <w:name w:val="Подраздел раздела положения"/>
    <w:basedOn w:val="Normal"/>
    <w:autoRedefine/>
    <w:qFormat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pPr/>
    <w:rPr>
      <w:sz w:val="20"/>
      <w:szCs w:val="20"/>
    </w:rPr>
  </w:style>
  <w:style w:type="paragraph" w:styleId="13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>
    <w:name w:val="Название1"/>
    <w:basedOn w:val="Normal"/>
    <w:link w:val="Style1"/>
    <w:qFormat/>
    <w:pPr>
      <w:jc w:val="center"/>
    </w:pPr>
    <w:rPr>
      <w:szCs w:val="20"/>
      <w:lang w:val="x-none" w:eastAsia="x-none"/>
    </w:rPr>
  </w:style>
  <w:style w:type="paragraph" w:styleId="Style22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right="0" w:hanging="0"/>
    </w:pPr>
    <w:rPr>
      <w:sz w:val="24"/>
      <w:szCs w:val="24"/>
    </w:rPr>
  </w:style>
  <w:style w:type="paragraph" w:styleId="Footer">
    <w:name w:val="Footer"/>
    <w:basedOn w:val="Normal"/>
    <w:link w:val="Style1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right="0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>
    <w:name w:val="Подпункт"/>
    <w:basedOn w:val="Normal"/>
    <w:link w:val="11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right="0" w:hanging="1134"/>
      <w:jc w:val="both"/>
    </w:pPr>
    <w:rPr>
      <w:szCs w:val="20"/>
      <w:lang w:val="x-none" w:eastAsia="x-none"/>
    </w:rPr>
  </w:style>
  <w:style w:type="paragraph" w:styleId="24">
    <w:name w:val="Пункт2"/>
    <w:basedOn w:val="Normal"/>
    <w:link w:val="22"/>
    <w:qFormat/>
    <w:pPr>
      <w:keepNext w:val="true"/>
      <w:numPr>
        <w:ilvl w:val="0"/>
        <w:numId w:val="0"/>
      </w:numPr>
      <w:tabs>
        <w:tab w:val="clear" w:pos="708"/>
        <w:tab w:val="left" w:pos="1134" w:leader="none"/>
      </w:tabs>
      <w:snapToGrid w:val="false"/>
      <w:spacing w:before="240" w:after="120"/>
      <w:ind w:left="1134" w:right="0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tabs>
        <w:tab w:val="clear" w:pos="708"/>
        <w:tab w:val="left" w:pos="1120" w:leader="none"/>
        <w:tab w:val="right" w:pos="9911" w:leader="dot"/>
      </w:tabs>
      <w:ind w:left="280" w:right="0" w:hanging="0"/>
    </w:pPr>
    <w:rPr>
      <w:rFonts w:cs="Calibri"/>
      <w:sz w:val="20"/>
      <w:szCs w:val="20"/>
    </w:rPr>
  </w:style>
  <w:style w:type="paragraph" w:styleId="Style24">
    <w:name w:val="Раздел регламента"/>
    <w:basedOn w:val="Normal"/>
    <w:qFormat/>
    <w:pPr/>
    <w:rPr/>
  </w:style>
  <w:style w:type="paragraph" w:styleId="Style25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5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left="1960" w:right="0" w:hanging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840" w:right="0" w:hanging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autoRedefine/>
    <w:pPr>
      <w:tabs>
        <w:tab w:val="clear" w:pos="708"/>
        <w:tab w:val="left" w:pos="1120" w:leader="none"/>
        <w:tab w:val="right" w:pos="9911" w:leader="none"/>
      </w:tabs>
      <w:ind w:left="560" w:right="0" w:hanging="0"/>
    </w:pPr>
    <w:rPr>
      <w:rFonts w:cs="Calibri"/>
      <w:sz w:val="20"/>
      <w:szCs w:val="20"/>
    </w:rPr>
  </w:style>
  <w:style w:type="paragraph" w:styleId="25">
    <w:name w:val="Раздел положения 2"/>
    <w:basedOn w:val="Normal"/>
    <w:qFormat/>
    <w:pPr>
      <w:pageBreakBefore/>
      <w:numPr>
        <w:ilvl w:val="0"/>
        <w:numId w:val="0"/>
      </w:numPr>
      <w:jc w:val="both"/>
      <w:outlineLvl w:val="0"/>
    </w:pPr>
    <w:rPr>
      <w:b/>
    </w:rPr>
  </w:style>
  <w:style w:type="paragraph" w:styleId="Style26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Caption11">
    <w:name w:val="caption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qFormat/>
    <w:pPr>
      <w:numPr>
        <w:ilvl w:val="0"/>
        <w:numId w:val="0"/>
      </w:numPr>
      <w:ind w:left="1066" w:right="0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spacing w:before="0" w:after="0"/>
      <w:ind w:left="720" w:right="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qFormat/>
    <w:pPr/>
    <w:rPr>
      <w:rFonts w:eastAsia="Calibri"/>
      <w:sz w:val="24"/>
      <w:szCs w:val="24"/>
      <w:lang w:val="x-none" w:eastAsia="x-none"/>
    </w:rPr>
  </w:style>
  <w:style w:type="paragraph" w:styleId="Style27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>
    <w:name w:val="Маркированный список 41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>
    <w:name w:val="Абзац списка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>
    <w:name w:val="Подподпункт"/>
    <w:basedOn w:val="Style23"/>
    <w:link w:val="Style9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right="0" w:hanging="567"/>
    </w:pPr>
    <w:rPr>
      <w:sz w:val="26"/>
      <w:szCs w:val="26"/>
      <w:lang w:val="ru-RU" w:eastAsia="ru-RU"/>
    </w:rPr>
  </w:style>
  <w:style w:type="paragraph" w:styleId="Style32">
    <w:name w:val="УРОВЕНЬ_(а)"/>
    <w:basedOn w:val="ListParagraph"/>
    <w:qFormat/>
    <w:pPr>
      <w:numPr>
        <w:ilvl w:val="3"/>
        <w:numId w:val="3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>
    <w:name w:val="УРОВЕНЬ_-"/>
    <w:basedOn w:val="ListParagraph"/>
    <w:qFormat/>
    <w:pPr>
      <w:numPr>
        <w:ilvl w:val="4"/>
        <w:numId w:val="3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>
    <w:name w:val="УРОВЕНЬ_Абзац_тип2"/>
    <w:basedOn w:val="ListParagraph"/>
    <w:qFormat/>
    <w:pPr>
      <w:numPr>
        <w:ilvl w:val="6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>
    <w:name w:val="УРОВЕНЬ_Абзац_тип3"/>
    <w:basedOn w:val="ListParagraph"/>
    <w:link w:val="31"/>
    <w:qFormat/>
    <w:pPr>
      <w:numPr>
        <w:ilvl w:val="7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>
    <w:name w:val="УРОВЕНЬ_Подпись"/>
    <w:basedOn w:val="ListParagraph"/>
    <w:qFormat/>
    <w:pPr>
      <w:keepNext w:val="true"/>
      <w:numPr>
        <w:ilvl w:val="5"/>
        <w:numId w:val="3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>
    <w:name w:val="Стиль Заголовок 1 + по ширине"/>
    <w:basedOn w:val="Heading1"/>
    <w:qFormat/>
    <w:pPr>
      <w:keepLines/>
      <w:tabs>
        <w:tab w:val="clear" w:pos="708"/>
        <w:tab w:val="left" w:pos="567" w:leader="none"/>
      </w:tabs>
      <w:spacing w:before="480" w:after="240"/>
      <w:ind w:left="567" w:right="0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pPr/>
    <w:rPr>
      <w:sz w:val="20"/>
      <w:szCs w:val="20"/>
    </w:rPr>
  </w:style>
  <w:style w:type="paragraph" w:styleId="28">
    <w:name w:val="Заголовок 2 КВВ"/>
    <w:basedOn w:val="Normal"/>
    <w:qFormat/>
    <w:pPr>
      <w:keepNext w:val="true"/>
      <w:numPr>
        <w:ilvl w:val="0"/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8">
    <w:name w:val="УРОВЕНЬ_1."/>
    <w:basedOn w:val="ListParagraph"/>
    <w:link w:val="12"/>
    <w:qFormat/>
    <w:pPr>
      <w:keepNext w:val="true"/>
      <w:keepLines/>
      <w:numPr>
        <w:ilvl w:val="0"/>
        <w:numId w:val="0"/>
      </w:numPr>
      <w:spacing w:lineRule="auto" w:line="276" w:before="240" w:after="120"/>
      <w:ind w:left="0" w:righ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right="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00" w:right="0" w:hanging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 w:right="0" w:hanging="0"/>
    </w:pPr>
    <w:rPr>
      <w:rFonts w:ascii="Calibri" w:hAnsi="Calibri" w:cs="Calibri"/>
      <w:sz w:val="20"/>
      <w:szCs w:val="20"/>
    </w:rPr>
  </w:style>
  <w:style w:type="paragraph" w:styleId="Style35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suppressLineNumbers/>
      <w:jc w:val="center"/>
    </w:pPr>
    <w:rPr>
      <w:b/>
      <w:bCs/>
    </w:rPr>
  </w:style>
  <w:style w:type="numbering" w:styleId="19">
    <w:name w:val="Стиль1"/>
    <w:qFormat/>
  </w:style>
  <w:style w:type="numbering" w:styleId="29">
    <w:name w:val="Стиль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Application>AlterOffice/3.4.0.9$Linux_X86_64 LibreOffice_project/b8daf9e823b1a5463a2f48435ddc2e8696e7d4fc</Application>
  <AppVersion>15.0000</AppVersion>
  <Pages>13</Pages>
  <Words>2199</Words>
  <Characters>14505</Characters>
  <CharactersWithSpaces>16456</CharactersWithSpaces>
  <Paragraphs>292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2024-07-16T15:21:00Z</dcterms:created>
  <dc:creator>Быстров Олег Геннадьевич</dc:creator>
  <dc:description/>
  <dc:language>ru-RU</dc:language>
  <cp:lastModifiedBy>streletsva@corp.gidroogk.com</cp:lastModifiedBy>
  <cp:lastPrinted>2006-07-26T14:04:00Z</cp:lastPrinted>
  <dcterms:modified xsi:type="dcterms:W3CDTF">2026-08-17T13:46:41Z</dcterms:modified>
  <cp:revision>37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