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962" w:hanging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Приложение №1 Документации о закупке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1"/>
      <w:bookmarkStart w:id="1" w:name="_Toc1416967041"/>
      <w:bookmarkStart w:id="2" w:name="_Toc1398562871"/>
      <w:bookmarkStart w:id="3" w:name="_Toc1375545841"/>
      <w:bookmarkStart w:id="4" w:name="_Toc1416967041"/>
      <w:bookmarkStart w:id="5" w:name="_Toc1398562871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eastAsia="Calibri"/>
          <w:b/>
          <w:sz w:val="26"/>
          <w:szCs w:val="26"/>
        </w:rPr>
        <w:t>Лот № 2022-ЭКСП ДОХ-2027-ТК-КФ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  <w:shd w:fill="FFFF00" w:val="clear"/>
        </w:rPr>
      </w:pPr>
      <w:r>
        <w:rPr>
          <w:rFonts w:eastAsia="Calibri"/>
          <w:b/>
          <w:sz w:val="26"/>
          <w:szCs w:val="26"/>
          <w:shd w:fill="FFFF00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0893052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0893052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0893052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08930528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/>
            <w:t xml:space="preserve">1.4. Существующее положение </w:t>
          </w:r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_Toc208930530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3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08930532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8930533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_Toc208930534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08930551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208930553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5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_Toc208930554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6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_Toc208930564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08930565">
            <w:r>
              <w:rPr>
                <w:webHidden/>
                <w:rStyle w:val="Style14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1</w:t>
            </w:r>
          </w:hyperlink>
          <w:r>
            <w:rPr/>
            <w:t>7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10194" w:leader="dot"/>
        </w:tabs>
        <w:rPr/>
      </w:pPr>
      <w:r>
        <w:rPr/>
      </w:r>
    </w:p>
    <w:p>
      <w:pPr>
        <w:pStyle w:val="TOC1"/>
        <w:tabs>
          <w:tab w:val="clear" w:pos="708"/>
          <w:tab w:val="right" w:pos="10204" w:leader="dot"/>
        </w:tabs>
        <w:rPr/>
      </w:pPr>
      <w:r>
        <w:rPr/>
      </w:r>
    </w:p>
    <w:p>
      <w:pPr>
        <w:pStyle w:val="TOC1"/>
        <w:tabs>
          <w:tab w:val="clear" w:pos="708"/>
          <w:tab w:val="right" w:pos="10204" w:leader="dot"/>
        </w:tabs>
        <w:rPr/>
      </w:pPr>
      <w:r>
        <w:rPr/>
      </w:r>
    </w:p>
    <w:p>
      <w:pPr>
        <w:pStyle w:val="TOC1"/>
        <w:tabs>
          <w:tab w:val="clear" w:pos="708"/>
          <w:tab w:val="left" w:pos="560" w:leader="none"/>
          <w:tab w:val="right" w:pos="10194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10194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10194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6" w:name="_Toc152142163"/>
      <w:bookmarkStart w:id="7" w:name="_Toc208930524"/>
      <w:r>
        <w:rPr>
          <w:lang w:val="ru-RU"/>
        </w:rPr>
        <w:t>Общие сведения</w:t>
      </w:r>
      <w:bookmarkEnd w:id="6"/>
      <w:bookmarkEnd w:id="7"/>
    </w:p>
    <w:p>
      <w:pPr>
        <w:pStyle w:val="Heading4"/>
        <w:numPr>
          <w:ilvl w:val="1"/>
          <w:numId w:val="3"/>
        </w:numPr>
        <w:ind w:left="1141" w:hanging="432"/>
        <w:rPr/>
      </w:pPr>
      <w:bookmarkStart w:id="8" w:name="_Toc46743505"/>
      <w:bookmarkStart w:id="9" w:name="_Toc208930525"/>
      <w:bookmarkStart w:id="10" w:name="_Toc152142164"/>
      <w:bookmarkStart w:id="11" w:name="_Toc130396882"/>
      <w:r>
        <w:rPr/>
        <w:t>Обозначения и сокращения</w:t>
      </w:r>
      <w:bookmarkEnd w:id="8"/>
      <w:bookmarkEnd w:id="9"/>
      <w:bookmarkEnd w:id="10"/>
      <w:bookmarkEnd w:id="11"/>
    </w:p>
    <w:p>
      <w:pPr>
        <w:pStyle w:val="Normal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Транспортное средство, специализированная и грузовая техника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КМУ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Краново-манипуляторная установка</w:t>
            </w:r>
          </w:p>
        </w:tc>
      </w:tr>
    </w:tbl>
    <w:p>
      <w:pPr>
        <w:pStyle w:val="Heading4"/>
        <w:numPr>
          <w:ilvl w:val="1"/>
          <w:numId w:val="3"/>
        </w:numPr>
        <w:ind w:left="1141" w:hanging="432"/>
        <w:rPr/>
      </w:pPr>
      <w:bookmarkStart w:id="12" w:name="_Toc130396883"/>
      <w:bookmarkStart w:id="13" w:name="_Toc152142165"/>
      <w:bookmarkStart w:id="14" w:name="_Toc46743506"/>
      <w:bookmarkStart w:id="15" w:name="_Toc208930526"/>
      <w:r>
        <w:rPr/>
        <w:t>Наименование закупаемой продукции</w:t>
      </w:r>
      <w:bookmarkEnd w:id="12"/>
      <w:bookmarkEnd w:id="13"/>
      <w:bookmarkEnd w:id="14"/>
      <w:bookmarkEnd w:id="15"/>
    </w:p>
    <w:p>
      <w:pPr>
        <w:pStyle w:val="Heading4"/>
        <w:tabs>
          <w:tab w:val="clear" w:pos="0"/>
        </w:tabs>
        <w:ind w:left="0" w:firstLine="426"/>
        <w:jc w:val="both"/>
        <w:rPr/>
      </w:pPr>
      <w:bookmarkStart w:id="16" w:name="__RefHeading___Toc5465_3158630832"/>
      <w:bookmarkStart w:id="17" w:name="_Toc152142167"/>
      <w:bookmarkStart w:id="18" w:name="_Toc130396884"/>
      <w:bookmarkEnd w:id="16"/>
      <w:r>
        <w:rPr>
          <w:rFonts w:eastAsia="Times New Roman"/>
          <w:b w:val="false"/>
          <w:bCs w:val="false"/>
          <w:lang w:val="ru-RU" w:eastAsia="ru-RU"/>
        </w:rPr>
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</w:t>
      </w:r>
    </w:p>
    <w:p>
      <w:pPr>
        <w:pStyle w:val="Heading4"/>
        <w:numPr>
          <w:ilvl w:val="1"/>
          <w:numId w:val="3"/>
        </w:numPr>
        <w:rPr/>
      </w:pPr>
      <w:bookmarkStart w:id="19" w:name="_Toc208930528"/>
      <w:bookmarkStart w:id="20" w:name="_Toc46743507"/>
      <w:r>
        <w:rPr/>
        <w:t xml:space="preserve">Цель </w:t>
      </w:r>
      <w:bookmarkEnd w:id="20"/>
      <w:r>
        <w:rPr/>
        <w:t>оказания услуг</w:t>
      </w:r>
      <w:bookmarkEnd w:id="17"/>
      <w:bookmarkEnd w:id="18"/>
      <w:bookmarkEnd w:id="19"/>
      <w:r>
        <w:rPr/>
        <w:t xml:space="preserve"> </w:t>
      </w:r>
    </w:p>
    <w:p>
      <w:pPr>
        <w:pStyle w:val="Heading4"/>
        <w:widowControl w:val="false"/>
        <w:tabs>
          <w:tab w:val="clear" w:pos="0"/>
        </w:tabs>
        <w:spacing w:before="120" w:after="240"/>
        <w:ind w:left="0" w:firstLine="426"/>
        <w:jc w:val="both"/>
        <w:rPr/>
      </w:pPr>
      <w:bookmarkStart w:id="21" w:name="__RefHeading___Toc5469_3158630832"/>
      <w:bookmarkStart w:id="22" w:name="_Toc208930529"/>
      <w:bookmarkStart w:id="23" w:name="_Toc149740343"/>
      <w:bookmarkStart w:id="24" w:name="_Toc152142168"/>
      <w:bookmarkStart w:id="25" w:name="_Toc130396885"/>
      <w:bookmarkEnd w:id="21"/>
      <w:r>
        <w:rPr>
          <w:b w:val="false"/>
          <w:lang w:val="ru-RU"/>
        </w:rPr>
        <w:t xml:space="preserve">Заключение договора на </w:t>
      </w:r>
      <w:bookmarkStart w:id="26" w:name="_Toc46743508"/>
      <w:bookmarkEnd w:id="25"/>
      <w:r>
        <w:rPr>
          <w:b w:val="false"/>
          <w:lang w:val="ru-RU"/>
        </w:rPr>
        <w:t>аренду специализированной строительной техники с экипажем в рамках реализации доходных договоров Камчатского филиала АО «ТК РусГидро».</w:t>
      </w:r>
      <w:bookmarkEnd w:id="22"/>
      <w:bookmarkEnd w:id="23"/>
      <w:bookmarkEnd w:id="24"/>
    </w:p>
    <w:p>
      <w:pPr>
        <w:pStyle w:val="Normal"/>
        <w:widowControl w:val="false"/>
        <w:spacing w:before="120" w:after="240"/>
        <w:ind w:firstLine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1.4. Существующее положение</w:t>
      </w:r>
    </w:p>
    <w:p>
      <w:pPr>
        <w:pStyle w:val="Normal"/>
        <w:widowControl w:val="false"/>
        <w:spacing w:before="120" w:after="24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Закупка проводится с целью исполнения обязательств Камчатского филиала АО «ТК РусГидро» перед ПАО «Камчатскэнерго».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27" w:name="_Toc208930530"/>
      <w:bookmarkStart w:id="28" w:name="_Toc152142169"/>
      <w:bookmarkEnd w:id="2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7"/>
      <w:bookmarkEnd w:id="28"/>
    </w:p>
    <w:tbl>
      <w:tblPr>
        <w:tblW w:w="1017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92"/>
        <w:gridCol w:w="2575"/>
        <w:gridCol w:w="4111"/>
        <w:gridCol w:w="2494"/>
      </w:tblGrid>
      <w:tr>
        <w:trPr>
          <w:trHeight w:val="678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</w:t>
            </w:r>
          </w:p>
        </w:tc>
      </w:tr>
      <w:tr>
        <w:trPr>
          <w:trHeight w:val="222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55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ПАО «Камчатскэнерго»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Петропавловск-Камчатский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---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ПАО «Камчатскэнерго»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Вилючинск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---</w:t>
            </w:r>
          </w:p>
        </w:tc>
      </w:tr>
      <w:tr>
        <w:trPr>
          <w:trHeight w:val="339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ПАО «Камчатскэнерго»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Населённые пункты Елизовского района Камчатского края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---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9" w:name="_Toc208930531"/>
      <w:bookmarkStart w:id="30" w:name="_Toc51339693"/>
      <w:bookmarkStart w:id="31" w:name="_Toc15214217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9"/>
      <w:bookmarkEnd w:id="30"/>
      <w:bookmarkEnd w:id="31"/>
    </w:p>
    <w:p>
      <w:pPr>
        <w:pStyle w:val="Heading4"/>
        <w:numPr>
          <w:ilvl w:val="1"/>
          <w:numId w:val="3"/>
        </w:numPr>
        <w:ind w:left="1141" w:hanging="432"/>
        <w:rPr/>
      </w:pPr>
      <w:bookmarkStart w:id="32" w:name="_Toc208930532"/>
      <w:bookmarkStart w:id="33" w:name="_Toc152142171"/>
      <w:bookmarkStart w:id="34" w:name="_Toc13039689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2"/>
      <w:bookmarkEnd w:id="33"/>
      <w:bookmarkEnd w:id="34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5" w:name="_Toc208930533"/>
      <w:bookmarkStart w:id="36" w:name="_Toc152142172"/>
      <w:bookmarkStart w:id="37" w:name="_Toc130396891"/>
      <w:r>
        <w:rPr>
          <w:lang w:val="ru-RU"/>
        </w:rPr>
        <w:t>Требования к перечню и объему услуг</w:t>
      </w:r>
      <w:bookmarkEnd w:id="35"/>
      <w:bookmarkEnd w:id="36"/>
      <w:bookmarkEnd w:id="3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8" w:name="_Toc208930534"/>
      <w:bookmarkStart w:id="39" w:name="_Toc54643705"/>
      <w:bookmarkStart w:id="40" w:name="_Toc152142173"/>
      <w:bookmarkStart w:id="4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1"/>
      <w:r>
        <w:rPr>
          <w:sz w:val="24"/>
          <w:szCs w:val="24"/>
          <w:lang w:val="ru-RU"/>
        </w:rPr>
        <w:t>и объем оказываемых услуг</w:t>
      </w:r>
      <w:bookmarkEnd w:id="38"/>
      <w:bookmarkEnd w:id="39"/>
      <w:bookmarkEnd w:id="40"/>
    </w:p>
    <w:tbl>
      <w:tblPr>
        <w:tblW w:w="10241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0"/>
        <w:gridCol w:w="3596"/>
        <w:gridCol w:w="1524"/>
        <w:gridCol w:w="1627"/>
        <w:gridCol w:w="2644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ТС</w:t>
            </w:r>
            <w:r>
              <w:rPr>
                <w:color w:val="000000" w:themeColor="text1"/>
                <w:sz w:val="24"/>
                <w:szCs w:val="24"/>
              </w:rPr>
              <w:t>, не менее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часов*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439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услуги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 - Бригадный автомобиль с компрессорной установкой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 - Тягач с тралом г/п не менее 30 тн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 - Экскаватор малогабаритный с гидромолотом на гусеничном ходу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 - Экскаватор на гусеничном ходу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 - Автовышка (высота подъёма 16-25 м)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142" w:firstLine="578"/>
        <w:jc w:val="both"/>
        <w:outlineLvl w:val="2"/>
        <w:rPr>
          <w:rFonts w:eastAsia="Calibri"/>
          <w:bCs/>
          <w:sz w:val="26"/>
          <w:szCs w:val="26"/>
          <w:lang w:eastAsia="x-none"/>
        </w:rPr>
      </w:pPr>
      <w:bookmarkStart w:id="42" w:name="__RefHeading___Toc5481_3158630832"/>
      <w:bookmarkStart w:id="43" w:name="_Toc151719584"/>
      <w:bookmarkStart w:id="44" w:name="_Toc152142174"/>
      <w:bookmarkStart w:id="45" w:name="_Toc208930550"/>
      <w:bookmarkStart w:id="46" w:name="_Toc207898753"/>
      <w:bookmarkEnd w:id="42"/>
      <w:r>
        <w:rPr>
          <w:rFonts w:eastAsia="Calibri"/>
          <w:b/>
          <w:sz w:val="24"/>
          <w:szCs w:val="24"/>
          <w:lang w:eastAsia="x-none"/>
        </w:rPr>
        <w:t xml:space="preserve">* </w:t>
      </w:r>
      <w:bookmarkEnd w:id="43"/>
      <w:bookmarkEnd w:id="44"/>
      <w:bookmarkEnd w:id="45"/>
      <w:bookmarkEnd w:id="46"/>
      <w:r>
        <w:rPr>
          <w:rFonts w:eastAsia="Calibri"/>
          <w:bCs/>
          <w:sz w:val="24"/>
          <w:szCs w:val="24"/>
          <w:lang w:eastAsia="x-none"/>
        </w:rPr>
        <w:t>Объем услуг ориентировочный и может быть скорректирован исходя из производственных потребностей Заказчика, в пределах общего лимита финансирования по договору.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47" w:name="_Toc152142175"/>
      <w:bookmarkStart w:id="48" w:name="_Toc208930551"/>
      <w:r>
        <w:rPr>
          <w:lang w:val="ru-RU"/>
        </w:rPr>
        <w:t>Требования к срокам оказания услуг</w:t>
      </w:r>
      <w:bookmarkEnd w:id="47"/>
      <w:bookmarkEnd w:id="4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49" w:name="_Toc152142176"/>
      <w:bookmarkStart w:id="50" w:name="_Toc208930552"/>
      <w:bookmarkStart w:id="51" w:name="_Toc50125127"/>
      <w:bookmarkStart w:id="52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5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51"/>
      <w:bookmarkEnd w:id="52"/>
      <w:bookmarkEnd w:id="53"/>
      <w:r>
        <w:rPr>
          <w:sz w:val="24"/>
          <w:szCs w:val="24"/>
          <w:lang w:val="ru-RU"/>
        </w:rPr>
        <w:t>оказания услуг</w:t>
      </w:r>
      <w:bookmarkEnd w:id="49"/>
      <w:bookmarkEnd w:id="50"/>
    </w:p>
    <w:tbl>
      <w:tblPr>
        <w:tblW w:w="1031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8"/>
        <w:gridCol w:w="4679"/>
        <w:gridCol w:w="2405"/>
        <w:gridCol w:w="2520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3" w:leader="none"/>
                <w:tab w:val="center" w:pos="1152" w:leader="none"/>
              </w:tabs>
              <w:rPr/>
            </w:pPr>
            <w:r>
              <w:rPr>
                <w:bCs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Не позднее</w:t>
            </w:r>
            <w:r>
              <w:rPr>
                <w:bCs/>
                <w:sz w:val="24"/>
                <w:szCs w:val="24"/>
              </w:rPr>
              <w:tab/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1141" w:hanging="432"/>
        <w:rPr>
          <w:lang w:val="ru-RU"/>
        </w:rPr>
      </w:pPr>
      <w:bookmarkStart w:id="54" w:name="_Toc208930553"/>
      <w:bookmarkStart w:id="55" w:name="_Toc152142177"/>
      <w:bookmarkStart w:id="56" w:name="_Toc130396894"/>
      <w:r>
        <w:rPr>
          <w:lang w:val="ru-RU"/>
        </w:rPr>
        <w:t xml:space="preserve">Требования </w:t>
      </w:r>
      <w:r>
        <w:rPr/>
        <w:t xml:space="preserve">к </w:t>
      </w:r>
      <w:r>
        <w:rPr>
          <w:lang w:val="ru-RU"/>
        </w:rPr>
        <w:t>качеству услуг</w:t>
      </w:r>
      <w:bookmarkEnd w:id="54"/>
      <w:bookmarkEnd w:id="55"/>
      <w:bookmarkEnd w:id="5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57" w:name="_Toc208930554"/>
      <w:bookmarkStart w:id="58" w:name="_Toc15214217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bookmarkEnd w:id="57"/>
      <w:bookmarkEnd w:id="58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Cs/>
          <w:sz w:val="24"/>
          <w:szCs w:val="24"/>
        </w:rPr>
        <w:t>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</w:t>
      </w:r>
    </w:p>
    <w:tbl>
      <w:tblPr>
        <w:tblStyle w:val="affff8"/>
        <w:tblW w:w="1516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3"/>
        <w:gridCol w:w="2223"/>
        <w:gridCol w:w="141"/>
        <w:gridCol w:w="5388"/>
        <w:gridCol w:w="1982"/>
        <w:gridCol w:w="3388"/>
      </w:tblGrid>
      <w:tr>
        <w:trPr/>
        <w:tc>
          <w:tcPr>
            <w:tcW w:w="92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6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2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6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3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Бригадный автомобиль с компрессорной установкой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Колесная формула 4х4, Дорожный просвет не менее 220 мм, семиместная кабина и грузовая база 3 метра. Грузоподъемность 2172 кг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Тягач с тралом г/п не менее 30 тонн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Погрузочная высота платформы не более 900 мм, ширина рабочей платформы 2500 мм., направляющее устройство для облегчения заезда техники. Талрепы с цепями для крепежа груза,  тягач колесная формула 6х6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236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Экскаватор малогабаритный с гидромолотом на гусеничном ходу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Максимальный преодолеваемый подъём: Не менее 30 град; Бульдозерный отвал (Ширина х Высота): Не менее 1520 x 350 мм; Вид рабочего органа: Ковш; Ёмкость ковша: не менее 0,07-0,12 м3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1.1.4.</w:t>
            </w:r>
          </w:p>
        </w:tc>
        <w:tc>
          <w:tcPr>
            <w:tcW w:w="236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Экскаватор на гусеничном ходу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Габарит по ширине не более 2600мм, Габарит по высоте в транспортном (сложенном) положении не более 2700 мм Длинна в сложенном состоянии не более 8000 мм; Ёмкость ковша 0,5 – 0,8 м3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236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Автовышка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Колесная формула автомобиля 6х6, Грузоподъемность: На минимальном вылете стрелы 9-10т, Вылет стрелы 12-15 м Подъемность кг. 8000. Расположение бурового оборудования  На третьем вылете стрелы установки. Рабочий радиус бурения от станины БКУ, м 10. Максимальный диаметр бурового инструмента, мм. 1000.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Максимальная глубина бурения, м. 15. Мошность вращателя, нМ 10000. Максимальная высота подъема м. 23,3. Давление масла кг/кв.см. 210. Тип стрелы/кол.секций Шестигранный/6. Скорость выдвижения стрелы15,5м./30сек. Угол вращения 360 град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быть оказаны в соответствии с Федеральным законом от 21.07.1997 № 116-ФЗ "О промышленной безопасности опасных производственных объектов" (в действующей редакции), Приказом Ростехнадзора от 26.11.2020 № 461 "Об утверждении федеральных норм и правил в области промышленной безопасности", "Правила безопасности опасных производственных объектов, на которых используются подъемные сооружения" (в действующей редакции), Приказом Ростехнадзора от 20.10.2020 № 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редакции).</w:t>
            </w:r>
            <w:bookmarkStart w:id="59" w:name="_GoBack_Копия_1_Копия_1"/>
            <w:bookmarkEnd w:id="59"/>
          </w:p>
        </w:tc>
        <w:tc>
          <w:tcPr>
            <w:tcW w:w="19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2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Требования к используемым запасным частям и материалам для содержания спецтехники в исправном состоянии: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расходы по техническому содержанию указанной спецтехники несет Исполнитель.</w:t>
            </w:r>
          </w:p>
        </w:tc>
        <w:tc>
          <w:tcPr>
            <w:tcW w:w="19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9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Спецтехника не должна иметь недостатков и неисправностей, при наличии которых в соответствии с нормативными правовыми актами РФ эксплуатация запрещена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Спецтехника должна быть укомплектованы знаком аварийной остановки, огнетушителем, штатным инструментом, поставляемым заводом-изготовителем</w:t>
            </w:r>
          </w:p>
        </w:tc>
        <w:tc>
          <w:tcPr>
            <w:tcW w:w="198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Ежедневное прохождение медицинского осмотра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Прохождение водительским составом ежедневного предрейсового и послерейсового медицинского осмотра перед выездом, с обязательной отметкой в путевых листах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Водительский стаж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3 лет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Наличие опыта, необходимых категорий и квалификацией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Машинисты и водители должны иметь категорию, квалификацию, опыт и иные профессиональные характеристики, соответствующие требованиям положений и инструкций по обеспечению безопасности дорожного движения, действующим на автомобильном транспорте, а также в соответствии с Приказом Ростехнадзора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(в действующей редакции).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Аренда специализированной строительной техники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необходимой техники в срок по заявкам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Техника должна быть в технически исправном состоянии, соответствующем требованиям: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Постановления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Технического регламента Таможенного союза ТР ТС 010/2011 от 18.10.2011 № 823 «О безопасности машин и оборудования», утвержденный Решением Комиссии Таможенного союза (в действующей редакции).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55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55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счет на оплату после оказания услуги.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55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2.4.4.</w:t>
            </w:r>
          </w:p>
        </w:tc>
        <w:tc>
          <w:tcPr>
            <w:tcW w:w="22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Копии путевых листов</w:t>
            </w:r>
          </w:p>
        </w:tc>
        <w:tc>
          <w:tcPr>
            <w:tcW w:w="55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копии путевых листов со всеми отметками для подтверждения фактического времени использования ТС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Транспортные средства должны быть укомплектованы в соответствии с Решением Комиссии Таможенного союза от 09.12.2011 N 877 «О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(в действующей редакции) (огнетушителями, аварийными знаками, аптечками с медикаментами, пр.), прошедшими ежегодный государственный технический осмотр, застрахованными (ОСАГО) в соответствии с действующим Законодательством, обеспечены путевой документацией, установленных форм, оформленной в соответствии с требованиями Приказа Минтранса России от 28.09.2022 N 390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 (в действующей редакции).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Транспортные средства должны находиться в исправном состоянии, отвечать требованиям, предъявляемым к эксплуатируемым транспортным средствам, в соответствии с ГОСТ 33997-2016 «Межгосударственный стандарт. Колесные транспортные средства. Требования к безопасности в эксплуатации и методы проверки» (в действующей редакции), используемым для производственных, коммерческих целей в соответствии с их конструктивным назначением, пригодными для перевозки грузов и отвечающие санитарным требованиям, а также отвечать требованиям Постановления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редакции), Решения Комиссии Таможенного союза от 09.12.2011 № 877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(в действующей редакции).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923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должны быть оказаны в соответствие с Федеральным законом от 08.11.2007 № 259-ФЗ «Устав автомобильного транспорта и городского наземного электрического транспорта» (в действующей редакции), с Федеральным законом от 10.12.1995 N 196-ФЗ «О безопасности дорожного движения» (в действующей редакции).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информации о гос. номерах ТС и документов водителей для оформления пропусков для въезда на территории объектов ПАО «Камчатскэнерго»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3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215"/>
        <w:jc w:val="center"/>
        <w:rPr/>
      </w:pPr>
      <w:bookmarkStart w:id="60" w:name="__RefHeading___Toc10473_1506096587"/>
      <w:bookmarkStart w:id="61" w:name="_Toc150444156"/>
      <w:bookmarkStart w:id="62" w:name="_Toc208930564"/>
      <w:bookmarkStart w:id="63" w:name="_Toc53395937"/>
      <w:bookmarkStart w:id="64" w:name="_Toc53393312"/>
      <w:bookmarkStart w:id="65" w:name="_Toc46743519"/>
      <w:bookmarkStart w:id="66" w:name="_Toc51339699"/>
      <w:bookmarkEnd w:id="60"/>
      <w:bookmarkEnd w:id="65"/>
      <w:bookmarkEnd w:id="66"/>
      <w:r>
        <w:rPr>
          <w:lang w:val="ru-RU"/>
        </w:rPr>
        <w:t>Требования к документации по ценообразованию</w:t>
      </w:r>
      <w:bookmarkEnd w:id="63"/>
      <w:bookmarkEnd w:id="64"/>
      <w:r>
        <w:rPr>
          <w:lang w:val="ru-RU"/>
        </w:rPr>
        <w:t xml:space="preserve"> на этапе закупки</w:t>
      </w:r>
      <w:bookmarkEnd w:id="61"/>
      <w:bookmarkEnd w:id="62"/>
    </w:p>
    <w:p>
      <w:pPr>
        <w:pStyle w:val="Normal"/>
        <w:ind w:firstLine="567"/>
        <w:jc w:val="both"/>
        <w:rPr>
          <w:sz w:val="24"/>
          <w:szCs w:val="24"/>
        </w:rPr>
      </w:pPr>
      <w:bookmarkStart w:id="67" w:name="__RefHeading___Toc10475_1506096587"/>
      <w:bookmarkStart w:id="68" w:name="_Toc133340001"/>
      <w:bookmarkStart w:id="69" w:name="_Toc150444157"/>
      <w:bookmarkStart w:id="70" w:name="_Toc130396897"/>
      <w:bookmarkEnd w:id="67"/>
      <w:bookmarkEnd w:id="68"/>
      <w:bookmarkEnd w:id="69"/>
      <w:bookmarkEnd w:id="70"/>
      <w:r>
        <w:rPr>
          <w:sz w:val="24"/>
          <w:szCs w:val="24"/>
        </w:rPr>
        <w:t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 Коэффициент снижения служит только для оценки и сопоставления предложений Участников по соответствующему ценовому (стоимост</w:t>
      </w:r>
      <w:bookmarkStart w:id="71" w:name="_GoBack"/>
      <w:bookmarkEnd w:id="71"/>
      <w:r>
        <w:rPr>
          <w:sz w:val="24"/>
          <w:szCs w:val="24"/>
        </w:rPr>
        <w:t>ному) критерию оценки в соответствии с Приложением N8 к Документации о закупке «Порядок и критерии оценки и сопоставления заявок». Предложения по единичным расценкам, представленные в заявке победителя, будут закреплены в договоре.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jc w:val="both"/>
        <w:rPr>
          <w:sz w:val="24"/>
          <w:szCs w:val="24"/>
          <w:lang w:eastAsia="x-none"/>
        </w:rPr>
      </w:pPr>
      <w:r>
        <w:rPr>
          <w:sz w:val="24"/>
          <w:szCs w:val="24"/>
        </w:rPr>
        <w:t>3.3.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N2 к Документации о закупке)»</w:t>
      </w:r>
      <w:r>
        <w:rPr>
          <w:sz w:val="24"/>
          <w:szCs w:val="24"/>
          <w:lang w:eastAsia="x-none"/>
        </w:rPr>
        <w:t>.</w:t>
      </w:r>
    </w:p>
    <w:p>
      <w:pPr>
        <w:pStyle w:val="Normal"/>
        <w:ind w:firstLine="567"/>
        <w:rPr>
          <w:lang w:eastAsia="x-none"/>
        </w:rPr>
      </w:pPr>
      <w:r>
        <w:rPr>
          <w:lang w:eastAsia="x-none"/>
        </w:rPr>
      </w:r>
    </w:p>
    <w:p>
      <w:pPr>
        <w:pStyle w:val="Normal"/>
        <w:ind w:firstLine="567"/>
        <w:rPr>
          <w:lang w:eastAsia="x-none"/>
        </w:rPr>
      </w:pPr>
      <w:r>
        <w:rPr>
          <w:lang w:eastAsia="x-none"/>
        </w:rPr>
      </w:r>
    </w:p>
    <w:p>
      <w:pPr>
        <w:pStyle w:val="Normal"/>
        <w:ind w:firstLine="567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r>
        <w:br w:type="page"/>
      </w:r>
    </w:p>
    <w:p>
      <w:pPr>
        <w:pStyle w:val="Heading1"/>
        <w:keepLines/>
        <w:ind w:left="357" w:hanging="0"/>
        <w:jc w:val="center"/>
        <w:rPr>
          <w:lang w:val="ru-RU"/>
        </w:rPr>
      </w:pPr>
      <w:bookmarkStart w:id="72" w:name="__RefHeading___Toc10481_1506096587"/>
      <w:bookmarkStart w:id="73" w:name="_Toc208930565"/>
      <w:bookmarkEnd w:id="72"/>
      <w:r>
        <w:rPr>
          <w:lang w:val="ru-RU"/>
        </w:rPr>
        <w:t xml:space="preserve">4. </w:t>
      </w:r>
      <w:bookmarkStart w:id="74" w:name="_Toc150444158"/>
      <w:bookmarkStart w:id="75" w:name="_Toc5428122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73"/>
      <w:bookmarkEnd w:id="74"/>
      <w:bookmarkEnd w:id="75"/>
    </w:p>
    <w:p>
      <w:pPr>
        <w:pStyle w:val="Normal"/>
        <w:keepNext w:val="true"/>
        <w:keepLines/>
        <w:numPr>
          <w:ilvl w:val="0"/>
          <w:numId w:val="0"/>
        </w:numPr>
        <w:suppressAutoHyphens w:val="false"/>
        <w:spacing w:before="120" w:after="60"/>
        <w:ind w:left="0" w:firstLine="567"/>
        <w:jc w:val="both"/>
        <w:outlineLvl w:val="0"/>
        <w:rPr>
          <w:sz w:val="24"/>
          <w:szCs w:val="24"/>
        </w:rPr>
      </w:pPr>
      <w:bookmarkStart w:id="76" w:name="__RefHeading___Toc10483_1506096587"/>
      <w:bookmarkStart w:id="77" w:name="_Toc207898766"/>
      <w:bookmarkStart w:id="78" w:name="_Toc208930566"/>
      <w:bookmarkEnd w:id="76"/>
      <w:r>
        <w:rPr>
          <w:sz w:val="24"/>
          <w:szCs w:val="24"/>
        </w:rP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продукции), предложенными в заявке Победителем.</w:t>
      </w:r>
      <w:bookmarkEnd w:id="77"/>
      <w:bookmarkEnd w:id="78"/>
    </w:p>
    <w:p>
      <w:pPr>
        <w:pStyle w:val="Normal"/>
        <w:keepNext w:val="true"/>
        <w:keepLines/>
        <w:numPr>
          <w:ilvl w:val="0"/>
          <w:numId w:val="0"/>
        </w:numPr>
        <w:spacing w:before="120" w:after="60"/>
        <w:ind w:left="0" w:firstLine="567"/>
        <w:jc w:val="both"/>
        <w:outlineLvl w:val="0"/>
        <w:rPr>
          <w:rFonts w:eastAsia="Calibri"/>
          <w:lang w:eastAsia="x-none"/>
        </w:rPr>
      </w:pPr>
      <w:bookmarkStart w:id="79" w:name="_Toc207898767"/>
      <w:bookmarkStart w:id="80" w:name="_Toc208930567"/>
      <w:r>
        <w:rPr>
          <w:sz w:val="24"/>
          <w:szCs w:val="24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N 2 к Документации о закупке)»</w:t>
      </w:r>
      <w:bookmarkEnd w:id="79"/>
      <w:bookmarkEnd w:id="80"/>
    </w:p>
    <w:p>
      <w:pPr>
        <w:pStyle w:val="Normal"/>
        <w:keepNext w:val="true"/>
        <w:keepLines/>
        <w:numPr>
          <w:ilvl w:val="0"/>
          <w:numId w:val="0"/>
        </w:numPr>
        <w:suppressAutoHyphens w:val="false"/>
        <w:spacing w:before="120" w:after="60"/>
        <w:ind w:left="357" w:hanging="357"/>
        <w:jc w:val="center"/>
        <w:outlineLvl w:val="0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</w:r>
    </w:p>
    <w:p>
      <w:pPr>
        <w:pStyle w:val="Normal"/>
        <w:tabs>
          <w:tab w:val="clear" w:pos="708"/>
          <w:tab w:val="left" w:pos="993" w:leader="none"/>
        </w:tabs>
        <w:ind w:left="568" w:hanging="0"/>
        <w:jc w:val="both"/>
        <w:rPr>
          <w:sz w:val="26"/>
          <w:szCs w:val="26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737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DF5C6E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DF5C6E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840" w:hanging="48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0ba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1141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4059fd"/>
    <w:rPr>
      <w:color w:val="0563C1" w:themeColor="hyperlink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13" w:customStyle="1">
    <w:name w:val="Номер строки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905f33"/>
    <w:pPr>
      <w:tabs>
        <w:tab w:val="clear" w:pos="708"/>
        <w:tab w:val="left" w:pos="1120" w:leader="none"/>
        <w:tab w:val="right" w:pos="10194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046c6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color w:val="000000" w:themeColor="text1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8f0d34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Default" w:customStyle="1">
    <w:name w:val="Default"/>
    <w:qFormat/>
    <w:rsid w:val="00b77ce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C9093-27CE-4B8E-936F-BC0A9C01E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AlterOffice/3.4.0.9$Linux_X86_64 LibreOffice_project/b8daf9e823b1a5463a2f48435ddc2e8696e7d4fc</Application>
  <AppVersion>15.0000</AppVersion>
  <Pages>12</Pages>
  <Words>1935</Words>
  <Characters>12806</Characters>
  <CharactersWithSpaces>14456</CharactersWithSpaces>
  <Paragraphs>284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2025-11-27T04:37:00Z</dcterms:created>
  <dc:creator>Быстров Олег Геннадьевич</dc:creator>
  <dc:description/>
  <dc:language>ru-RU</dc:language>
  <cp:lastModifiedBy>fedorovsa@corp.gidroogk.com</cp:lastModifiedBy>
  <cp:lastPrinted>2025-10-29T13:38:00Z</cp:lastPrinted>
  <dcterms:modified xsi:type="dcterms:W3CDTF">2026-08-17T15:49:11Z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