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header6.xml" ContentType="application/vnd.openxmlformats-officedocument.wordprocessingml.header+xml"/>
  <Override PartName="/word/theme/theme1.xml" ContentType="application/vnd.openxmlformats-officedocument.theme+xml"/>
  <Override PartName="/word/header7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header8.xml" ContentType="application/vnd.openxmlformats-officedocument.wordprocessingml.header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suppressAutoHyphens w:val="true"/>
        <w:jc w:val="right"/>
        <w:rPr>
          <w:sz w:val="26"/>
          <w:szCs w:val="26"/>
        </w:rPr>
      </w:pPr>
      <w:r>
        <w:rPr>
          <w:sz w:val="26"/>
          <w:szCs w:val="26"/>
        </w:rPr>
        <w:t>Приложение №1 к ДоЗ</w:t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  <w:bookmarkStart w:id="0" w:name="_GoBack"/>
      <w:bookmarkStart w:id="1" w:name="_GoBack"/>
      <w:bookmarkEnd w:id="1"/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</w:t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sz w:val="26"/>
          <w:szCs w:val="26"/>
        </w:rPr>
      </w:pPr>
      <w:r>
        <w:rPr>
          <w:sz w:val="26"/>
          <w:szCs w:val="26"/>
        </w:rPr>
        <w:t>ОКПД 2: 49.41.15.000 Услуги по перевозке угля автомобильным транспортом для нужд Камчатского филиала АО "ТК РусГидро"</w:t>
      </w:r>
    </w:p>
    <w:p>
      <w:pPr>
        <w:pStyle w:val="Normal"/>
        <w:keepNext w:val="true"/>
        <w:keepLines/>
        <w:jc w:val="center"/>
        <w:rPr>
          <w:sz w:val="26"/>
          <w:szCs w:val="26"/>
        </w:rPr>
      </w:pPr>
      <w:r>
        <w:rPr>
          <w:sz w:val="26"/>
          <w:szCs w:val="26"/>
        </w:rPr>
        <w:t>Лот № 2093-ЭКСП ДОХ-2027-ТК-КФ</w:t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</w:p>
    <w:p>
      <w:pPr>
        <w:pStyle w:val="Normal"/>
        <w:keepNext w:val="true"/>
        <w:keepLines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Heading1"/>
        <w:numPr>
          <w:ilvl w:val="0"/>
          <w:numId w:val="3"/>
        </w:numPr>
        <w:ind w:left="0" w:firstLine="851"/>
        <w:jc w:val="center"/>
        <w:rPr>
          <w:caps/>
        </w:rPr>
      </w:pPr>
      <w:bookmarkStart w:id="2" w:name="_Toc54643694"/>
      <w:r>
        <w:rPr/>
        <w:t>Общие сведения</w:t>
      </w:r>
      <w:bookmarkEnd w:id="2"/>
    </w:p>
    <w:p>
      <w:pPr>
        <w:pStyle w:val="Heading4"/>
        <w:numPr>
          <w:ilvl w:val="1"/>
          <w:numId w:val="3"/>
        </w:numPr>
        <w:ind w:left="0" w:firstLine="63"/>
        <w:rPr>
          <w:rStyle w:val="Style8"/>
          <w:b/>
          <w:i w:val="false"/>
          <w:i w:val="false"/>
          <w:shd w:fill="auto" w:val="clear"/>
        </w:rPr>
      </w:pPr>
      <w:bookmarkStart w:id="3" w:name="_Toc54643695"/>
      <w:bookmarkStart w:id="4" w:name="_Toc46743505"/>
      <w:r>
        <w:rPr/>
        <w:t>Обозначения и сокращения</w:t>
      </w:r>
      <w:bookmarkEnd w:id="3"/>
      <w:bookmarkEnd w:id="4"/>
    </w:p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978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785"/>
        <w:gridCol w:w="7997"/>
      </w:tblGrid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keepNext w:val="true"/>
              <w:keepLines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ОП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keepNext w:val="true"/>
              <w:keepLines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Обособленное подразделение</w:t>
            </w:r>
          </w:p>
        </w:tc>
      </w:tr>
    </w:tbl>
    <w:p>
      <w:pPr>
        <w:pStyle w:val="Heading4"/>
        <w:numPr>
          <w:ilvl w:val="1"/>
          <w:numId w:val="3"/>
        </w:numPr>
        <w:ind w:left="0" w:firstLine="63"/>
        <w:rPr>
          <w:sz w:val="25"/>
          <w:szCs w:val="25"/>
        </w:rPr>
      </w:pPr>
      <w:bookmarkStart w:id="5" w:name="_Toc54643696"/>
      <w:bookmarkStart w:id="6" w:name="_Toc46743506"/>
      <w:r>
        <w:rPr>
          <w:sz w:val="25"/>
          <w:szCs w:val="25"/>
        </w:rPr>
        <w:t>Наименование закупаемой продукции</w:t>
      </w:r>
      <w:bookmarkEnd w:id="5"/>
      <w:bookmarkEnd w:id="6"/>
    </w:p>
    <w:p>
      <w:pPr>
        <w:pStyle w:val="Normal"/>
        <w:widowControl w:val="false"/>
        <w:tabs>
          <w:tab w:val="clear" w:pos="708"/>
          <w:tab w:val="left" w:pos="0" w:leader="none"/>
        </w:tabs>
        <w:spacing w:before="120" w:after="120"/>
        <w:ind w:firstLine="567"/>
        <w:jc w:val="both"/>
        <w:rPr>
          <w:rStyle w:val="Style8"/>
          <w:b w:val="false"/>
          <w:bCs/>
          <w:sz w:val="25"/>
          <w:szCs w:val="25"/>
        </w:rPr>
      </w:pPr>
      <w:r>
        <w:rPr>
          <w:sz w:val="25"/>
          <w:szCs w:val="25"/>
        </w:rPr>
        <w:t>ОКПД 2: 49.41.15.000 Услуги по перевозке угля автомобильным транспортом для нужд Камчатского филиала АО "ТК РусГидро"</w:t>
      </w:r>
      <w:r>
        <w:rPr>
          <w:sz w:val="25"/>
          <w:szCs w:val="25"/>
          <w:lang w:eastAsia="x-none"/>
        </w:rPr>
        <w:t>.</w:t>
      </w:r>
    </w:p>
    <w:p>
      <w:pPr>
        <w:pStyle w:val="Heading4"/>
        <w:numPr>
          <w:ilvl w:val="1"/>
          <w:numId w:val="3"/>
        </w:numPr>
        <w:ind w:left="0" w:firstLine="63"/>
        <w:rPr>
          <w:sz w:val="25"/>
          <w:szCs w:val="25"/>
        </w:rPr>
      </w:pPr>
      <w:bookmarkStart w:id="7" w:name="_Toc54643697"/>
      <w:bookmarkStart w:id="8" w:name="_Toc46743507"/>
      <w:r>
        <w:rPr>
          <w:sz w:val="25"/>
          <w:szCs w:val="25"/>
        </w:rPr>
        <w:t xml:space="preserve">Цель </w:t>
      </w:r>
      <w:bookmarkEnd w:id="8"/>
      <w:r>
        <w:rPr>
          <w:sz w:val="25"/>
          <w:szCs w:val="25"/>
        </w:rPr>
        <w:t>оказания услуг</w:t>
      </w:r>
      <w:bookmarkEnd w:id="7"/>
    </w:p>
    <w:p>
      <w:pPr>
        <w:pStyle w:val="Normal"/>
        <w:ind w:firstLine="567"/>
        <w:jc w:val="both"/>
        <w:rPr>
          <w:sz w:val="25"/>
          <w:szCs w:val="25"/>
          <w:lang w:eastAsia="x-none"/>
        </w:rPr>
      </w:pPr>
      <w:r>
        <w:rPr>
          <w:sz w:val="25"/>
          <w:szCs w:val="25"/>
          <w:lang w:eastAsia="x-none"/>
        </w:rPr>
        <w:t xml:space="preserve">Обеспечение выполнения обязательств Камчатского филиала </w:t>
        <w:br/>
        <w:t>АО «ТК РусГидро» перед АО «Чукотэнерго» филиал Анадырская ТЭЦ по перевозке угля автомобильным транспортом из угольного склада АО «Шахта Угольная» п. Угольные Копи Чукотского АО в угольный склад Анадырской ТЭЦ г. Анадырь Чукотского АО по ледовой переправе через Анадырский лиман.</w:t>
      </w:r>
    </w:p>
    <w:p>
      <w:pPr>
        <w:pStyle w:val="Heading4"/>
        <w:numPr>
          <w:ilvl w:val="1"/>
          <w:numId w:val="3"/>
        </w:numPr>
        <w:ind w:left="0" w:firstLine="63"/>
        <w:rPr>
          <w:sz w:val="25"/>
          <w:szCs w:val="25"/>
        </w:rPr>
      </w:pPr>
      <w:bookmarkStart w:id="9" w:name="_Toc46743508"/>
      <w:bookmarkStart w:id="10" w:name="_Toc54643698"/>
      <w:r>
        <w:rPr>
          <w:sz w:val="25"/>
          <w:szCs w:val="25"/>
        </w:rPr>
        <w:t>Существующее положение</w:t>
      </w:r>
      <w:bookmarkEnd w:id="9"/>
      <w:bookmarkEnd w:id="10"/>
    </w:p>
    <w:p>
      <w:pPr>
        <w:pStyle w:val="Heading1"/>
        <w:numPr>
          <w:ilvl w:val="0"/>
          <w:numId w:val="0"/>
        </w:numPr>
        <w:ind w:left="0" w:hanging="0"/>
        <w:rPr>
          <w:sz w:val="25"/>
          <w:szCs w:val="25"/>
        </w:rPr>
      </w:pPr>
      <w:bookmarkStart w:id="11" w:name="_Toc54643699"/>
      <w:r>
        <w:rPr>
          <w:sz w:val="25"/>
          <w:szCs w:val="25"/>
        </w:rPr>
        <w:t>Таблица 1. Перечень объектов заказчика</w:t>
      </w:r>
      <w:bookmarkEnd w:id="11"/>
    </w:p>
    <w:tbl>
      <w:tblPr>
        <w:tblW w:w="991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817"/>
        <w:gridCol w:w="2862"/>
        <w:gridCol w:w="2126"/>
        <w:gridCol w:w="2129"/>
        <w:gridCol w:w="1984"/>
      </w:tblGrid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№</w:t>
            </w:r>
          </w:p>
          <w:p>
            <w:pPr>
              <w:pStyle w:val="Normal"/>
              <w:widowControl w:val="false"/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п/п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Наименование объекта</w:t>
            </w:r>
          </w:p>
          <w:p>
            <w:pPr>
              <w:pStyle w:val="Normal"/>
              <w:widowControl w:val="false"/>
              <w:jc w:val="center"/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 xml:space="preserve">Расположение объекта </w:t>
              <w:br/>
            </w:r>
            <w:r>
              <w:rPr>
                <w:b/>
                <w:i/>
                <w:iCs/>
                <w:sz w:val="25"/>
                <w:szCs w:val="25"/>
              </w:rPr>
              <w:t>(место оказания услуг)</w:t>
            </w:r>
            <w:r>
              <w:rPr>
                <w:b/>
                <w:sz w:val="25"/>
                <w:szCs w:val="25"/>
              </w:rPr>
              <w:t xml:space="preserve">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 xml:space="preserve">Наименование основного средства </w:t>
              <w:br/>
              <w:t>(в отношении которого оказываются услуги)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Примечания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1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3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5</w:t>
            </w:r>
          </w:p>
        </w:tc>
      </w:tr>
      <w:tr>
        <w:trPr/>
        <w:tc>
          <w:tcPr>
            <w:tcW w:w="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1.</w:t>
            </w:r>
          </w:p>
        </w:tc>
        <w:tc>
          <w:tcPr>
            <w:tcW w:w="286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  <w:lang w:eastAsia="x-none"/>
              </w:rPr>
              <w:t>Анадырская ТЭЦ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  <w:lang w:eastAsia="x-none"/>
              </w:rPr>
              <w:t>г. Анадырь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---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5"/>
                <w:szCs w:val="25"/>
              </w:rPr>
            </w:pPr>
            <w:r>
              <w:rPr>
                <w:i/>
                <w:sz w:val="25"/>
                <w:szCs w:val="25"/>
              </w:rPr>
              <w:t>---</w:t>
            </w:r>
          </w:p>
        </w:tc>
      </w:tr>
    </w:tbl>
    <w:p>
      <w:pPr>
        <w:pStyle w:val="Heading1"/>
        <w:numPr>
          <w:ilvl w:val="0"/>
          <w:numId w:val="3"/>
        </w:numPr>
        <w:ind w:left="3402" w:firstLine="63"/>
        <w:rPr>
          <w:caps/>
          <w:sz w:val="25"/>
          <w:szCs w:val="25"/>
          <w:lang w:val="ru-RU"/>
        </w:rPr>
      </w:pPr>
      <w:bookmarkStart w:id="12" w:name="_Toc51339693"/>
      <w:bookmarkStart w:id="13" w:name="_Toc54643702"/>
      <w:r>
        <w:rPr>
          <w:sz w:val="25"/>
          <w:szCs w:val="25"/>
          <w:lang w:val="ru-RU"/>
        </w:rPr>
        <w:t>Требования</w:t>
      </w:r>
      <w:r>
        <w:rPr>
          <w:sz w:val="25"/>
          <w:szCs w:val="25"/>
        </w:rPr>
        <w:t xml:space="preserve"> к продукции</w:t>
      </w:r>
      <w:bookmarkEnd w:id="12"/>
      <w:bookmarkEnd w:id="13"/>
    </w:p>
    <w:p>
      <w:pPr>
        <w:pStyle w:val="Heading4"/>
        <w:numPr>
          <w:ilvl w:val="1"/>
          <w:numId w:val="3"/>
        </w:numPr>
        <w:ind w:left="0" w:firstLine="63"/>
        <w:rPr>
          <w:sz w:val="25"/>
          <w:szCs w:val="25"/>
        </w:rPr>
      </w:pPr>
      <w:bookmarkStart w:id="14" w:name="_Toc54643703"/>
      <w:r>
        <w:rPr>
          <w:sz w:val="25"/>
          <w:szCs w:val="25"/>
        </w:rPr>
        <w:t xml:space="preserve">Требования к объемам и срокам </w:t>
      </w:r>
      <w:r>
        <w:rPr>
          <w:sz w:val="25"/>
          <w:szCs w:val="25"/>
          <w:lang w:val="ru-RU"/>
        </w:rPr>
        <w:t>оказания услуг</w:t>
      </w:r>
      <w:bookmarkEnd w:id="14"/>
    </w:p>
    <w:p>
      <w:pPr>
        <w:pStyle w:val="Heading3"/>
        <w:numPr>
          <w:ilvl w:val="2"/>
          <w:numId w:val="3"/>
        </w:numPr>
        <w:ind w:left="0" w:firstLine="63"/>
        <w:rPr>
          <w:sz w:val="25"/>
          <w:szCs w:val="25"/>
        </w:rPr>
      </w:pPr>
      <w:bookmarkStart w:id="15" w:name="_Toc54643704"/>
      <w:r>
        <w:rPr>
          <w:sz w:val="25"/>
          <w:szCs w:val="25"/>
        </w:rPr>
        <w:t>Требования к перечню и объему услуг</w:t>
      </w:r>
      <w:bookmarkEnd w:id="15"/>
    </w:p>
    <w:p>
      <w:pPr>
        <w:pStyle w:val="Heading1"/>
        <w:numPr>
          <w:ilvl w:val="0"/>
          <w:numId w:val="0"/>
        </w:numPr>
        <w:ind w:left="0" w:hanging="0"/>
        <w:rPr>
          <w:sz w:val="25"/>
          <w:szCs w:val="25"/>
        </w:rPr>
      </w:pPr>
      <w:bookmarkStart w:id="16" w:name="_Toc54643705"/>
      <w:bookmarkStart w:id="17" w:name="_Toc51339695"/>
      <w:r>
        <w:rPr>
          <w:sz w:val="25"/>
          <w:szCs w:val="25"/>
        </w:rPr>
        <w:t xml:space="preserve">Таблица 2. Перечень </w:t>
      </w:r>
      <w:bookmarkEnd w:id="17"/>
      <w:r>
        <w:rPr>
          <w:sz w:val="25"/>
          <w:szCs w:val="25"/>
        </w:rPr>
        <w:t>и объем оказываемых услуг</w:t>
      </w:r>
      <w:bookmarkEnd w:id="16"/>
    </w:p>
    <w:tbl>
      <w:tblPr>
        <w:tblW w:w="981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596"/>
        <w:gridCol w:w="6095"/>
        <w:gridCol w:w="1417"/>
        <w:gridCol w:w="1701"/>
      </w:tblGrid>
      <w:tr>
        <w:trPr/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№</w:t>
            </w:r>
          </w:p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п/п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Наименование услуг / этапа услуг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Единица измерения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Количество*</w:t>
            </w:r>
          </w:p>
        </w:tc>
      </w:tr>
      <w:tr>
        <w:trPr/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1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4</w:t>
            </w:r>
          </w:p>
        </w:tc>
      </w:tr>
      <w:tr>
        <w:trPr/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ОКПД 2: 49.41.15.000 Услуги по перевозке угля автомобильным транспортом для нужд Камчатского филиала АО "ТК РусГидро" - Маршрут№1: АО «Шахта Угольная», п. Угольные Копи – причал 8 – причал 7 – угольный склад АТЭЦ, г. Анадырь (расчётная протяженность маршрута – 11 км.)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тн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highlight w:val="none"/>
                <w:shd w:fill="auto" w:val="clear"/>
              </w:rPr>
            </w:pPr>
            <w:r>
              <w:rPr>
                <w:sz w:val="25"/>
                <w:szCs w:val="25"/>
                <w:shd w:fill="auto" w:val="clear"/>
              </w:rPr>
              <w:t>4 372</w:t>
            </w:r>
          </w:p>
        </w:tc>
      </w:tr>
      <w:tr>
        <w:trPr/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ОКПД 2: 49.41.15.000 Услуги по перевозке угля автомобильным транспортом для нужд Камчатского филиала АО "ТК РусГидро" - Маршрут №2: АО «Шахта Угольная», п. Угольные Копи – п. Шахтёрский – причал 8 – причал 7 – угольный склад АТЭЦ, г. Анадырь (расчётная протяженность маршрута – 24 км.)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тн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highlight w:val="none"/>
                <w:shd w:fill="auto" w:val="clear"/>
              </w:rPr>
            </w:pPr>
            <w:r>
              <w:rPr>
                <w:sz w:val="25"/>
                <w:szCs w:val="25"/>
                <w:shd w:fill="auto" w:val="clear"/>
              </w:rPr>
              <w:t>4 371</w:t>
            </w:r>
          </w:p>
        </w:tc>
      </w:tr>
    </w:tbl>
    <w:p>
      <w:pPr>
        <w:pStyle w:val="Heading3"/>
        <w:numPr>
          <w:ilvl w:val="0"/>
          <w:numId w:val="0"/>
        </w:numPr>
        <w:ind w:left="63" w:hanging="0"/>
        <w:rPr>
          <w:sz w:val="25"/>
          <w:szCs w:val="25"/>
          <w:lang w:val="ru-RU"/>
        </w:rPr>
      </w:pPr>
      <w:r>
        <w:rPr>
          <w:b w:val="false"/>
          <w:sz w:val="25"/>
          <w:szCs w:val="25"/>
          <w:lang w:val="ru-RU"/>
        </w:rPr>
        <w:t>*</w:t>
      </w:r>
      <w:r>
        <w:rPr>
          <w:sz w:val="25"/>
          <w:szCs w:val="25"/>
          <w:lang w:val="ru-RU"/>
        </w:rPr>
        <w:t xml:space="preserve"> </w:t>
      </w:r>
      <w:r>
        <w:rPr>
          <w:b w:val="false"/>
          <w:sz w:val="25"/>
          <w:szCs w:val="25"/>
          <w:lang w:val="ru-RU"/>
        </w:rPr>
        <w:t>Количество является плановым, может быть скорректировано, исходя из производственных потребностей Заказчика, в пределах общей цены договора, при этом обязательства Заказчика по выборке всего количества отсутствуют.</w:t>
      </w:r>
    </w:p>
    <w:p>
      <w:pPr>
        <w:pStyle w:val="Heading3"/>
        <w:numPr>
          <w:ilvl w:val="2"/>
          <w:numId w:val="3"/>
        </w:numPr>
        <w:ind w:left="0" w:firstLine="63"/>
        <w:rPr>
          <w:sz w:val="25"/>
          <w:szCs w:val="25"/>
        </w:rPr>
      </w:pPr>
      <w:r>
        <w:rPr>
          <w:sz w:val="25"/>
          <w:szCs w:val="25"/>
        </w:rPr>
        <w:t>Требования к срокам оказания услуг</w:t>
      </w:r>
    </w:p>
    <w:p>
      <w:pPr>
        <w:pStyle w:val="Heading1"/>
        <w:numPr>
          <w:ilvl w:val="0"/>
          <w:numId w:val="0"/>
        </w:numPr>
        <w:ind w:left="0" w:hanging="0"/>
        <w:rPr>
          <w:sz w:val="25"/>
          <w:szCs w:val="25"/>
          <w:lang w:val="ru-RU"/>
        </w:rPr>
      </w:pPr>
      <w:bookmarkStart w:id="18" w:name="_Toc54643707"/>
      <w:bookmarkStart w:id="19" w:name="_Toc50125127"/>
      <w:bookmarkStart w:id="20" w:name="_Toc51339697"/>
      <w:r>
        <w:rPr>
          <w:sz w:val="25"/>
          <w:szCs w:val="25"/>
        </w:rPr>
        <w:t xml:space="preserve">Таблица </w:t>
      </w:r>
      <w:r>
        <w:rPr>
          <w:sz w:val="25"/>
          <w:szCs w:val="25"/>
          <w:lang w:val="ru-RU"/>
        </w:rPr>
        <w:t>3</w:t>
      </w:r>
      <w:r>
        <w:rPr>
          <w:sz w:val="25"/>
          <w:szCs w:val="25"/>
        </w:rPr>
        <w:t xml:space="preserve">. </w:t>
      </w:r>
      <w:bookmarkStart w:id="21" w:name="_Hlk50465284"/>
      <w:r>
        <w:rPr>
          <w:sz w:val="25"/>
          <w:szCs w:val="25"/>
        </w:rPr>
        <w:t xml:space="preserve">Требования </w:t>
      </w:r>
      <w:r>
        <w:rPr>
          <w:sz w:val="25"/>
          <w:szCs w:val="25"/>
          <w:lang w:val="ru-RU"/>
        </w:rPr>
        <w:t>к</w:t>
      </w:r>
      <w:r>
        <w:rPr>
          <w:sz w:val="25"/>
          <w:szCs w:val="25"/>
        </w:rPr>
        <w:t xml:space="preserve"> срокам </w:t>
      </w:r>
      <w:bookmarkEnd w:id="19"/>
      <w:bookmarkEnd w:id="20"/>
      <w:bookmarkEnd w:id="21"/>
      <w:r>
        <w:rPr>
          <w:sz w:val="25"/>
          <w:szCs w:val="25"/>
          <w:lang w:val="ru-RU"/>
        </w:rPr>
        <w:t>оказания услуг</w:t>
      </w:r>
      <w:bookmarkEnd w:id="18"/>
    </w:p>
    <w:tbl>
      <w:tblPr>
        <w:tblW w:w="991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62"/>
        <w:gridCol w:w="4677"/>
        <w:gridCol w:w="2410"/>
        <w:gridCol w:w="2268"/>
      </w:tblGrid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№ </w:t>
            </w:r>
            <w:r>
              <w:rPr>
                <w:sz w:val="25"/>
                <w:szCs w:val="25"/>
              </w:rPr>
              <w:t>п/п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Наименование услуг/ этапа услуг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Требования к началу срока оказания услуг/ этапа услуг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Требования к окончанию срока оказания услуг / этапа услуг</w:t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1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7"/>
              <w:keepNext w:val="false"/>
              <w:widowControl w:val="false"/>
              <w:spacing w:before="40" w:after="40"/>
              <w:jc w:val="center"/>
              <w:rPr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7"/>
              <w:keepNext w:val="false"/>
              <w:widowControl w:val="false"/>
              <w:spacing w:before="40" w:after="40"/>
              <w:jc w:val="center"/>
              <w:rPr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4</w:t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ОКПД 2: 49.41.15.000 Услуги по перевозке угля автомобильным транспортом для нужд Камчатского филиала АО "ТК РусГидро" - Маршрут №1: АО «Шахта Угольная», п. Угольные Копи – причал 8 – причал 7 – угольный склад АТЭЦ, г. Анадырь (расчётная протяженность маршрута – 11 км.).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С даты заключения договора и не ранее установления допустимой нагрузки не менее 20 тн на ледовой переправе через Анадырский лиман в период март-апрель 2026 года.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До полного исполнения обязательств по договору и не ранее даты установления допустимой нагрузки ниже 20 тн на ледовой переправе через Анадырский лиман.</w:t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ОКПД 2: 49.41.15.000 Услуги по перевозке угля автомобильным транспортом для нужд Камчатского филиала АО "ТК РусГидро" – Маршрут №2: АО «Шахта Угольная», п. Угольные Копи – п. Шахтёрский – причал 8 – причал 7 – угольный склад АТЭЦ, г. Анадырь (расчётная протяженность маршрута – 24 км.).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С даты заключения договора и не ранее установления допустимой нагрузки не менее 20 тн на ледовой переправе через Анадырский лиман в период март-апрель 2026 года.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До полного исполнения обязательств по договору и не ранее даты установления допустимой нагрузки ниже 20 тн на ледовой переправе через Анадырский лиман.</w:t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851" w:right="851" w:gutter="0" w:header="680" w:top="737" w:footer="0" w:bottom="992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Heading4"/>
        <w:numPr>
          <w:ilvl w:val="1"/>
          <w:numId w:val="3"/>
        </w:numPr>
        <w:ind w:left="0" w:firstLine="63"/>
        <w:rPr>
          <w:sz w:val="25"/>
          <w:szCs w:val="25"/>
        </w:rPr>
      </w:pPr>
      <w:bookmarkStart w:id="22" w:name="_Toc54643709"/>
      <w:bookmarkStart w:id="23" w:name="_Toc51339698"/>
      <w:bookmarkStart w:id="24" w:name="_Toc54643708"/>
      <w:bookmarkStart w:id="25" w:name="_Toc46743511"/>
      <w:r>
        <w:rPr>
          <w:sz w:val="25"/>
          <w:szCs w:val="25"/>
        </w:rPr>
        <w:t xml:space="preserve">Требования к </w:t>
      </w:r>
      <w:bookmarkEnd w:id="25"/>
      <w:r>
        <w:rPr>
          <w:sz w:val="25"/>
          <w:szCs w:val="25"/>
          <w:lang w:val="ru-RU"/>
        </w:rPr>
        <w:t>качеству услуг</w:t>
      </w:r>
      <w:bookmarkEnd w:id="24"/>
    </w:p>
    <w:p>
      <w:pPr>
        <w:pStyle w:val="Heading1"/>
        <w:numPr>
          <w:ilvl w:val="0"/>
          <w:numId w:val="0"/>
        </w:numPr>
        <w:ind w:left="0" w:hanging="0"/>
        <w:rPr>
          <w:rStyle w:val="Style8"/>
          <w:b/>
          <w:i w:val="false"/>
          <w:i w:val="false"/>
          <w:sz w:val="25"/>
          <w:szCs w:val="25"/>
          <w:shd w:fill="auto" w:val="clear"/>
        </w:rPr>
      </w:pPr>
      <w:r>
        <w:rPr>
          <w:sz w:val="25"/>
          <w:szCs w:val="25"/>
        </w:rPr>
        <w:t>Таблица </w:t>
      </w:r>
      <w:r>
        <w:rPr>
          <w:sz w:val="25"/>
          <w:szCs w:val="25"/>
          <w:lang w:val="ru-RU"/>
        </w:rPr>
        <w:t>4</w:t>
      </w:r>
      <w:r>
        <w:rPr>
          <w:sz w:val="25"/>
          <w:szCs w:val="25"/>
        </w:rPr>
        <w:t xml:space="preserve">. Требования к </w:t>
      </w:r>
      <w:bookmarkEnd w:id="23"/>
      <w:r>
        <w:rPr>
          <w:sz w:val="25"/>
          <w:szCs w:val="25"/>
          <w:lang w:val="ru-RU"/>
        </w:rPr>
        <w:t>качеству услуг</w:t>
      </w:r>
      <w:bookmarkEnd w:id="22"/>
      <w:r>
        <w:rPr>
          <w:sz w:val="25"/>
          <w:szCs w:val="25"/>
        </w:rPr>
        <w:t xml:space="preserve"> </w:t>
      </w:r>
    </w:p>
    <w:p>
      <w:pPr>
        <w:pStyle w:val="Normal"/>
        <w:rPr>
          <w:rStyle w:val="Style8"/>
          <w:b w:val="false"/>
          <w:sz w:val="25"/>
          <w:szCs w:val="25"/>
        </w:rPr>
      </w:pPr>
      <w:r>
        <w:rPr>
          <w:rStyle w:val="Style8"/>
          <w:b w:val="false"/>
          <w:sz w:val="25"/>
          <w:szCs w:val="25"/>
        </w:rPr>
        <w:t xml:space="preserve"> </w:t>
      </w:r>
    </w:p>
    <w:p>
      <w:pPr>
        <w:pStyle w:val="Normal"/>
        <w:rPr>
          <w:i/>
          <w:i/>
          <w:iCs/>
          <w:sz w:val="25"/>
          <w:szCs w:val="25"/>
          <w:shd w:fill="FFFF99" w:val="clear"/>
        </w:rPr>
      </w:pPr>
      <w:r>
        <w:rPr>
          <w:b/>
          <w:bCs/>
          <w:sz w:val="25"/>
          <w:szCs w:val="25"/>
        </w:rPr>
        <w:t xml:space="preserve">Наименование услуг/этапа услуг (позиция №1 Таблицы 2): </w:t>
      </w:r>
      <w:r>
        <w:rPr>
          <w:sz w:val="25"/>
          <w:szCs w:val="25"/>
        </w:rPr>
        <w:t>ОКПД 2: 49.41.15.000 Услуги по перевозке угля автомобильным транспортом для нужд Камчатского филиала АО "ТК РусГидро"</w:t>
      </w:r>
    </w:p>
    <w:tbl>
      <w:tblPr>
        <w:tblStyle w:val="af"/>
        <w:tblW w:w="10386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58"/>
        <w:gridCol w:w="2314"/>
        <w:gridCol w:w="2996"/>
        <w:gridCol w:w="2114"/>
        <w:gridCol w:w="2304"/>
      </w:tblGrid>
      <w:tr>
        <w:trPr/>
        <w:tc>
          <w:tcPr>
            <w:tcW w:w="658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5"/>
                <w:szCs w:val="25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5"/>
                <w:szCs w:val="25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5"/>
                <w:szCs w:val="25"/>
                <w:lang w:val="ru-RU" w:eastAsia="ru-RU" w:bidi="ar-SA"/>
              </w:rPr>
              <w:t>п/п</w:t>
            </w:r>
          </w:p>
        </w:tc>
        <w:tc>
          <w:tcPr>
            <w:tcW w:w="2314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5"/>
                <w:szCs w:val="25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5"/>
                <w:szCs w:val="25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299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5"/>
                <w:szCs w:val="25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5"/>
                <w:szCs w:val="25"/>
                <w:lang w:val="ru-RU" w:eastAsia="ru-RU" w:bidi="ar-SA"/>
              </w:rPr>
              <w:t>Требование заказчика</w:t>
            </w:r>
          </w:p>
        </w:tc>
        <w:tc>
          <w:tcPr>
            <w:tcW w:w="441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5"/>
                <w:szCs w:val="25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5"/>
                <w:szCs w:val="25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</w:tr>
      <w:tr>
        <w:trPr/>
        <w:tc>
          <w:tcPr>
            <w:tcW w:w="658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5"/>
                <w:szCs w:val="25"/>
              </w:rPr>
            </w:pPr>
            <w:r>
              <w:rPr>
                <w:b/>
                <w:bCs/>
                <w:sz w:val="25"/>
                <w:szCs w:val="25"/>
              </w:rPr>
            </w:r>
          </w:p>
        </w:tc>
        <w:tc>
          <w:tcPr>
            <w:tcW w:w="231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5"/>
                <w:szCs w:val="25"/>
              </w:rPr>
            </w:pPr>
            <w:r>
              <w:rPr>
                <w:b/>
                <w:bCs/>
                <w:sz w:val="25"/>
                <w:szCs w:val="25"/>
              </w:rPr>
            </w:r>
          </w:p>
        </w:tc>
        <w:tc>
          <w:tcPr>
            <w:tcW w:w="299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5"/>
                <w:szCs w:val="25"/>
              </w:rPr>
            </w:pPr>
            <w:r>
              <w:rPr>
                <w:b/>
                <w:bCs/>
                <w:sz w:val="25"/>
                <w:szCs w:val="25"/>
              </w:rPr>
            </w:r>
          </w:p>
        </w:tc>
        <w:tc>
          <w:tcPr>
            <w:tcW w:w="211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5"/>
                <w:szCs w:val="25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5"/>
                <w:szCs w:val="25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230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5"/>
                <w:szCs w:val="25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5"/>
                <w:szCs w:val="25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</w:tr>
      <w:tr>
        <w:trPr/>
        <w:tc>
          <w:tcPr>
            <w:tcW w:w="65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5"/>
                <w:szCs w:val="25"/>
              </w:rPr>
            </w:pPr>
            <w:bookmarkStart w:id="26" w:name="_Toc53499667"/>
            <w:r>
              <w:rPr>
                <w:rFonts w:eastAsia="Times New Roman" w:cs="Times New Roman"/>
                <w:b/>
                <w:bCs/>
                <w:kern w:val="0"/>
                <w:sz w:val="25"/>
                <w:szCs w:val="25"/>
                <w:lang w:val="ru-RU" w:eastAsia="ru-RU" w:bidi="ar-SA"/>
              </w:rPr>
              <w:t>1</w:t>
            </w:r>
            <w:bookmarkEnd w:id="26"/>
          </w:p>
        </w:tc>
        <w:tc>
          <w:tcPr>
            <w:tcW w:w="231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5"/>
                <w:szCs w:val="25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5"/>
                <w:szCs w:val="25"/>
                <w:lang w:val="ru-RU" w:eastAsia="ru-RU" w:bidi="ar-SA"/>
              </w:rPr>
              <w:t>2</w:t>
            </w:r>
          </w:p>
        </w:tc>
        <w:tc>
          <w:tcPr>
            <w:tcW w:w="29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5"/>
                <w:szCs w:val="25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5"/>
                <w:szCs w:val="25"/>
                <w:lang w:val="ru-RU" w:eastAsia="ru-RU" w:bidi="ar-SA"/>
              </w:rPr>
              <w:t>3</w:t>
            </w:r>
          </w:p>
        </w:tc>
        <w:tc>
          <w:tcPr>
            <w:tcW w:w="211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5"/>
                <w:szCs w:val="25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5"/>
                <w:szCs w:val="25"/>
                <w:lang w:val="ru-RU" w:eastAsia="ru-RU" w:bidi="ar-SA"/>
              </w:rPr>
              <w:t>4</w:t>
            </w:r>
          </w:p>
        </w:tc>
        <w:tc>
          <w:tcPr>
            <w:tcW w:w="230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5"/>
                <w:szCs w:val="25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5"/>
                <w:szCs w:val="25"/>
                <w:lang w:val="ru-RU" w:eastAsia="ru-RU" w:bidi="ar-SA"/>
              </w:rPr>
              <w:t>5</w:t>
            </w:r>
          </w:p>
        </w:tc>
      </w:tr>
      <w:tr>
        <w:trPr/>
        <w:tc>
          <w:tcPr>
            <w:tcW w:w="65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</w:r>
          </w:p>
        </w:tc>
        <w:tc>
          <w:tcPr>
            <w:tcW w:w="5310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5"/>
                <w:szCs w:val="25"/>
              </w:rPr>
            </w:pPr>
            <w:r>
              <w:rPr>
                <w:rFonts w:eastAsia="Times New Roman" w:cs="Times New Roman"/>
                <w:b/>
                <w:kern w:val="0"/>
                <w:sz w:val="25"/>
                <w:szCs w:val="25"/>
                <w:lang w:val="ru-RU" w:eastAsia="ru-RU" w:bidi="ar-SA"/>
              </w:rPr>
              <w:t xml:space="preserve">Требования к оказанию услуг </w:t>
            </w:r>
          </w:p>
        </w:tc>
        <w:tc>
          <w:tcPr>
            <w:tcW w:w="2114" w:type="dxa"/>
            <w:vMerge w:val="restart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5"/>
                <w:szCs w:val="25"/>
              </w:rPr>
            </w:pPr>
            <w:r>
              <w:rPr>
                <w:rFonts w:eastAsia="Times New Roman" w:cs="Times New Roman"/>
                <w:kern w:val="0"/>
                <w:sz w:val="25"/>
                <w:szCs w:val="25"/>
                <w:lang w:val="ru-RU" w:eastAsia="ru-RU" w:bidi="ar-SA"/>
              </w:rPr>
              <w:t>Участник должен предоставить в заявке согласие оказать услуги, полностью соответствующие настоящим техническим требованиям, по форме Технического предложения, установленной в Документации о закупке.</w:t>
            </w:r>
          </w:p>
        </w:tc>
        <w:tc>
          <w:tcPr>
            <w:tcW w:w="2304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5"/>
                <w:szCs w:val="25"/>
              </w:rPr>
            </w:pPr>
            <w:r>
              <w:rPr>
                <w:rFonts w:eastAsia="Times New Roman" w:cs="Times New Roman"/>
                <w:b/>
                <w:kern w:val="0"/>
                <w:sz w:val="25"/>
                <w:szCs w:val="25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65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7"/>
              <w:contextualSpacing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</w:r>
          </w:p>
        </w:tc>
        <w:tc>
          <w:tcPr>
            <w:tcW w:w="5310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b/>
                <w:sz w:val="25"/>
                <w:szCs w:val="25"/>
              </w:rPr>
            </w:pPr>
            <w:r>
              <w:rPr>
                <w:rFonts w:eastAsia="Times New Roman" w:cs="Times New Roman"/>
                <w:b/>
                <w:kern w:val="0"/>
                <w:sz w:val="25"/>
                <w:szCs w:val="25"/>
                <w:lang w:val="ru-RU" w:eastAsia="ru-RU" w:bidi="ar-SA"/>
              </w:rPr>
              <w:t>Общие требования к оказанию услуг</w:t>
            </w:r>
          </w:p>
        </w:tc>
        <w:tc>
          <w:tcPr>
            <w:tcW w:w="2114" w:type="dxa"/>
            <w:vMerge w:val="continue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</w:r>
          </w:p>
        </w:tc>
        <w:tc>
          <w:tcPr>
            <w:tcW w:w="2304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</w:r>
          </w:p>
        </w:tc>
      </w:tr>
      <w:tr>
        <w:trPr/>
        <w:tc>
          <w:tcPr>
            <w:tcW w:w="65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-117" w:firstLine="147"/>
              <w:contextualSpacing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</w:r>
          </w:p>
        </w:tc>
        <w:tc>
          <w:tcPr>
            <w:tcW w:w="2314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b/>
                <w:sz w:val="25"/>
                <w:szCs w:val="25"/>
              </w:rPr>
            </w:pPr>
            <w:r>
              <w:rPr>
                <w:rFonts w:eastAsia="Times New Roman" w:cs="Times New Roman"/>
                <w:kern w:val="0"/>
                <w:sz w:val="25"/>
                <w:szCs w:val="25"/>
                <w:lang w:val="ru-RU" w:eastAsia="ru-RU" w:bidi="ar-SA"/>
              </w:rPr>
              <w:t>Соблюдения нормативно-правовых документов</w:t>
            </w:r>
          </w:p>
        </w:tc>
        <w:tc>
          <w:tcPr>
            <w:tcW w:w="2996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sz w:val="25"/>
                <w:szCs w:val="25"/>
              </w:rPr>
            </w:pPr>
            <w:r>
              <w:rPr>
                <w:rFonts w:eastAsia="Times New Roman" w:cs="Times New Roman"/>
                <w:kern w:val="0"/>
                <w:sz w:val="25"/>
                <w:szCs w:val="25"/>
                <w:lang w:val="ru-RU" w:eastAsia="ru-RU" w:bidi="ar-SA"/>
              </w:rPr>
              <w:t>Услуги оказываются в соответствии с: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spacing w:before="60" w:after="0"/>
              <w:ind w:left="0" w:firstLine="360"/>
              <w:contextualSpacing/>
              <w:jc w:val="both"/>
              <w:rPr>
                <w:sz w:val="25"/>
                <w:szCs w:val="25"/>
              </w:rPr>
            </w:pPr>
            <w:r>
              <w:rPr>
                <w:rFonts w:cs="Times New Roman"/>
                <w:kern w:val="0"/>
                <w:sz w:val="25"/>
                <w:szCs w:val="25"/>
                <w:lang w:val="ru-RU" w:eastAsia="ru-RU" w:bidi="ar-SA"/>
              </w:rPr>
              <w:t>Постановление Правительства РФ № 2200 от 21.12.2020 г. Об утверждении Правил перевозок грузов автомобильным транспортом и о внесении изменений в пункт 2.1.1 Правил дорожного движения Российской Федерации;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spacing w:before="60" w:after="0"/>
              <w:ind w:left="0" w:firstLine="360"/>
              <w:contextualSpacing/>
              <w:jc w:val="both"/>
              <w:rPr>
                <w:sz w:val="25"/>
                <w:szCs w:val="25"/>
              </w:rPr>
            </w:pPr>
            <w:r>
              <w:rPr>
                <w:rFonts w:cs="Times New Roman"/>
                <w:kern w:val="0"/>
                <w:sz w:val="25"/>
                <w:szCs w:val="25"/>
                <w:lang w:val="ru-RU" w:eastAsia="ru-RU" w:bidi="ar-SA"/>
              </w:rPr>
              <w:t xml:space="preserve">Постановление Правительства РФ № 554 от 08.09.2006 г. </w:t>
            </w:r>
            <w:hyperlink r:id="rId5">
              <w:r>
                <w:rPr>
                  <w:rFonts w:cs="Times New Roman"/>
                  <w:kern w:val="0"/>
                  <w:sz w:val="25"/>
                  <w:szCs w:val="25"/>
                  <w:lang w:val="ru-RU" w:eastAsia="ru-RU" w:bidi="ar-SA"/>
                </w:rPr>
                <w:t>Об утверждении Правил транспортно-экспедиционной деятельности</w:t>
              </w:r>
            </w:hyperlink>
            <w:r>
              <w:rPr>
                <w:rFonts w:cs="Times New Roman"/>
                <w:kern w:val="0"/>
                <w:sz w:val="25"/>
                <w:szCs w:val="25"/>
                <w:lang w:val="ru-RU" w:eastAsia="ru-RU" w:bidi="ar-SA"/>
              </w:rPr>
              <w:t>;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spacing w:before="60" w:after="0"/>
              <w:ind w:left="0" w:firstLine="360"/>
              <w:contextualSpacing/>
              <w:jc w:val="both"/>
              <w:rPr>
                <w:sz w:val="25"/>
                <w:szCs w:val="25"/>
              </w:rPr>
            </w:pPr>
            <w:r>
              <w:rPr>
                <w:rFonts w:cs="Times New Roman"/>
                <w:kern w:val="0"/>
                <w:sz w:val="25"/>
                <w:szCs w:val="25"/>
                <w:lang w:val="ru-RU" w:eastAsia="ru-RU" w:bidi="ar-SA"/>
              </w:rPr>
              <w:t>Федеральный закон № 259-ФЗ от 08.11.2007 г. Устав автомобильного транспорта и городского наземного электрического транспорта;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spacing w:before="60" w:after="0"/>
              <w:ind w:left="0" w:firstLine="360"/>
              <w:contextualSpacing/>
              <w:jc w:val="both"/>
              <w:rPr>
                <w:sz w:val="25"/>
                <w:szCs w:val="25"/>
              </w:rPr>
            </w:pPr>
            <w:r>
              <w:rPr>
                <w:rFonts w:cs="Times New Roman"/>
                <w:kern w:val="0"/>
                <w:sz w:val="25"/>
                <w:szCs w:val="25"/>
                <w:lang w:val="ru-RU" w:eastAsia="ru-RU" w:bidi="ar-SA"/>
              </w:rPr>
              <w:t xml:space="preserve">Федеральный закон № 87-ФЗ от 30.06.2003 г. </w:t>
            </w:r>
            <w:hyperlink r:id="rId6">
              <w:r>
                <w:rPr>
                  <w:rFonts w:cs="Times New Roman"/>
                  <w:kern w:val="0"/>
                  <w:sz w:val="25"/>
                  <w:szCs w:val="25"/>
                  <w:lang w:val="ru-RU" w:eastAsia="ru-RU" w:bidi="ar-SA"/>
                </w:rPr>
                <w:t>О Транспортно-экспедиционной деятельности</w:t>
              </w:r>
            </w:hyperlink>
            <w:r>
              <w:rPr>
                <w:rFonts w:cs="Times New Roman"/>
                <w:kern w:val="0"/>
                <w:sz w:val="25"/>
                <w:szCs w:val="25"/>
                <w:lang w:val="ru-RU" w:eastAsia="ru-RU" w:bidi="ar-SA"/>
              </w:rPr>
              <w:t>;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spacing w:before="60" w:after="0"/>
              <w:ind w:left="0" w:firstLine="360"/>
              <w:contextualSpacing/>
              <w:jc w:val="both"/>
              <w:rPr>
                <w:sz w:val="25"/>
                <w:szCs w:val="25"/>
              </w:rPr>
            </w:pPr>
            <w:r>
              <w:rPr>
                <w:rFonts w:cs="Times New Roman"/>
                <w:kern w:val="0"/>
                <w:sz w:val="25"/>
                <w:szCs w:val="25"/>
                <w:lang w:val="ru-RU" w:eastAsia="ru-RU" w:bidi="ar-SA"/>
              </w:rPr>
              <w:t>Федеральный закон № 14-ФЗ от 26.01.1996 г.</w:t>
            </w:r>
            <w:r>
              <w:rPr>
                <w:rFonts w:cs="Times New Roman"/>
                <w:kern w:val="0"/>
                <w:lang w:val="ru-RU" w:eastAsia="ru-RU" w:bidi="ar-SA"/>
              </w:rPr>
              <w:t xml:space="preserve"> </w:t>
            </w:r>
            <w:r>
              <w:rPr>
                <w:rFonts w:cs="Times New Roman"/>
                <w:kern w:val="0"/>
                <w:sz w:val="25"/>
                <w:szCs w:val="25"/>
                <w:lang w:val="ru-RU" w:eastAsia="ru-RU" w:bidi="ar-SA"/>
              </w:rPr>
              <w:t>Гражданский кодекс РФ. Ч 2. Глава 41. Транспортная экспедиция;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spacing w:before="60" w:after="0"/>
              <w:ind w:left="0" w:firstLine="360"/>
              <w:contextualSpacing/>
              <w:jc w:val="both"/>
              <w:rPr>
                <w:sz w:val="25"/>
                <w:szCs w:val="25"/>
              </w:rPr>
            </w:pPr>
            <w:r>
              <w:rPr>
                <w:rFonts w:cs="Times New Roman"/>
                <w:kern w:val="0"/>
                <w:sz w:val="25"/>
                <w:szCs w:val="25"/>
                <w:lang w:val="ru-RU" w:eastAsia="ru-RU" w:bidi="ar-SA"/>
              </w:rPr>
              <w:t>Федеральный закон</w:t>
            </w:r>
            <w:r>
              <w:rPr>
                <w:rFonts w:cs="Times New Roman"/>
                <w:kern w:val="0"/>
                <w:lang w:val="ru-RU" w:eastAsia="ru-RU" w:bidi="ar-SA"/>
              </w:rPr>
              <w:t xml:space="preserve"> </w:t>
            </w:r>
            <w:r>
              <w:rPr>
                <w:rFonts w:cs="Times New Roman"/>
                <w:kern w:val="0"/>
                <w:sz w:val="25"/>
                <w:szCs w:val="25"/>
                <w:lang w:val="ru-RU" w:eastAsia="ru-RU" w:bidi="ar-SA"/>
              </w:rPr>
              <w:tab/>
              <w:t>№ 14-ФЗ от 26.01.1996 г. Гражданский кодекс РФ. Ч 2. Глава 40. Перевозка;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spacing w:before="60" w:after="0"/>
              <w:ind w:left="0" w:firstLine="360"/>
              <w:contextualSpacing/>
              <w:jc w:val="both"/>
              <w:rPr>
                <w:sz w:val="25"/>
                <w:szCs w:val="25"/>
              </w:rPr>
            </w:pPr>
            <w:r>
              <w:rPr>
                <w:rFonts w:cs="Times New Roman"/>
                <w:kern w:val="0"/>
                <w:sz w:val="25"/>
                <w:szCs w:val="25"/>
                <w:lang w:val="ru-RU" w:eastAsia="ru-RU" w:bidi="ar-SA"/>
              </w:rPr>
              <w:t>Иные нормативно-правовые акты Российской Федерации, действующие на момент оказания услуг и регламентирующие правила перевозки грузов автомобильным транспортом.</w:t>
            </w:r>
          </w:p>
        </w:tc>
        <w:tc>
          <w:tcPr>
            <w:tcW w:w="2114" w:type="dxa"/>
            <w:vMerge w:val="continue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</w:r>
          </w:p>
        </w:tc>
        <w:tc>
          <w:tcPr>
            <w:tcW w:w="2304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</w:r>
          </w:p>
        </w:tc>
      </w:tr>
      <w:tr>
        <w:trPr/>
        <w:tc>
          <w:tcPr>
            <w:tcW w:w="65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</w:r>
          </w:p>
        </w:tc>
        <w:tc>
          <w:tcPr>
            <w:tcW w:w="5310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b/>
                <w:sz w:val="25"/>
                <w:szCs w:val="25"/>
              </w:rPr>
            </w:pPr>
            <w:r>
              <w:rPr>
                <w:rFonts w:eastAsia="Times New Roman" w:cs="Times New Roman"/>
                <w:b/>
                <w:kern w:val="0"/>
                <w:sz w:val="25"/>
                <w:szCs w:val="25"/>
                <w:lang w:val="ru-RU" w:eastAsia="ru-RU" w:bidi="ar-SA"/>
              </w:rPr>
              <w:t>Требования к способам оказания услуг</w:t>
            </w:r>
          </w:p>
        </w:tc>
        <w:tc>
          <w:tcPr>
            <w:tcW w:w="2114" w:type="dxa"/>
            <w:vMerge w:val="continue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</w:r>
          </w:p>
        </w:tc>
        <w:tc>
          <w:tcPr>
            <w:tcW w:w="2304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</w:r>
          </w:p>
        </w:tc>
      </w:tr>
      <w:tr>
        <w:trPr/>
        <w:tc>
          <w:tcPr>
            <w:tcW w:w="65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</w:r>
          </w:p>
        </w:tc>
        <w:tc>
          <w:tcPr>
            <w:tcW w:w="2314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sz w:val="25"/>
                <w:szCs w:val="25"/>
              </w:rPr>
            </w:pPr>
            <w:r>
              <w:rPr>
                <w:rFonts w:eastAsia="Times New Roman" w:cs="Times New Roman"/>
                <w:kern w:val="0"/>
                <w:sz w:val="25"/>
                <w:szCs w:val="25"/>
                <w:lang w:val="ru-RU" w:eastAsia="ru-RU" w:bidi="ar-SA"/>
              </w:rPr>
              <w:t>Способы оказания услуг</w:t>
            </w:r>
          </w:p>
        </w:tc>
        <w:tc>
          <w:tcPr>
            <w:tcW w:w="29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b/>
                <w:sz w:val="25"/>
                <w:szCs w:val="25"/>
              </w:rPr>
            </w:pPr>
            <w:r>
              <w:rPr>
                <w:rFonts w:eastAsia="Calibri" w:cs="Times New Roman"/>
                <w:kern w:val="0"/>
                <w:sz w:val="25"/>
                <w:szCs w:val="25"/>
                <w:lang w:val="ru-RU" w:eastAsia="ru-RU" w:bidi="ar-SA"/>
              </w:rPr>
              <w:t>Услуги оказываются способом перевозки угля с использованием грузовых автомобилей типа – самосвал</w:t>
            </w:r>
            <w:r>
              <w:rPr>
                <w:rFonts w:eastAsia="Times New Roman" w:cs="Times New Roman"/>
                <w:b/>
                <w:kern w:val="0"/>
                <w:sz w:val="25"/>
                <w:szCs w:val="25"/>
                <w:lang w:val="ru-RU" w:eastAsia="ru-RU" w:bidi="ar-SA"/>
              </w:rPr>
              <w:t>.</w:t>
            </w:r>
          </w:p>
        </w:tc>
        <w:tc>
          <w:tcPr>
            <w:tcW w:w="2114" w:type="dxa"/>
            <w:vMerge w:val="continue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</w:r>
          </w:p>
        </w:tc>
        <w:tc>
          <w:tcPr>
            <w:tcW w:w="2304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</w:r>
          </w:p>
        </w:tc>
      </w:tr>
      <w:tr>
        <w:trPr/>
        <w:tc>
          <w:tcPr>
            <w:tcW w:w="65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</w:r>
          </w:p>
        </w:tc>
        <w:tc>
          <w:tcPr>
            <w:tcW w:w="5310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b/>
                <w:sz w:val="25"/>
                <w:szCs w:val="25"/>
              </w:rPr>
            </w:pPr>
            <w:r>
              <w:rPr>
                <w:rFonts w:eastAsia="Times New Roman" w:cs="Times New Roman"/>
                <w:b/>
                <w:kern w:val="0"/>
                <w:sz w:val="25"/>
                <w:szCs w:val="25"/>
                <w:lang w:val="ru-RU" w:eastAsia="ru-RU" w:bidi="ar-SA"/>
              </w:rPr>
              <w:t>Требования к процедурам оказания услуг</w:t>
            </w:r>
          </w:p>
        </w:tc>
        <w:tc>
          <w:tcPr>
            <w:tcW w:w="2114" w:type="dxa"/>
            <w:vMerge w:val="continue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</w:r>
          </w:p>
        </w:tc>
        <w:tc>
          <w:tcPr>
            <w:tcW w:w="2304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5"/>
                <w:szCs w:val="25"/>
              </w:rPr>
            </w:pPr>
            <w:r>
              <w:rPr>
                <w:rFonts w:eastAsia="Times New Roman" w:cs="Times New Roman"/>
                <w:b/>
                <w:kern w:val="0"/>
                <w:sz w:val="25"/>
                <w:szCs w:val="25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65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14" w:hanging="1199"/>
              <w:contextualSpacing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</w:r>
          </w:p>
        </w:tc>
        <w:tc>
          <w:tcPr>
            <w:tcW w:w="231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5"/>
                <w:szCs w:val="25"/>
              </w:rPr>
            </w:pPr>
            <w:r>
              <w:rPr>
                <w:rFonts w:eastAsia="Times New Roman" w:cs="Times New Roman"/>
                <w:kern w:val="0"/>
                <w:sz w:val="25"/>
                <w:szCs w:val="25"/>
                <w:lang w:val="ru-RU" w:eastAsia="ru-RU" w:bidi="ar-SA"/>
              </w:rPr>
              <w:t>Организационно-технические мероприятия по допуску персонала исполнителя</w:t>
            </w:r>
          </w:p>
        </w:tc>
        <w:tc>
          <w:tcPr>
            <w:tcW w:w="2996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5"/>
                <w:szCs w:val="25"/>
              </w:rPr>
            </w:pPr>
            <w:r>
              <w:rPr>
                <w:rFonts w:eastAsia="Times New Roman" w:cs="Times New Roman"/>
                <w:kern w:val="0"/>
                <w:sz w:val="25"/>
                <w:szCs w:val="25"/>
                <w:lang w:val="ru-RU" w:eastAsia="ru-RU" w:bidi="ar-SA"/>
              </w:rPr>
              <w:t>Допуск персонала исполнителя для оказания услуг должен осуществляться в соответствии с «Временным положением о допуске персонала строительно-монтажных организаций и командированного персонала к выполнению работ на объектах ПАО «РусГидро» (утв. приказом ОАО «РусГидро» №736 от 13.11.2008г) (раздел 8, Приложение №2 к ТТ)» с обязательным оформлением необходимых нарядов-допусков.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5"/>
                <w:szCs w:val="25"/>
              </w:rPr>
            </w:pPr>
            <w:r>
              <w:rPr>
                <w:rFonts w:eastAsia="Times New Roman" w:cs="Times New Roman"/>
                <w:kern w:val="0"/>
                <w:sz w:val="25"/>
                <w:szCs w:val="25"/>
                <w:lang w:val="ru-RU" w:eastAsia="ru-RU" w:bidi="ar-SA"/>
              </w:rPr>
              <w:t>Подготовку рабочих мест и допуск к оказанию услуг выполняет персонал заказчика.</w:t>
            </w:r>
          </w:p>
        </w:tc>
        <w:tc>
          <w:tcPr>
            <w:tcW w:w="2114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</w:r>
          </w:p>
        </w:tc>
        <w:tc>
          <w:tcPr>
            <w:tcW w:w="2304" w:type="dxa"/>
            <w:tcBorders/>
            <w:shd w:color="auto" w:fill="auto" w:val="clear"/>
          </w:tcPr>
          <w:p>
            <w:pPr>
              <w:pStyle w:val="Style26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sz w:val="25"/>
                <w:szCs w:val="25"/>
              </w:rPr>
            </w:pPr>
            <w:r>
              <w:rPr>
                <w:rFonts w:eastAsia="Times New Roman" w:cs="Times New Roman"/>
                <w:kern w:val="0"/>
                <w:sz w:val="25"/>
                <w:szCs w:val="25"/>
                <w:lang w:val="ru-RU" w:eastAsia="ru-RU" w:bidi="ar-SA"/>
              </w:rPr>
            </w:r>
          </w:p>
        </w:tc>
      </w:tr>
      <w:tr>
        <w:trPr/>
        <w:tc>
          <w:tcPr>
            <w:tcW w:w="65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14" w:hanging="1199"/>
              <w:contextualSpacing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</w:r>
          </w:p>
        </w:tc>
        <w:tc>
          <w:tcPr>
            <w:tcW w:w="231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5"/>
                <w:szCs w:val="25"/>
              </w:rPr>
            </w:pPr>
            <w:r>
              <w:rPr>
                <w:rFonts w:eastAsia="Times New Roman" w:cs="Times New Roman"/>
                <w:kern w:val="0"/>
                <w:sz w:val="25"/>
                <w:szCs w:val="25"/>
                <w:lang w:val="ru-RU" w:eastAsia="ru-RU" w:bidi="ar-SA"/>
              </w:rPr>
              <w:t>Требование к информационной безопасности</w:t>
            </w:r>
          </w:p>
        </w:tc>
        <w:tc>
          <w:tcPr>
            <w:tcW w:w="2996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5"/>
                <w:szCs w:val="25"/>
              </w:rPr>
            </w:pPr>
            <w:r>
              <w:rPr>
                <w:rFonts w:eastAsia="Times New Roman" w:cs="Times New Roman"/>
                <w:kern w:val="0"/>
                <w:sz w:val="25"/>
                <w:szCs w:val="25"/>
                <w:lang w:val="ru-RU" w:eastAsia="ru-RU" w:bidi="ar-SA"/>
              </w:rPr>
              <w:t>При пересылке файлов не допускается использование открытых файлообменных сервисов.</w:t>
            </w:r>
          </w:p>
        </w:tc>
        <w:tc>
          <w:tcPr>
            <w:tcW w:w="2114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</w:r>
          </w:p>
        </w:tc>
        <w:tc>
          <w:tcPr>
            <w:tcW w:w="2304" w:type="dxa"/>
            <w:tcBorders/>
            <w:shd w:color="auto" w:fill="auto" w:val="clear"/>
          </w:tcPr>
          <w:p>
            <w:pPr>
              <w:pStyle w:val="Style26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sz w:val="25"/>
                <w:szCs w:val="25"/>
              </w:rPr>
            </w:pPr>
            <w:r>
              <w:rPr>
                <w:rFonts w:eastAsia="Times New Roman" w:cs="Times New Roman"/>
                <w:kern w:val="0"/>
                <w:sz w:val="25"/>
                <w:szCs w:val="25"/>
                <w:lang w:val="ru-RU" w:eastAsia="ru-RU" w:bidi="ar-SA"/>
              </w:rPr>
            </w:r>
          </w:p>
        </w:tc>
      </w:tr>
      <w:tr>
        <w:trPr/>
        <w:tc>
          <w:tcPr>
            <w:tcW w:w="65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</w:r>
          </w:p>
        </w:tc>
        <w:tc>
          <w:tcPr>
            <w:tcW w:w="5310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b/>
                <w:sz w:val="25"/>
                <w:szCs w:val="25"/>
              </w:rPr>
            </w:pPr>
            <w:r>
              <w:rPr>
                <w:rFonts w:eastAsia="Times New Roman" w:cs="Times New Roman"/>
                <w:b/>
                <w:kern w:val="0"/>
                <w:sz w:val="25"/>
                <w:szCs w:val="25"/>
                <w:lang w:val="ru-RU" w:eastAsia="ru-RU" w:bidi="ar-SA"/>
              </w:rPr>
              <w:t>Требования к применяемым при оказании услуг оборудованию и материалам</w:t>
            </w:r>
          </w:p>
        </w:tc>
        <w:tc>
          <w:tcPr>
            <w:tcW w:w="2114" w:type="dxa"/>
            <w:vMerge w:val="continue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</w:r>
          </w:p>
        </w:tc>
        <w:tc>
          <w:tcPr>
            <w:tcW w:w="2304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5"/>
                <w:szCs w:val="25"/>
              </w:rPr>
            </w:pPr>
            <w:r>
              <w:rPr>
                <w:rFonts w:eastAsia="Times New Roman" w:cs="Times New Roman"/>
                <w:b/>
                <w:kern w:val="0"/>
                <w:sz w:val="25"/>
                <w:szCs w:val="25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65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14" w:hanging="1199"/>
              <w:contextualSpacing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</w:r>
          </w:p>
        </w:tc>
        <w:tc>
          <w:tcPr>
            <w:tcW w:w="231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5"/>
                <w:szCs w:val="25"/>
              </w:rPr>
            </w:pPr>
            <w:r>
              <w:rPr>
                <w:rFonts w:eastAsia="Times New Roman" w:cs="Times New Roman"/>
                <w:kern w:val="0"/>
                <w:sz w:val="25"/>
                <w:szCs w:val="25"/>
                <w:lang w:val="ru-RU" w:eastAsia="ru-RU" w:bidi="ar-SA"/>
              </w:rPr>
              <w:t>Наличие спецтехники</w:t>
            </w:r>
          </w:p>
        </w:tc>
        <w:tc>
          <w:tcPr>
            <w:tcW w:w="299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5"/>
                <w:szCs w:val="25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5"/>
                <w:szCs w:val="25"/>
                <w:lang w:val="x-none" w:eastAsia="x-none" w:bidi="ar-SA"/>
              </w:rPr>
              <w:t xml:space="preserve">Участник должен иметь парк автомобилей </w:t>
            </w:r>
            <w:r>
              <w:rPr>
                <w:rFonts w:eastAsia="Times New Roman" w:cs="Times New Roman"/>
                <w:kern w:val="0"/>
                <w:sz w:val="25"/>
                <w:szCs w:val="25"/>
                <w:lang w:val="ru-RU" w:eastAsia="x-none" w:bidi="ar-SA"/>
              </w:rPr>
              <w:t xml:space="preserve">типа самосвал </w:t>
            </w:r>
            <w:r>
              <w:rPr>
                <w:rFonts w:eastAsia="Times New Roman" w:cs="Times New Roman"/>
                <w:kern w:val="0"/>
                <w:sz w:val="25"/>
                <w:szCs w:val="25"/>
                <w:lang w:val="x-none" w:eastAsia="x-none" w:bidi="ar-SA"/>
              </w:rPr>
              <w:t>на территории г. Анадырь, исправных, пригодных и оборудованных для перевозки угля, в количестве не менее 2 единиц и обеспечивающем единовременный разовый объём перевозки не менее 20 тн. угля. Указанный автотранспорт должен находиться в собственности Участника, либо в иной форме хозяйственного управления.</w:t>
            </w:r>
          </w:p>
        </w:tc>
        <w:tc>
          <w:tcPr>
            <w:tcW w:w="2114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</w:r>
          </w:p>
        </w:tc>
        <w:tc>
          <w:tcPr>
            <w:tcW w:w="230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center"/>
              <w:rPr>
                <w:sz w:val="25"/>
                <w:szCs w:val="25"/>
              </w:rPr>
            </w:pPr>
            <w:r>
              <w:rPr>
                <w:rFonts w:eastAsia="Times New Roman" w:cs="Times New Roman"/>
                <w:kern w:val="0"/>
                <w:sz w:val="25"/>
                <w:szCs w:val="25"/>
                <w:lang w:val="ru-RU" w:eastAsia="ru-RU" w:bidi="ar-SA"/>
              </w:rPr>
              <w:t>Для транспортных средств не находящихся в собственности Заявителя предоставляется документ на право пользования: Договор аренды, Договор пользования и т.п.</w:t>
            </w:r>
          </w:p>
        </w:tc>
      </w:tr>
      <w:tr>
        <w:trPr/>
        <w:tc>
          <w:tcPr>
            <w:tcW w:w="65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14" w:hanging="1199"/>
              <w:contextualSpacing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</w:r>
          </w:p>
        </w:tc>
        <w:tc>
          <w:tcPr>
            <w:tcW w:w="231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5"/>
                <w:szCs w:val="25"/>
              </w:rPr>
            </w:pPr>
            <w:r>
              <w:rPr>
                <w:rFonts w:eastAsia="Times New Roman" w:cs="Times New Roman"/>
                <w:kern w:val="0"/>
                <w:sz w:val="25"/>
                <w:szCs w:val="25"/>
                <w:lang w:val="ru-RU" w:eastAsia="ru-RU" w:bidi="ar-SA"/>
              </w:rPr>
              <w:t>Требование к техническому и функциональному состоянию</w:t>
            </w:r>
          </w:p>
        </w:tc>
        <w:tc>
          <w:tcPr>
            <w:tcW w:w="299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5"/>
                <w:szCs w:val="25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5"/>
                <w:szCs w:val="25"/>
                <w:lang w:val="x-none" w:eastAsia="x-none" w:bidi="ar-SA"/>
              </w:rPr>
              <w:t>Все транспортные средства Исполнителя, планируемые к привлечению для оказания услуг по перевозке угля для нужд Заказчика должны быть в исправном состоянии</w:t>
            </w:r>
            <w:r>
              <w:rPr>
                <w:rFonts w:eastAsia="Times New Roman" w:cs="Times New Roman"/>
                <w:kern w:val="0"/>
                <w:sz w:val="25"/>
                <w:szCs w:val="25"/>
                <w:lang w:val="ru-RU" w:eastAsia="x-none" w:bidi="ar-SA"/>
              </w:rPr>
              <w:t>, иметь действующие диагностические карты и полисы ОСАГО, оборудованы системой спутникового мониторинга транспорта  с возможность предоставления доступа в систему для Заказчика, кузова должны быть оборудованы укрывными тентами.</w:t>
            </w:r>
          </w:p>
        </w:tc>
        <w:tc>
          <w:tcPr>
            <w:tcW w:w="2114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</w:r>
          </w:p>
        </w:tc>
        <w:tc>
          <w:tcPr>
            <w:tcW w:w="230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center"/>
              <w:rPr>
                <w:sz w:val="25"/>
                <w:szCs w:val="25"/>
              </w:rPr>
            </w:pPr>
            <w:r>
              <w:rPr>
                <w:rFonts w:eastAsia="Times New Roman" w:cs="Times New Roman"/>
                <w:kern w:val="0"/>
                <w:sz w:val="25"/>
                <w:szCs w:val="25"/>
                <w:lang w:val="ru-RU" w:eastAsia="ru-RU" w:bidi="ar-SA"/>
              </w:rPr>
              <w:t>---</w:t>
            </w:r>
          </w:p>
        </w:tc>
      </w:tr>
      <w:tr>
        <w:trPr/>
        <w:tc>
          <w:tcPr>
            <w:tcW w:w="65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14" w:hanging="1199"/>
              <w:contextualSpacing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</w:r>
          </w:p>
        </w:tc>
        <w:tc>
          <w:tcPr>
            <w:tcW w:w="231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5"/>
                <w:szCs w:val="25"/>
              </w:rPr>
            </w:pPr>
            <w:r>
              <w:rPr>
                <w:rFonts w:eastAsia="Times New Roman" w:cs="Times New Roman"/>
                <w:kern w:val="0"/>
                <w:sz w:val="25"/>
                <w:szCs w:val="25"/>
                <w:lang w:val="ru-RU" w:eastAsia="ru-RU" w:bidi="ar-SA"/>
              </w:rPr>
              <w:t>Требования к загрузке транспортных средств</w:t>
            </w:r>
          </w:p>
        </w:tc>
        <w:tc>
          <w:tcPr>
            <w:tcW w:w="299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5"/>
                <w:szCs w:val="25"/>
                <w:lang w:val="x-none" w:eastAsia="x-none"/>
              </w:rPr>
            </w:pPr>
            <w:r>
              <w:rPr>
                <w:rFonts w:eastAsia="Times New Roman" w:cs="Times New Roman"/>
                <w:kern w:val="0"/>
                <w:sz w:val="25"/>
                <w:szCs w:val="25"/>
                <w:lang w:val="x-none" w:eastAsia="x-none" w:bidi="ar-SA"/>
              </w:rPr>
              <w:t>Загрузка автомобилей Исполнителя осуществляется в объёме не превышающем ограничения нагрузок на оси установленных для транспортного средства Исполнителя с учётом грузоподъёмности весов Анадырской ТЭЦ не более 28 тн брутто, а также с учётом установленной ГБУ «Дорожно-эксплуатационное управление Чукотского АО» максимально допустимой нагрузки для ледовой переправы через Анадырский лиман.</w:t>
            </w:r>
          </w:p>
        </w:tc>
        <w:tc>
          <w:tcPr>
            <w:tcW w:w="2114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</w:r>
          </w:p>
        </w:tc>
        <w:tc>
          <w:tcPr>
            <w:tcW w:w="230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</w:r>
          </w:p>
        </w:tc>
      </w:tr>
      <w:tr>
        <w:trPr/>
        <w:tc>
          <w:tcPr>
            <w:tcW w:w="65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</w:r>
          </w:p>
        </w:tc>
        <w:tc>
          <w:tcPr>
            <w:tcW w:w="5310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5"/>
                <w:szCs w:val="25"/>
              </w:rPr>
            </w:pPr>
            <w:r>
              <w:rPr>
                <w:rFonts w:eastAsia="Times New Roman" w:cs="Times New Roman"/>
                <w:b/>
                <w:kern w:val="0"/>
                <w:sz w:val="25"/>
                <w:szCs w:val="25"/>
                <w:lang w:val="ru-RU" w:eastAsia="ru-RU" w:bidi="ar-SA"/>
              </w:rPr>
              <w:t>Требования к персоналу исполнителя</w:t>
            </w:r>
          </w:p>
        </w:tc>
        <w:tc>
          <w:tcPr>
            <w:tcW w:w="2114" w:type="dxa"/>
            <w:vMerge w:val="continue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</w:r>
          </w:p>
        </w:tc>
        <w:tc>
          <w:tcPr>
            <w:tcW w:w="2304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5"/>
                <w:szCs w:val="25"/>
              </w:rPr>
            </w:pPr>
            <w:r>
              <w:rPr>
                <w:rFonts w:eastAsia="Times New Roman" w:cs="Times New Roman"/>
                <w:b/>
                <w:kern w:val="0"/>
                <w:sz w:val="25"/>
                <w:szCs w:val="25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65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14" w:hanging="1199"/>
              <w:contextualSpacing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</w:r>
          </w:p>
        </w:tc>
        <w:tc>
          <w:tcPr>
            <w:tcW w:w="231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5"/>
                <w:szCs w:val="25"/>
              </w:rPr>
            </w:pPr>
            <w:r>
              <w:rPr>
                <w:rFonts w:eastAsia="Times New Roman" w:cs="Times New Roman"/>
                <w:kern w:val="0"/>
                <w:sz w:val="25"/>
                <w:szCs w:val="25"/>
                <w:lang w:val="ru-RU" w:eastAsia="ru-RU" w:bidi="ar-SA"/>
              </w:rPr>
              <w:t>Требования к персоналу</w:t>
            </w:r>
          </w:p>
        </w:tc>
        <w:tc>
          <w:tcPr>
            <w:tcW w:w="299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5"/>
                <w:szCs w:val="25"/>
                <w:lang w:val="x-none" w:eastAsia="x-none"/>
              </w:rPr>
            </w:pPr>
            <w:r>
              <w:rPr>
                <w:rFonts w:eastAsia="Times New Roman" w:cs="Times New Roman"/>
                <w:kern w:val="0"/>
                <w:sz w:val="25"/>
                <w:szCs w:val="25"/>
                <w:lang w:val="ru-RU" w:eastAsia="x-none" w:bidi="ar-SA"/>
              </w:rPr>
              <w:t>П</w:t>
            </w:r>
            <w:r>
              <w:rPr>
                <w:rFonts w:eastAsia="Times New Roman" w:cs="Times New Roman"/>
                <w:kern w:val="0"/>
                <w:sz w:val="25"/>
                <w:szCs w:val="25"/>
                <w:lang w:val="x-none" w:eastAsia="x-none" w:bidi="ar-SA"/>
              </w:rPr>
              <w:t>ри перевозке грузов, у водителя/представителя перевозчика должны находиться следующие перевозочные документы: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5"/>
                <w:szCs w:val="25"/>
                <w:lang w:val="x-none" w:eastAsia="x-none"/>
              </w:rPr>
            </w:pPr>
            <w:r>
              <w:rPr>
                <w:rFonts w:eastAsia="Times New Roman" w:cs="Times New Roman"/>
                <w:kern w:val="0"/>
                <w:sz w:val="25"/>
                <w:szCs w:val="25"/>
                <w:lang w:val="x-none" w:eastAsia="x-none" w:bidi="ar-SA"/>
              </w:rPr>
              <w:t xml:space="preserve">— </w:t>
            </w:r>
            <w:r>
              <w:rPr>
                <w:rFonts w:eastAsia="Times New Roman" w:cs="Times New Roman"/>
                <w:kern w:val="0"/>
                <w:sz w:val="25"/>
                <w:szCs w:val="25"/>
                <w:lang w:val="x-none" w:eastAsia="x-none" w:bidi="ar-SA"/>
              </w:rPr>
              <w:t>водительское удостоверение или временное разрешение на право управления транспортным средством соответствующей категории или подкатегории;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5"/>
                <w:szCs w:val="25"/>
                <w:lang w:val="x-none" w:eastAsia="x-none"/>
              </w:rPr>
            </w:pPr>
            <w:r>
              <w:rPr>
                <w:rFonts w:eastAsia="Times New Roman" w:cs="Times New Roman"/>
                <w:kern w:val="0"/>
                <w:sz w:val="25"/>
                <w:szCs w:val="25"/>
                <w:lang w:val="x-none" w:eastAsia="x-none" w:bidi="ar-SA"/>
              </w:rPr>
              <w:t xml:space="preserve">— </w:t>
            </w:r>
            <w:r>
              <w:rPr>
                <w:rFonts w:eastAsia="Times New Roman" w:cs="Times New Roman"/>
                <w:kern w:val="0"/>
                <w:sz w:val="25"/>
                <w:szCs w:val="25"/>
                <w:lang w:val="x-none" w:eastAsia="x-none" w:bidi="ar-SA"/>
              </w:rPr>
              <w:t>регистрационные документы на каждое транспортное средство, входящее в состав транспортной единицы;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5"/>
                <w:szCs w:val="25"/>
                <w:lang w:val="x-none" w:eastAsia="x-none"/>
              </w:rPr>
            </w:pPr>
            <w:r>
              <w:rPr>
                <w:rFonts w:eastAsia="Times New Roman" w:cs="Times New Roman"/>
                <w:kern w:val="0"/>
                <w:sz w:val="25"/>
                <w:szCs w:val="25"/>
                <w:lang w:val="x-none" w:eastAsia="x-none" w:bidi="ar-SA"/>
              </w:rPr>
              <w:t xml:space="preserve">— </w:t>
            </w:r>
            <w:r>
              <w:rPr>
                <w:rFonts w:eastAsia="Times New Roman" w:cs="Times New Roman"/>
                <w:kern w:val="0"/>
                <w:sz w:val="25"/>
                <w:szCs w:val="25"/>
                <w:lang w:val="x-none" w:eastAsia="x-none" w:bidi="ar-SA"/>
              </w:rPr>
              <w:t xml:space="preserve">страховой полис обязательного страхования гражданской ответственности владельца транспортного средства в случаях, когда обязанность по страхованию своей гражданской ответственности установлена федеральным законом; 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5"/>
                <w:szCs w:val="25"/>
                <w:lang w:val="x-none" w:eastAsia="x-none"/>
              </w:rPr>
            </w:pPr>
            <w:r>
              <w:rPr>
                <w:rFonts w:eastAsia="Times New Roman" w:cs="Times New Roman"/>
                <w:kern w:val="0"/>
                <w:sz w:val="25"/>
                <w:szCs w:val="25"/>
                <w:lang w:val="x-none" w:eastAsia="x-none" w:bidi="ar-SA"/>
              </w:rPr>
              <w:t xml:space="preserve">— </w:t>
            </w:r>
            <w:r>
              <w:rPr>
                <w:rFonts w:eastAsia="Times New Roman" w:cs="Times New Roman"/>
                <w:kern w:val="0"/>
                <w:sz w:val="25"/>
                <w:szCs w:val="25"/>
                <w:lang w:val="x-none" w:eastAsia="x-none" w:bidi="ar-SA"/>
              </w:rPr>
              <w:t>транспортный документ (накладная с соответствующей информацией о грузе или документ, содержащий данную информацию, и прилагаемый к накладной);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5"/>
                <w:szCs w:val="25"/>
                <w:lang w:val="x-none" w:eastAsia="x-none"/>
              </w:rPr>
            </w:pPr>
            <w:r>
              <w:rPr>
                <w:rFonts w:eastAsia="Times New Roman" w:cs="Times New Roman"/>
                <w:kern w:val="0"/>
                <w:sz w:val="25"/>
                <w:szCs w:val="25"/>
                <w:lang w:val="x-none" w:eastAsia="x-none" w:bidi="ar-SA"/>
              </w:rPr>
              <w:t xml:space="preserve">— </w:t>
            </w:r>
            <w:r>
              <w:rPr>
                <w:rFonts w:eastAsia="Times New Roman" w:cs="Times New Roman"/>
                <w:kern w:val="0"/>
                <w:sz w:val="25"/>
                <w:szCs w:val="25"/>
                <w:lang w:val="ru-RU" w:eastAsia="x-none" w:bidi="ar-SA"/>
              </w:rPr>
              <w:t xml:space="preserve">документ </w:t>
            </w:r>
            <w:r>
              <w:rPr>
                <w:rFonts w:eastAsia="Times New Roman" w:cs="Times New Roman"/>
                <w:kern w:val="0"/>
                <w:sz w:val="25"/>
                <w:szCs w:val="25"/>
                <w:lang w:val="x-none" w:eastAsia="x-none" w:bidi="ar-SA"/>
              </w:rPr>
              <w:t>удостоверяющий личность для каждого члена экипажа транспортного средства с фотографией.</w:t>
            </w:r>
          </w:p>
        </w:tc>
        <w:tc>
          <w:tcPr>
            <w:tcW w:w="2114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</w:r>
          </w:p>
        </w:tc>
        <w:tc>
          <w:tcPr>
            <w:tcW w:w="230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center"/>
              <w:rPr>
                <w:sz w:val="25"/>
                <w:szCs w:val="25"/>
              </w:rPr>
            </w:pPr>
            <w:r>
              <w:rPr>
                <w:rFonts w:eastAsia="Times New Roman" w:cs="Times New Roman"/>
                <w:kern w:val="0"/>
                <w:sz w:val="25"/>
                <w:szCs w:val="25"/>
                <w:lang w:val="ru-RU" w:eastAsia="ru-RU" w:bidi="ar-SA"/>
              </w:rPr>
              <w:t>---</w:t>
            </w:r>
          </w:p>
        </w:tc>
      </w:tr>
      <w:tr>
        <w:trPr/>
        <w:tc>
          <w:tcPr>
            <w:tcW w:w="65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</w:r>
          </w:p>
        </w:tc>
        <w:tc>
          <w:tcPr>
            <w:tcW w:w="5310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5"/>
                <w:szCs w:val="25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5"/>
                <w:szCs w:val="25"/>
                <w:lang w:val="ru-RU" w:eastAsia="ru-RU" w:bidi="ar-SA"/>
              </w:rPr>
              <w:t>Требования к результатам у</w:t>
            </w:r>
            <w:r>
              <w:rPr>
                <w:rFonts w:eastAsia="Times New Roman" w:cs="Times New Roman"/>
                <w:b/>
                <w:kern w:val="0"/>
                <w:sz w:val="25"/>
                <w:szCs w:val="25"/>
                <w:lang w:val="ru-RU" w:eastAsia="ru-RU" w:bidi="ar-SA"/>
              </w:rPr>
              <w:t>слуг</w:t>
            </w:r>
          </w:p>
        </w:tc>
        <w:tc>
          <w:tcPr>
            <w:tcW w:w="2114" w:type="dxa"/>
            <w:vMerge w:val="continue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</w:r>
          </w:p>
        </w:tc>
        <w:tc>
          <w:tcPr>
            <w:tcW w:w="2304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5"/>
                <w:szCs w:val="25"/>
              </w:rPr>
            </w:pPr>
            <w:r>
              <w:rPr>
                <w:rFonts w:eastAsia="Times New Roman" w:cs="Times New Roman"/>
                <w:b/>
                <w:kern w:val="0"/>
                <w:sz w:val="25"/>
                <w:szCs w:val="25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65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</w:r>
          </w:p>
        </w:tc>
        <w:tc>
          <w:tcPr>
            <w:tcW w:w="5310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5"/>
                <w:szCs w:val="25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5"/>
                <w:szCs w:val="25"/>
                <w:lang w:val="ru-RU" w:eastAsia="ru-RU" w:bidi="ar-SA"/>
              </w:rPr>
              <w:t>Общие требования к результатам услуг</w:t>
            </w:r>
          </w:p>
        </w:tc>
        <w:tc>
          <w:tcPr>
            <w:tcW w:w="2114" w:type="dxa"/>
            <w:vMerge w:val="continue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</w:r>
          </w:p>
        </w:tc>
        <w:tc>
          <w:tcPr>
            <w:tcW w:w="2304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5"/>
                <w:szCs w:val="25"/>
              </w:rPr>
            </w:pPr>
            <w:r>
              <w:rPr>
                <w:rFonts w:eastAsia="Times New Roman" w:cs="Times New Roman"/>
                <w:b/>
                <w:kern w:val="0"/>
                <w:sz w:val="25"/>
                <w:szCs w:val="25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65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14" w:hanging="1199"/>
              <w:contextualSpacing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</w:r>
          </w:p>
        </w:tc>
        <w:tc>
          <w:tcPr>
            <w:tcW w:w="2314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5"/>
                <w:szCs w:val="25"/>
              </w:rPr>
            </w:pPr>
            <w:r>
              <w:rPr>
                <w:rFonts w:eastAsia="Times New Roman" w:cs="Times New Roman"/>
                <w:kern w:val="0"/>
                <w:sz w:val="25"/>
                <w:szCs w:val="25"/>
                <w:lang w:val="ru-RU" w:eastAsia="ru-RU" w:bidi="ar-SA"/>
              </w:rPr>
              <w:t>Результат оказания услуг</w:t>
            </w:r>
          </w:p>
        </w:tc>
        <w:tc>
          <w:tcPr>
            <w:tcW w:w="29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5"/>
                <w:szCs w:val="25"/>
              </w:rPr>
            </w:pPr>
            <w:r>
              <w:rPr>
                <w:rFonts w:eastAsia="Times New Roman" w:cs="Times New Roman"/>
                <w:kern w:val="0"/>
                <w:sz w:val="25"/>
                <w:szCs w:val="25"/>
                <w:lang w:val="ru-RU" w:eastAsia="ru-RU" w:bidi="ar-SA"/>
              </w:rPr>
              <w:t>Исполнитель гарантирует перевозку угля по установленному маршруту</w:t>
            </w:r>
          </w:p>
        </w:tc>
        <w:tc>
          <w:tcPr>
            <w:tcW w:w="2114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</w:r>
          </w:p>
        </w:tc>
        <w:tc>
          <w:tcPr>
            <w:tcW w:w="2304" w:type="dxa"/>
            <w:tcBorders/>
          </w:tcPr>
          <w:p>
            <w:pPr>
              <w:pStyle w:val="Style26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b w:val="false"/>
                <w:sz w:val="25"/>
                <w:szCs w:val="25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5"/>
                <w:szCs w:val="25"/>
                <w:lang w:val="ru-RU" w:eastAsia="ru-RU" w:bidi="ar-SA"/>
              </w:rPr>
              <w:t>---</w:t>
            </w:r>
          </w:p>
        </w:tc>
      </w:tr>
      <w:tr>
        <w:trPr/>
        <w:tc>
          <w:tcPr>
            <w:tcW w:w="65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</w:r>
          </w:p>
        </w:tc>
        <w:tc>
          <w:tcPr>
            <w:tcW w:w="5310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sz w:val="25"/>
                <w:szCs w:val="25"/>
              </w:rPr>
            </w:pPr>
            <w:r>
              <w:rPr>
                <w:rFonts w:eastAsia="Times New Roman" w:cs="Times New Roman"/>
                <w:b/>
                <w:kern w:val="0"/>
                <w:sz w:val="25"/>
                <w:szCs w:val="25"/>
                <w:lang w:val="ru-RU" w:eastAsia="ru-RU" w:bidi="ar-SA"/>
              </w:rPr>
              <w:t>Требования к безопасности использования результата оказания услуг</w:t>
            </w:r>
          </w:p>
        </w:tc>
        <w:tc>
          <w:tcPr>
            <w:tcW w:w="2114" w:type="dxa"/>
            <w:vMerge w:val="continue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</w:r>
          </w:p>
        </w:tc>
        <w:tc>
          <w:tcPr>
            <w:tcW w:w="2304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5"/>
                <w:szCs w:val="25"/>
              </w:rPr>
            </w:pPr>
            <w:r>
              <w:rPr>
                <w:rFonts w:eastAsia="Times New Roman" w:cs="Times New Roman"/>
                <w:b/>
                <w:kern w:val="0"/>
                <w:sz w:val="25"/>
                <w:szCs w:val="25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65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14" w:hanging="1199"/>
              <w:contextualSpacing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</w:r>
          </w:p>
        </w:tc>
        <w:tc>
          <w:tcPr>
            <w:tcW w:w="231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5"/>
                <w:szCs w:val="25"/>
              </w:rPr>
            </w:pPr>
            <w:r>
              <w:rPr>
                <w:rFonts w:eastAsia="Times New Roman" w:cs="Times New Roman"/>
                <w:kern w:val="0"/>
                <w:sz w:val="25"/>
                <w:szCs w:val="25"/>
                <w:lang w:val="ru-RU" w:eastAsia="ru-RU" w:bidi="ar-SA"/>
              </w:rPr>
              <w:t>Требования к информационной безопасности результата оказания услуг</w:t>
            </w:r>
          </w:p>
        </w:tc>
        <w:tc>
          <w:tcPr>
            <w:tcW w:w="299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5"/>
                <w:szCs w:val="25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5"/>
                <w:szCs w:val="25"/>
                <w:lang w:val="ru-RU" w:eastAsia="x-none" w:bidi="ar-SA"/>
              </w:rPr>
              <w:t>Требования информационной безопасности должны обеспечиваться на всех стадиях жизненного цикла Систем с учетом всех сторон, вовлеченных в процессы жизненного цикла (разработчиков, заказчиков, поставщиков продуктов и услуг, эксплуатирующих и надзорных подразделений Общества).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5"/>
                <w:szCs w:val="25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5"/>
                <w:szCs w:val="25"/>
                <w:lang w:val="ru-RU" w:eastAsia="x-none" w:bidi="ar-SA"/>
              </w:rPr>
              <w:t>Система должна быть разработана и внедрена в соответствии с Федеральными законами №152 от 27.07.2006 «О персональных данных» и № 98 от 29.07.2004 «О коммерческой тайне».</w:t>
            </w:r>
          </w:p>
        </w:tc>
        <w:tc>
          <w:tcPr>
            <w:tcW w:w="2114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5"/>
                <w:szCs w:val="25"/>
              </w:rPr>
            </w:pPr>
            <w:r>
              <w:rPr>
                <w:b/>
                <w:bCs/>
                <w:sz w:val="25"/>
                <w:szCs w:val="25"/>
              </w:rPr>
            </w:r>
          </w:p>
        </w:tc>
        <w:tc>
          <w:tcPr>
            <w:tcW w:w="230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center"/>
              <w:rPr>
                <w:b/>
                <w:bCs/>
                <w:sz w:val="25"/>
                <w:szCs w:val="25"/>
              </w:rPr>
            </w:pPr>
            <w:r>
              <w:rPr>
                <w:rFonts w:eastAsia="Times New Roman" w:cs="Times New Roman"/>
                <w:kern w:val="0"/>
                <w:sz w:val="25"/>
                <w:szCs w:val="25"/>
                <w:lang w:val="ru-RU" w:eastAsia="ru-RU" w:bidi="ar-SA"/>
              </w:rPr>
              <w:t>---</w:t>
            </w:r>
          </w:p>
        </w:tc>
      </w:tr>
      <w:tr>
        <w:trPr/>
        <w:tc>
          <w:tcPr>
            <w:tcW w:w="65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</w:r>
          </w:p>
        </w:tc>
        <w:tc>
          <w:tcPr>
            <w:tcW w:w="5310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Cs/>
                <w:sz w:val="25"/>
                <w:szCs w:val="25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5"/>
                <w:szCs w:val="25"/>
                <w:lang w:val="ru-RU" w:eastAsia="ru-RU" w:bidi="ar-SA"/>
              </w:rPr>
              <w:t>Требования к приемке результата оказания у</w:t>
            </w:r>
            <w:r>
              <w:rPr>
                <w:rFonts w:eastAsia="Times New Roman" w:cs="Times New Roman"/>
                <w:b/>
                <w:kern w:val="0"/>
                <w:sz w:val="25"/>
                <w:szCs w:val="25"/>
                <w:lang w:val="ru-RU" w:eastAsia="ru-RU" w:bidi="ar-SA"/>
              </w:rPr>
              <w:t>слуг</w:t>
            </w:r>
            <w:r>
              <w:rPr>
                <w:rStyle w:val="Style8"/>
                <w:rFonts w:eastAsia="Times New Roman" w:cs="Times New Roman"/>
                <w:b w:val="false"/>
                <w:bCs/>
                <w:i w:val="false"/>
                <w:kern w:val="0"/>
                <w:sz w:val="25"/>
                <w:szCs w:val="25"/>
                <w:shd w:fill="auto" w:val="clear"/>
                <w:lang w:val="ru-RU" w:eastAsia="ru-RU" w:bidi="ar-SA"/>
              </w:rPr>
              <w:t xml:space="preserve"> </w:t>
            </w:r>
          </w:p>
        </w:tc>
        <w:tc>
          <w:tcPr>
            <w:tcW w:w="2114" w:type="dxa"/>
            <w:vMerge w:val="continue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</w:r>
          </w:p>
        </w:tc>
        <w:tc>
          <w:tcPr>
            <w:tcW w:w="2304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5"/>
                <w:szCs w:val="25"/>
              </w:rPr>
            </w:pPr>
            <w:r>
              <w:rPr>
                <w:rFonts w:eastAsia="Times New Roman" w:cs="Times New Roman"/>
                <w:b/>
                <w:kern w:val="0"/>
                <w:sz w:val="25"/>
                <w:szCs w:val="25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65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14" w:hanging="1199"/>
              <w:contextualSpacing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</w:r>
          </w:p>
        </w:tc>
        <w:tc>
          <w:tcPr>
            <w:tcW w:w="231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5"/>
                <w:szCs w:val="25"/>
              </w:rPr>
            </w:pPr>
            <w:r>
              <w:rPr>
                <w:rFonts w:eastAsia="Times New Roman" w:cs="Times New Roman"/>
                <w:kern w:val="0"/>
                <w:sz w:val="25"/>
                <w:szCs w:val="25"/>
                <w:lang w:val="ru-RU" w:eastAsia="ru-RU" w:bidi="ar-SA"/>
              </w:rPr>
              <w:t>Общие требования</w:t>
            </w:r>
          </w:p>
        </w:tc>
        <w:tc>
          <w:tcPr>
            <w:tcW w:w="2996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center"/>
              <w:rPr>
                <w:b/>
                <w:sz w:val="25"/>
                <w:szCs w:val="25"/>
              </w:rPr>
            </w:pPr>
            <w:r>
              <w:rPr>
                <w:rFonts w:eastAsia="Times New Roman" w:cs="Times New Roman"/>
                <w:kern w:val="0"/>
                <w:sz w:val="25"/>
                <w:szCs w:val="25"/>
                <w:lang w:val="ru-RU" w:eastAsia="ru-RU" w:bidi="ar-SA"/>
              </w:rPr>
              <w:t>Исполнитель обязуется предоставить подтверждающие документы об исполнении услуг в В соответствии с Проектом договора (Приложение № 1 к Документации о закупке)</w:t>
            </w:r>
          </w:p>
        </w:tc>
        <w:tc>
          <w:tcPr>
            <w:tcW w:w="2114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</w:r>
          </w:p>
        </w:tc>
        <w:tc>
          <w:tcPr>
            <w:tcW w:w="230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center"/>
              <w:rPr>
                <w:b/>
                <w:sz w:val="25"/>
                <w:szCs w:val="25"/>
              </w:rPr>
            </w:pPr>
            <w:r>
              <w:rPr>
                <w:rFonts w:eastAsia="Times New Roman" w:cs="Times New Roman"/>
                <w:kern w:val="0"/>
                <w:sz w:val="25"/>
                <w:szCs w:val="25"/>
                <w:lang w:val="ru-RU" w:eastAsia="ru-RU" w:bidi="ar-SA"/>
              </w:rPr>
              <w:t>---</w:t>
            </w:r>
          </w:p>
        </w:tc>
      </w:tr>
      <w:tr>
        <w:trPr/>
        <w:tc>
          <w:tcPr>
            <w:tcW w:w="65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</w:r>
          </w:p>
        </w:tc>
        <w:tc>
          <w:tcPr>
            <w:tcW w:w="5310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b/>
                <w:sz w:val="25"/>
                <w:szCs w:val="25"/>
              </w:rPr>
            </w:pPr>
            <w:r>
              <w:rPr>
                <w:rFonts w:eastAsia="Times New Roman" w:cs="Times New Roman"/>
                <w:b/>
                <w:kern w:val="0"/>
                <w:sz w:val="25"/>
                <w:szCs w:val="25"/>
                <w:lang w:val="ru-RU" w:eastAsia="ru-RU" w:bidi="ar-SA"/>
              </w:rPr>
              <w:t>Требования к документации, описывающей результат оказания услуг</w:t>
            </w:r>
          </w:p>
        </w:tc>
        <w:tc>
          <w:tcPr>
            <w:tcW w:w="2114" w:type="dxa"/>
            <w:vMerge w:val="continue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</w:r>
          </w:p>
        </w:tc>
        <w:tc>
          <w:tcPr>
            <w:tcW w:w="2304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5"/>
                <w:szCs w:val="25"/>
              </w:rPr>
            </w:pPr>
            <w:r>
              <w:rPr>
                <w:rFonts w:eastAsia="Times New Roman" w:cs="Times New Roman"/>
                <w:b/>
                <w:kern w:val="0"/>
                <w:sz w:val="25"/>
                <w:szCs w:val="25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65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14" w:hanging="1199"/>
              <w:contextualSpacing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</w:r>
          </w:p>
        </w:tc>
        <w:tc>
          <w:tcPr>
            <w:tcW w:w="231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5"/>
                <w:szCs w:val="25"/>
              </w:rPr>
            </w:pPr>
            <w:r>
              <w:rPr>
                <w:rFonts w:eastAsia="Times New Roman" w:cs="Times New Roman"/>
                <w:kern w:val="0"/>
                <w:sz w:val="25"/>
                <w:szCs w:val="25"/>
                <w:lang w:val="ru-RU" w:eastAsia="ru-RU" w:bidi="ar-SA"/>
              </w:rPr>
              <w:t>Документы, передаваемые заказчику по результатам оказанных услуг</w:t>
            </w:r>
          </w:p>
        </w:tc>
        <w:tc>
          <w:tcPr>
            <w:tcW w:w="29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5"/>
                <w:szCs w:val="25"/>
              </w:rPr>
            </w:pPr>
            <w:r>
              <w:rPr>
                <w:rFonts w:eastAsia="Times New Roman" w:cs="Times New Roman"/>
                <w:kern w:val="0"/>
                <w:sz w:val="25"/>
                <w:szCs w:val="25"/>
                <w:lang w:val="ru-RU" w:eastAsia="ru-RU" w:bidi="ar-SA"/>
              </w:rPr>
              <w:t>В соответствии с Проектом договора (Приложение № 1 к Документации о закупке)</w:t>
            </w:r>
          </w:p>
        </w:tc>
        <w:tc>
          <w:tcPr>
            <w:tcW w:w="2114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5"/>
                <w:szCs w:val="25"/>
              </w:rPr>
            </w:pPr>
            <w:r>
              <w:rPr>
                <w:b/>
                <w:bCs/>
                <w:sz w:val="25"/>
                <w:szCs w:val="25"/>
              </w:rPr>
            </w:r>
          </w:p>
        </w:tc>
        <w:tc>
          <w:tcPr>
            <w:tcW w:w="2304" w:type="dxa"/>
            <w:tcBorders/>
          </w:tcPr>
          <w:p>
            <w:pPr>
              <w:pStyle w:val="Style26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sz w:val="25"/>
                <w:szCs w:val="25"/>
                <w:lang w:val="ru-RU"/>
              </w:rPr>
            </w:pPr>
            <w:r>
              <w:rPr>
                <w:rFonts w:eastAsia="Times New Roman" w:cs="Times New Roman"/>
                <w:kern w:val="0"/>
                <w:sz w:val="25"/>
                <w:szCs w:val="25"/>
                <w:lang w:val="ru-RU" w:eastAsia="ru-RU" w:bidi="ar-SA"/>
              </w:rPr>
              <w:t>---</w:t>
            </w:r>
          </w:p>
        </w:tc>
      </w:tr>
      <w:tr>
        <w:trPr/>
        <w:tc>
          <w:tcPr>
            <w:tcW w:w="65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</w:r>
          </w:p>
        </w:tc>
        <w:tc>
          <w:tcPr>
            <w:tcW w:w="5310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both"/>
              <w:rPr>
                <w:b/>
                <w:sz w:val="25"/>
                <w:szCs w:val="25"/>
              </w:rPr>
            </w:pPr>
            <w:r>
              <w:rPr>
                <w:rFonts w:eastAsia="Times New Roman" w:cs="Times New Roman"/>
                <w:b/>
                <w:kern w:val="0"/>
                <w:sz w:val="25"/>
                <w:szCs w:val="25"/>
                <w:lang w:val="ru-RU" w:eastAsia="ru-RU" w:bidi="ar-SA"/>
              </w:rPr>
              <w:t>Требования к ответственности и гарантиям исполнителя</w:t>
            </w:r>
          </w:p>
        </w:tc>
        <w:tc>
          <w:tcPr>
            <w:tcW w:w="2114" w:type="dxa"/>
            <w:vMerge w:val="continue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</w:r>
          </w:p>
        </w:tc>
        <w:tc>
          <w:tcPr>
            <w:tcW w:w="2304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5"/>
                <w:szCs w:val="25"/>
              </w:rPr>
            </w:pPr>
            <w:r>
              <w:rPr>
                <w:rFonts w:eastAsia="Times New Roman" w:cs="Times New Roman"/>
                <w:b/>
                <w:kern w:val="0"/>
                <w:sz w:val="25"/>
                <w:szCs w:val="25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65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14" w:hanging="1199"/>
              <w:contextualSpacing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</w:r>
          </w:p>
        </w:tc>
        <w:tc>
          <w:tcPr>
            <w:tcW w:w="231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5"/>
                <w:szCs w:val="25"/>
              </w:rPr>
            </w:pPr>
            <w:r>
              <w:rPr>
                <w:rFonts w:eastAsia="Times New Roman" w:cs="Times New Roman"/>
                <w:kern w:val="0"/>
                <w:sz w:val="25"/>
                <w:szCs w:val="25"/>
                <w:lang w:val="ru-RU" w:eastAsia="ru-RU" w:bidi="ar-SA"/>
              </w:rPr>
              <w:t>Требования к ответственности при транспортировании</w:t>
            </w:r>
          </w:p>
        </w:tc>
        <w:tc>
          <w:tcPr>
            <w:tcW w:w="29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5"/>
                <w:szCs w:val="25"/>
              </w:rPr>
            </w:pPr>
            <w:r>
              <w:rPr>
                <w:rFonts w:eastAsia="Times New Roman" w:cs="Times New Roman"/>
                <w:kern w:val="0"/>
                <w:sz w:val="25"/>
                <w:szCs w:val="25"/>
                <w:lang w:val="ru-RU" w:eastAsia="ru-RU" w:bidi="ar-SA"/>
              </w:rPr>
              <w:t>Исполнитель осуществляет транспортирование отходов способами, исключающими возможность их потери в процессе перевозки, создание аварийных ситуаций, причинения вреда окружающей среде, здоровью людей, хозяйственным и иным объектам</w:t>
            </w:r>
          </w:p>
        </w:tc>
        <w:tc>
          <w:tcPr>
            <w:tcW w:w="2114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5"/>
                <w:szCs w:val="25"/>
              </w:rPr>
            </w:pPr>
            <w:r>
              <w:rPr>
                <w:b/>
                <w:bCs/>
                <w:sz w:val="25"/>
                <w:szCs w:val="25"/>
              </w:rPr>
            </w:r>
          </w:p>
        </w:tc>
        <w:tc>
          <w:tcPr>
            <w:tcW w:w="230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b/>
                <w:bCs/>
                <w:sz w:val="25"/>
                <w:szCs w:val="25"/>
              </w:rPr>
            </w:pPr>
            <w:r>
              <w:rPr>
                <w:rFonts w:eastAsia="Times New Roman" w:cs="Times New Roman"/>
                <w:kern w:val="0"/>
                <w:sz w:val="25"/>
                <w:szCs w:val="25"/>
                <w:lang w:val="ru-RU" w:eastAsia="ru-RU" w:bidi="ar-SA"/>
              </w:rPr>
              <w:t>---</w:t>
            </w:r>
          </w:p>
        </w:tc>
      </w:tr>
      <w:tr>
        <w:trPr/>
        <w:tc>
          <w:tcPr>
            <w:tcW w:w="65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</w:r>
          </w:p>
        </w:tc>
        <w:tc>
          <w:tcPr>
            <w:tcW w:w="5310" w:type="dxa"/>
            <w:gridSpan w:val="2"/>
            <w:tcBorders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left"/>
              <w:rPr>
                <w:b/>
                <w:sz w:val="25"/>
                <w:szCs w:val="25"/>
              </w:rPr>
            </w:pPr>
            <w:r>
              <w:rPr>
                <w:rFonts w:eastAsia="Times New Roman" w:cs="Times New Roman"/>
                <w:b/>
                <w:kern w:val="0"/>
                <w:sz w:val="25"/>
                <w:szCs w:val="25"/>
                <w:lang w:val="ru-RU" w:eastAsia="ru-RU" w:bidi="ar-SA"/>
              </w:rPr>
              <w:t>Требования к исполнителю (и соисполнителям) и его обязательствам, влияющим на исполнение договора</w:t>
            </w:r>
          </w:p>
        </w:tc>
        <w:tc>
          <w:tcPr>
            <w:tcW w:w="2114" w:type="dxa"/>
            <w:vMerge w:val="continue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</w:r>
          </w:p>
        </w:tc>
        <w:tc>
          <w:tcPr>
            <w:tcW w:w="2304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5"/>
                <w:szCs w:val="25"/>
              </w:rPr>
            </w:pPr>
            <w:r>
              <w:rPr>
                <w:rFonts w:eastAsia="Times New Roman" w:cs="Times New Roman"/>
                <w:b/>
                <w:kern w:val="0"/>
                <w:sz w:val="25"/>
                <w:szCs w:val="25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65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14" w:hanging="1199"/>
              <w:contextualSpacing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</w:r>
          </w:p>
        </w:tc>
        <w:tc>
          <w:tcPr>
            <w:tcW w:w="2314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5"/>
                <w:szCs w:val="25"/>
              </w:rPr>
            </w:pPr>
            <w:r>
              <w:rPr>
                <w:rFonts w:eastAsia="Times New Roman" w:cs="Times New Roman"/>
                <w:kern w:val="0"/>
                <w:sz w:val="25"/>
                <w:szCs w:val="25"/>
                <w:lang w:val="ru-RU" w:eastAsia="ru-RU" w:bidi="ar-SA"/>
              </w:rPr>
              <w:t>Требованием к способам и периодичность оказания услуг</w:t>
            </w:r>
          </w:p>
        </w:tc>
        <w:tc>
          <w:tcPr>
            <w:tcW w:w="29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5"/>
                <w:szCs w:val="25"/>
              </w:rPr>
            </w:pPr>
            <w:r>
              <w:rPr>
                <w:rFonts w:eastAsia="Times New Roman" w:cs="Times New Roman"/>
                <w:kern w:val="0"/>
                <w:sz w:val="25"/>
                <w:szCs w:val="25"/>
                <w:lang w:val="ru-RU" w:eastAsia="ru-RU" w:bidi="ar-SA"/>
              </w:rPr>
              <w:t>Перевозка осуществляется по письменным заявкам Заказчика в рабочие дни и по субботам. Перевозка осуществляется на следующий рабочий день после получения Исполнителем соответствующей заявки.</w:t>
            </w:r>
          </w:p>
        </w:tc>
        <w:tc>
          <w:tcPr>
            <w:tcW w:w="2114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</w:r>
          </w:p>
        </w:tc>
        <w:tc>
          <w:tcPr>
            <w:tcW w:w="2304" w:type="dxa"/>
            <w:tcBorders/>
          </w:tcPr>
          <w:p>
            <w:pPr>
              <w:pStyle w:val="Style26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sz w:val="25"/>
                <w:szCs w:val="25"/>
                <w:lang w:val="ru-RU"/>
              </w:rPr>
            </w:pPr>
            <w:r>
              <w:rPr>
                <w:rFonts w:eastAsia="Times New Roman" w:cs="Times New Roman"/>
                <w:kern w:val="0"/>
                <w:sz w:val="25"/>
                <w:szCs w:val="25"/>
                <w:lang w:val="ru-RU" w:eastAsia="ru-RU" w:bidi="ar-SA"/>
              </w:rPr>
              <w:t>---</w:t>
            </w:r>
          </w:p>
        </w:tc>
      </w:tr>
      <w:tr>
        <w:trPr/>
        <w:tc>
          <w:tcPr>
            <w:tcW w:w="65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14" w:hanging="1199"/>
              <w:contextualSpacing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</w:r>
          </w:p>
        </w:tc>
        <w:tc>
          <w:tcPr>
            <w:tcW w:w="2314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</w:r>
          </w:p>
        </w:tc>
        <w:tc>
          <w:tcPr>
            <w:tcW w:w="29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5"/>
                <w:szCs w:val="25"/>
              </w:rPr>
            </w:pPr>
            <w:r>
              <w:rPr>
                <w:rFonts w:eastAsia="Times New Roman" w:cs="Times New Roman"/>
                <w:kern w:val="0"/>
                <w:sz w:val="25"/>
                <w:szCs w:val="25"/>
                <w:lang w:val="ru-RU" w:eastAsia="ru-RU" w:bidi="ar-SA"/>
              </w:rPr>
              <w:t>Перевозка осуществляется по ледовой переправе через Анадырский лиман. В зависимости от установленной ГБУ «Дорожно-эксплуатационное управление Чукотского АО» максимально допустимой нагрузки, перевозка может осуществляться по следующим маршрутам: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5"/>
                <w:szCs w:val="25"/>
              </w:rPr>
            </w:pPr>
            <w:r>
              <w:rPr>
                <w:rFonts w:eastAsia="Times New Roman" w:cs="Times New Roman"/>
                <w:kern w:val="0"/>
                <w:sz w:val="25"/>
                <w:szCs w:val="25"/>
                <w:lang w:val="ru-RU" w:eastAsia="ru-RU" w:bidi="ar-SA"/>
              </w:rPr>
              <w:t>Маршрут№1: АО «Шахта Угольная», п. Угольные Копи – причал 8 – причал 7 – угольный склад АТЭЦ, г. Анадырь (расчётная протяженность маршрута – 11 км.);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5"/>
                <w:szCs w:val="25"/>
              </w:rPr>
            </w:pPr>
            <w:r>
              <w:rPr>
                <w:rFonts w:eastAsia="Times New Roman" w:cs="Times New Roman"/>
                <w:kern w:val="0"/>
                <w:sz w:val="25"/>
                <w:szCs w:val="25"/>
                <w:lang w:val="ru-RU" w:eastAsia="ru-RU" w:bidi="ar-SA"/>
              </w:rPr>
              <w:t>Маршрут №2: АО «Шахта Угольная», п. Угольные Копи – п. Шахтёрский – причал 8 – причал 7 – угольный склад АТЭЦ, г. Анадырь (расчётная протяженность маршрута – 24 км.).</w:t>
            </w:r>
          </w:p>
        </w:tc>
        <w:tc>
          <w:tcPr>
            <w:tcW w:w="2114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</w:r>
          </w:p>
        </w:tc>
        <w:tc>
          <w:tcPr>
            <w:tcW w:w="2304" w:type="dxa"/>
            <w:tcBorders/>
          </w:tcPr>
          <w:p>
            <w:pPr>
              <w:pStyle w:val="Style26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sz w:val="25"/>
                <w:szCs w:val="25"/>
              </w:rPr>
            </w:pPr>
            <w:r>
              <w:rPr>
                <w:rFonts w:eastAsia="Times New Roman" w:cs="Times New Roman"/>
                <w:kern w:val="0"/>
                <w:sz w:val="25"/>
                <w:szCs w:val="25"/>
                <w:lang w:val="ru-RU" w:eastAsia="ru-RU" w:bidi="ar-SA"/>
              </w:rPr>
            </w:r>
          </w:p>
        </w:tc>
      </w:tr>
      <w:tr>
        <w:trPr/>
        <w:tc>
          <w:tcPr>
            <w:tcW w:w="65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14" w:hanging="1199"/>
              <w:contextualSpacing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</w:r>
          </w:p>
        </w:tc>
        <w:tc>
          <w:tcPr>
            <w:tcW w:w="2314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</w:r>
          </w:p>
        </w:tc>
        <w:tc>
          <w:tcPr>
            <w:tcW w:w="29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5"/>
                <w:szCs w:val="25"/>
              </w:rPr>
            </w:pPr>
            <w:r>
              <w:rPr>
                <w:rFonts w:eastAsia="Times New Roman" w:cs="Times New Roman"/>
                <w:kern w:val="0"/>
                <w:sz w:val="25"/>
                <w:szCs w:val="25"/>
                <w:lang w:val="ru-RU" w:eastAsia="ru-RU" w:bidi="ar-SA"/>
              </w:rPr>
              <w:t>Перевозка осуществляется в период 09:00 – 20:00 в рабочие дни и по субботам. В воскресенье и праздничные дни установленные производственным календарём перевозка не осуществляется.</w:t>
            </w:r>
          </w:p>
        </w:tc>
        <w:tc>
          <w:tcPr>
            <w:tcW w:w="2114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</w:r>
          </w:p>
        </w:tc>
        <w:tc>
          <w:tcPr>
            <w:tcW w:w="2304" w:type="dxa"/>
            <w:tcBorders/>
          </w:tcPr>
          <w:p>
            <w:pPr>
              <w:pStyle w:val="Style26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sz w:val="25"/>
                <w:szCs w:val="25"/>
              </w:rPr>
            </w:pPr>
            <w:r>
              <w:rPr>
                <w:rFonts w:eastAsia="Times New Roman" w:cs="Times New Roman"/>
                <w:kern w:val="0"/>
                <w:sz w:val="25"/>
                <w:szCs w:val="25"/>
                <w:lang w:val="ru-RU" w:eastAsia="ru-RU" w:bidi="ar-SA"/>
              </w:rPr>
            </w:r>
          </w:p>
        </w:tc>
      </w:tr>
      <w:tr>
        <w:trPr/>
        <w:tc>
          <w:tcPr>
            <w:tcW w:w="65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14" w:hanging="1199"/>
              <w:contextualSpacing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</w:r>
          </w:p>
        </w:tc>
        <w:tc>
          <w:tcPr>
            <w:tcW w:w="2314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5"/>
                <w:szCs w:val="25"/>
              </w:rPr>
            </w:pPr>
            <w:r>
              <w:rPr>
                <w:rFonts w:eastAsia="Times New Roman" w:cs="Times New Roman"/>
                <w:kern w:val="0"/>
                <w:sz w:val="25"/>
                <w:szCs w:val="25"/>
                <w:lang w:val="ru-RU" w:eastAsia="ru-RU" w:bidi="ar-SA"/>
              </w:rPr>
              <w:t>Требование к приемке</w:t>
            </w:r>
          </w:p>
        </w:tc>
        <w:tc>
          <w:tcPr>
            <w:tcW w:w="29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5"/>
                <w:szCs w:val="25"/>
              </w:rPr>
            </w:pPr>
            <w:r>
              <w:rPr>
                <w:rFonts w:eastAsia="Times New Roman" w:cs="Times New Roman"/>
                <w:kern w:val="0"/>
                <w:sz w:val="25"/>
                <w:szCs w:val="25"/>
                <w:lang w:val="ru-RU" w:eastAsia="ru-RU" w:bidi="ar-SA"/>
              </w:rPr>
              <w:t>Погрузка угля на автотранспорт Исполнителя осуществляется средствами АО «Шахта Угольная»</w:t>
            </w:r>
          </w:p>
        </w:tc>
        <w:tc>
          <w:tcPr>
            <w:tcW w:w="2114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</w:r>
          </w:p>
        </w:tc>
        <w:tc>
          <w:tcPr>
            <w:tcW w:w="2304" w:type="dxa"/>
            <w:tcBorders/>
          </w:tcPr>
          <w:p>
            <w:pPr>
              <w:pStyle w:val="Style26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sz w:val="25"/>
                <w:szCs w:val="25"/>
              </w:rPr>
            </w:pPr>
            <w:r>
              <w:rPr>
                <w:rFonts w:eastAsia="Times New Roman" w:cs="Times New Roman"/>
                <w:kern w:val="0"/>
                <w:sz w:val="25"/>
                <w:szCs w:val="25"/>
                <w:lang w:val="ru-RU" w:eastAsia="ru-RU" w:bidi="ar-SA"/>
              </w:rPr>
            </w:r>
          </w:p>
        </w:tc>
      </w:tr>
      <w:tr>
        <w:trPr/>
        <w:tc>
          <w:tcPr>
            <w:tcW w:w="65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14" w:hanging="1199"/>
              <w:contextualSpacing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</w:r>
          </w:p>
        </w:tc>
        <w:tc>
          <w:tcPr>
            <w:tcW w:w="2314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</w:r>
          </w:p>
        </w:tc>
        <w:tc>
          <w:tcPr>
            <w:tcW w:w="29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5"/>
                <w:szCs w:val="25"/>
              </w:rPr>
            </w:pPr>
            <w:r>
              <w:rPr>
                <w:rFonts w:eastAsia="Times New Roman" w:cs="Times New Roman"/>
                <w:kern w:val="0"/>
                <w:sz w:val="25"/>
                <w:szCs w:val="25"/>
                <w:lang w:val="ru-RU" w:eastAsia="ru-RU" w:bidi="ar-SA"/>
              </w:rPr>
              <w:t>По факту загрузки угля в точке погрузки осуществляется контрольное взвешивание автотранспорта и водителю предоставляются соответствующие транспортные накладные, оформленные по форме, утвержденной Постановлением Правительства РФ от 21.12.2020 № 2200.</w:t>
            </w:r>
          </w:p>
        </w:tc>
        <w:tc>
          <w:tcPr>
            <w:tcW w:w="2114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</w:r>
          </w:p>
        </w:tc>
        <w:tc>
          <w:tcPr>
            <w:tcW w:w="2304" w:type="dxa"/>
            <w:tcBorders/>
          </w:tcPr>
          <w:p>
            <w:pPr>
              <w:pStyle w:val="Style26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sz w:val="25"/>
                <w:szCs w:val="25"/>
              </w:rPr>
            </w:pPr>
            <w:r>
              <w:rPr>
                <w:rFonts w:eastAsia="Times New Roman" w:cs="Times New Roman"/>
                <w:kern w:val="0"/>
                <w:sz w:val="25"/>
                <w:szCs w:val="25"/>
                <w:lang w:val="ru-RU" w:eastAsia="ru-RU" w:bidi="ar-SA"/>
              </w:rPr>
            </w:r>
          </w:p>
        </w:tc>
      </w:tr>
      <w:tr>
        <w:trPr/>
        <w:tc>
          <w:tcPr>
            <w:tcW w:w="65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14" w:hanging="1199"/>
              <w:contextualSpacing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</w:r>
          </w:p>
        </w:tc>
        <w:tc>
          <w:tcPr>
            <w:tcW w:w="231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5"/>
                <w:szCs w:val="25"/>
              </w:rPr>
            </w:pPr>
            <w:r>
              <w:rPr>
                <w:rFonts w:eastAsia="Times New Roman" w:cs="Times New Roman"/>
                <w:kern w:val="0"/>
                <w:sz w:val="25"/>
                <w:szCs w:val="25"/>
                <w:lang w:val="ru-RU" w:eastAsia="ru-RU" w:bidi="ar-SA"/>
              </w:rPr>
              <w:t>Требование к разгрузке</w:t>
            </w:r>
          </w:p>
        </w:tc>
        <w:tc>
          <w:tcPr>
            <w:tcW w:w="29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5"/>
                <w:szCs w:val="25"/>
              </w:rPr>
            </w:pPr>
            <w:r>
              <w:rPr>
                <w:rFonts w:eastAsia="Times New Roman" w:cs="Times New Roman"/>
                <w:kern w:val="0"/>
                <w:sz w:val="25"/>
                <w:szCs w:val="25"/>
                <w:lang w:val="ru-RU" w:eastAsia="ru-RU" w:bidi="ar-SA"/>
              </w:rPr>
              <w:t>Разгрузка угля в пункте доставки осуществляется путем сваливания груза самосвалами Исполнителя на территории угольного склада Анадырской ТЭЦ (г. Анадырь).</w:t>
            </w:r>
          </w:p>
        </w:tc>
        <w:tc>
          <w:tcPr>
            <w:tcW w:w="2114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</w:r>
          </w:p>
        </w:tc>
        <w:tc>
          <w:tcPr>
            <w:tcW w:w="2304" w:type="dxa"/>
            <w:tcBorders/>
          </w:tcPr>
          <w:p>
            <w:pPr>
              <w:pStyle w:val="Style26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sz w:val="25"/>
                <w:szCs w:val="25"/>
              </w:rPr>
            </w:pPr>
            <w:r>
              <w:rPr>
                <w:rFonts w:eastAsia="Times New Roman" w:cs="Times New Roman"/>
                <w:kern w:val="0"/>
                <w:sz w:val="25"/>
                <w:szCs w:val="25"/>
                <w:lang w:val="ru-RU" w:eastAsia="ru-RU" w:bidi="ar-SA"/>
              </w:rPr>
            </w:r>
          </w:p>
        </w:tc>
      </w:tr>
    </w:tbl>
    <w:p>
      <w:pPr>
        <w:sectPr>
          <w:headerReference w:type="default" r:id="rId7"/>
          <w:headerReference w:type="first" r:id="rId8"/>
          <w:type w:val="nextPage"/>
          <w:pgSz w:w="11906" w:h="16838"/>
          <w:pgMar w:left="851" w:right="851" w:gutter="0" w:header="680" w:top="737" w:footer="0" w:bottom="992"/>
          <w:pgNumType w:fmt="decimal"/>
          <w:formProt w:val="false"/>
          <w:titlePg/>
          <w:textDirection w:val="lrTb"/>
          <w:docGrid w:type="default" w:linePitch="381" w:charSpace="0"/>
        </w:sectPr>
      </w:pPr>
    </w:p>
    <w:p>
      <w:pPr>
        <w:pStyle w:val="Heading1"/>
        <w:numPr>
          <w:ilvl w:val="0"/>
          <w:numId w:val="3"/>
        </w:numPr>
        <w:ind w:left="0" w:firstLine="851"/>
        <w:rPr>
          <w:sz w:val="25"/>
          <w:szCs w:val="25"/>
        </w:rPr>
      </w:pPr>
      <w:r>
        <w:rPr>
          <w:sz w:val="25"/>
          <w:szCs w:val="25"/>
        </w:rPr>
        <w:t>Требования к документации по ценообразованию на этапе закупки</w:t>
      </w:r>
    </w:p>
    <w:p>
      <w:pPr>
        <w:pStyle w:val="Normal"/>
        <w:ind w:firstLine="567"/>
        <w:jc w:val="both"/>
        <w:rPr>
          <w:sz w:val="26"/>
          <w:szCs w:val="26"/>
          <w:lang w:eastAsia="x-none"/>
        </w:rPr>
      </w:pPr>
      <w:r>
        <w:rPr>
          <w:sz w:val="26"/>
          <w:szCs w:val="26"/>
          <w:lang w:eastAsia="x-none"/>
        </w:rPr>
        <w:t>3.1. В обоснование стоимости своей заявки Участник предоставляет Коммерческое предложение, а также приложение к нему «Перечень услуг с единичными расценками» по установленным в Документации о закупке формам (с учетом прилагаемых к ним инструкций по заполнению), с указанием в приложении единого коэффициента снижения K (%) (определяется по установленной в инструкции формуле).</w:t>
      </w:r>
    </w:p>
    <w:p>
      <w:pPr>
        <w:pStyle w:val="Normal"/>
        <w:ind w:firstLine="567"/>
        <w:jc w:val="both"/>
        <w:rPr>
          <w:sz w:val="26"/>
          <w:szCs w:val="26"/>
          <w:lang w:eastAsia="x-none"/>
        </w:rPr>
      </w:pPr>
      <w:r>
        <w:rPr>
          <w:sz w:val="26"/>
          <w:szCs w:val="26"/>
          <w:lang w:eastAsia="x-none"/>
        </w:rPr>
        <w:t>3.2. Коэффициент снижения служат только для оценки и сопоставления предложений Участников по соответствующему ценовому (стоимостному) критерию оценки в соответствии с Приложением №6 к Документации о закупке «Порядок и критерии оценки и сопоставления заявок» (в договоре закрепляются единичные расценки услуг, предложенные в заявке Победителем).</w:t>
      </w:r>
    </w:p>
    <w:p>
      <w:pPr>
        <w:pStyle w:val="Normal"/>
        <w:ind w:firstLine="567"/>
        <w:jc w:val="both"/>
        <w:rPr>
          <w:sz w:val="26"/>
          <w:szCs w:val="26"/>
          <w:lang w:eastAsia="x-none"/>
        </w:rPr>
      </w:pPr>
      <w:r>
        <w:rPr>
          <w:sz w:val="26"/>
          <w:szCs w:val="26"/>
          <w:lang w:eastAsia="x-none"/>
        </w:rPr>
        <w:t>3.3. Стоимость за единицу продукции (услуги) должна включать в себя налоги, сборы, пошлины и другие обязательные платежи, стоимость расходных материалов, используемых при оказании услуг, расходы на содержание, эксплуатацию, перебазировку спецоборудования и инструментов, и прочие расходы, связанные с оказанием услуг, предусмотренные Проектом договора (Приложение №2 к Документации о закупке)».</w:t>
      </w:r>
    </w:p>
    <w:p>
      <w:pPr>
        <w:pStyle w:val="Normal"/>
        <w:ind w:firstLine="567"/>
        <w:jc w:val="both"/>
        <w:rPr>
          <w:sz w:val="26"/>
          <w:szCs w:val="26"/>
          <w:lang w:eastAsia="x-none"/>
        </w:rPr>
      </w:pPr>
      <w:r>
        <w:rPr>
          <w:sz w:val="26"/>
          <w:szCs w:val="26"/>
          <w:lang w:eastAsia="x-none"/>
        </w:rPr>
      </w:r>
    </w:p>
    <w:p>
      <w:pPr>
        <w:pStyle w:val="Normal"/>
        <w:jc w:val="center"/>
        <w:rPr>
          <w:rFonts w:eastAsia="Calibri"/>
          <w:b/>
          <w:sz w:val="25"/>
          <w:szCs w:val="25"/>
          <w:lang w:val="x-none" w:eastAsia="x-none"/>
        </w:rPr>
      </w:pPr>
      <w:r>
        <w:rPr>
          <w:rFonts w:eastAsia="Calibri"/>
          <w:b/>
          <w:sz w:val="25"/>
          <w:szCs w:val="25"/>
          <w:lang w:val="x-none" w:eastAsia="x-none"/>
        </w:rPr>
        <w:t>4. Требования к документации по ценообразованию на этапе заключения (исполнения) договора</w:t>
      </w:r>
    </w:p>
    <w:p>
      <w:pPr>
        <w:pStyle w:val="Normal"/>
        <w:jc w:val="both"/>
        <w:rPr>
          <w:sz w:val="26"/>
          <w:szCs w:val="26"/>
          <w:lang w:eastAsia="x-none"/>
        </w:rPr>
      </w:pPr>
      <w:r>
        <w:rPr>
          <w:sz w:val="26"/>
          <w:szCs w:val="26"/>
          <w:lang w:eastAsia="x-none"/>
        </w:rPr>
        <w:t xml:space="preserve">        </w:t>
      </w:r>
      <w:r>
        <w:rPr>
          <w:sz w:val="26"/>
          <w:szCs w:val="26"/>
          <w:lang w:eastAsia="x-none"/>
        </w:rPr>
        <w:t>4.1. По результатам настоящей закупки заключается договор с предельной ценой, равной начальной (максимальной) цене договора 25 885 294 (Двадцать пять миллионов восемьсот восемьдесят пять тысяч двести девяносто четыре) рубля 67 копеек, без учета НДС, установленной в Документации о закупке, а также с единичными расценками (ценой за единицу продукции по каждому наименованию работ), предложенными в заявке Победителем.</w:t>
      </w:r>
    </w:p>
    <w:p>
      <w:pPr>
        <w:pStyle w:val="Normal"/>
        <w:jc w:val="both"/>
        <w:rPr>
          <w:sz w:val="26"/>
          <w:szCs w:val="26"/>
          <w:lang w:eastAsia="x-none"/>
        </w:rPr>
      </w:pPr>
      <w:r>
        <w:rPr>
          <w:sz w:val="26"/>
          <w:szCs w:val="26"/>
          <w:lang w:eastAsia="x-none"/>
        </w:rPr>
        <w:t xml:space="preserve">        </w:t>
      </w:r>
      <w:r>
        <w:rPr>
          <w:sz w:val="26"/>
          <w:szCs w:val="26"/>
          <w:lang w:eastAsia="x-none"/>
        </w:rPr>
        <w:t>4.2. Порядок формирования на этапе исполнения договора стоимости выполняемых услуг по заявке заказчика установлен в Проекте договора (Приложение № 2 к Документации о закупке)».</w:t>
      </w:r>
    </w:p>
    <w:p>
      <w:pPr>
        <w:pStyle w:val="Normal"/>
        <w:rPr>
          <w:sz w:val="26"/>
          <w:szCs w:val="26"/>
          <w:lang w:eastAsia="x-none"/>
        </w:rPr>
      </w:pPr>
      <w:r>
        <w:rPr>
          <w:sz w:val="26"/>
          <w:szCs w:val="26"/>
          <w:lang w:eastAsia="x-none"/>
        </w:rPr>
      </w:r>
    </w:p>
    <w:p>
      <w:pPr>
        <w:pStyle w:val="Normal"/>
        <w:rPr>
          <w:sz w:val="26"/>
          <w:szCs w:val="26"/>
          <w:lang w:eastAsia="x-none"/>
        </w:rPr>
      </w:pPr>
      <w:r>
        <w:rPr>
          <w:sz w:val="26"/>
          <w:szCs w:val="26"/>
          <w:lang w:eastAsia="x-none"/>
        </w:rPr>
      </w:r>
    </w:p>
    <w:p>
      <w:pPr>
        <w:pStyle w:val="Normal"/>
        <w:rPr>
          <w:sz w:val="26"/>
          <w:szCs w:val="26"/>
          <w:lang w:eastAsia="x-none"/>
        </w:rPr>
      </w:pPr>
      <w:r>
        <w:rPr>
          <w:sz w:val="26"/>
          <w:szCs w:val="26"/>
          <w:lang w:eastAsia="x-none"/>
        </w:rPr>
      </w:r>
    </w:p>
    <w:p>
      <w:pPr>
        <w:pStyle w:val="Normal"/>
        <w:rPr>
          <w:sz w:val="26"/>
          <w:szCs w:val="26"/>
          <w:lang w:eastAsia="x-none"/>
        </w:rPr>
      </w:pPr>
      <w:r>
        <w:rPr>
          <w:sz w:val="26"/>
          <w:szCs w:val="26"/>
          <w:lang w:eastAsia="x-none"/>
        </w:rPr>
      </w:r>
    </w:p>
    <w:p>
      <w:pPr>
        <w:pStyle w:val="Normal"/>
        <w:rPr>
          <w:sz w:val="26"/>
          <w:szCs w:val="26"/>
          <w:lang w:eastAsia="x-none"/>
        </w:rPr>
      </w:pPr>
      <w:r>
        <w:rPr>
          <w:sz w:val="26"/>
          <w:szCs w:val="26"/>
          <w:lang w:eastAsia="x-none"/>
        </w:rPr>
        <w:t>Руководитель ГКЭО и РТС</w:t>
      </w:r>
    </w:p>
    <w:p>
      <w:pPr>
        <w:pStyle w:val="Normal"/>
        <w:rPr>
          <w:i/>
          <w:i/>
          <w:iCs/>
          <w:sz w:val="24"/>
          <w:szCs w:val="24"/>
          <w:shd w:fill="FFFF99" w:val="clear"/>
        </w:rPr>
      </w:pPr>
      <w:bookmarkStart w:id="27" w:name="_Ref40301253"/>
      <w:r>
        <w:rPr>
          <w:sz w:val="26"/>
          <w:szCs w:val="26"/>
          <w:lang w:eastAsia="x-none"/>
        </w:rPr>
        <w:t xml:space="preserve">Камчатского филиала АО «ТК РусГидро»                                                    </w:t>
      </w:r>
      <w:bookmarkEnd w:id="27"/>
      <w:r>
        <w:rPr>
          <w:sz w:val="26"/>
          <w:szCs w:val="26"/>
          <w:lang w:eastAsia="x-none"/>
        </w:rPr>
        <w:t>Е.В. Савченко</w:t>
      </w:r>
    </w:p>
    <w:p>
      <w:pPr>
        <w:pStyle w:val="Normal"/>
        <w:rPr>
          <w:sz w:val="26"/>
          <w:szCs w:val="26"/>
          <w:lang w:eastAsia="x-none"/>
        </w:rPr>
      </w:pPr>
      <w:r>
        <w:rPr>
          <w:sz w:val="26"/>
          <w:szCs w:val="26"/>
          <w:lang w:eastAsia="x-none"/>
        </w:rPr>
      </w:r>
    </w:p>
    <w:p>
      <w:pPr>
        <w:pStyle w:val="Normal"/>
        <w:rPr>
          <w:sz w:val="26"/>
          <w:szCs w:val="26"/>
          <w:lang w:eastAsia="x-none"/>
        </w:rPr>
      </w:pPr>
      <w:r>
        <w:rPr>
          <w:sz w:val="26"/>
          <w:szCs w:val="26"/>
          <w:lang w:eastAsia="x-none"/>
        </w:rPr>
      </w:r>
    </w:p>
    <w:p>
      <w:pPr>
        <w:pStyle w:val="Normal"/>
        <w:rPr>
          <w:i/>
          <w:i/>
          <w:iCs/>
          <w:sz w:val="24"/>
          <w:szCs w:val="24"/>
          <w:shd w:fill="FFFF99" w:val="clear"/>
        </w:rPr>
      </w:pPr>
      <w:r>
        <w:rPr/>
      </w:r>
    </w:p>
    <w:sectPr>
      <w:headerReference w:type="even" r:id="rId9"/>
      <w:headerReference w:type="default" r:id="rId10"/>
      <w:headerReference w:type="first" r:id="rId11"/>
      <w:type w:val="nextPage"/>
      <w:pgSz w:w="11906" w:h="16838"/>
      <w:pgMar w:left="851" w:right="851" w:gutter="0" w:header="680" w:top="737" w:footer="0" w:bottom="992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3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fillcolor="white" stroked="f" o:allowincell="f" style="position:absolute;margin-left:0pt;margin-top:0.05pt;width:1.1pt;height:1.1pt;mso-wrap-style:square;v-text-anchor:top;mso-position-horizontal:center;mso-position-horizontal-relative:margin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3" name="Врезка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2" path="m0,0l-2147483645,0l-2147483645,-2147483646l0,-2147483646xe" fillcolor="white" stroked="f" o:allowincell="f" style="position:absolute;margin-left:0pt;margin-top:0.05pt;width:1.1pt;height:1.1pt;mso-wrap-style:square;v-text-anchor:top;mso-position-horizontal:center;mso-position-horizontal-relative:margin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6</w:t>
    </w:r>
    <w:r>
      <w:rPr/>
      <w:fldChar w:fldCharType="end"/>
    </w:r>
  </w:p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 w:val="false"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1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zh-TW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866914"/>
    <w:pPr>
      <w:keepNext w:val="true"/>
      <w:numPr>
        <w:ilvl w:val="2"/>
        <w:numId w:val="3"/>
      </w:numPr>
      <w:spacing w:before="120" w:after="60"/>
      <w:ind w:left="0" w:firstLine="63"/>
      <w:jc w:val="both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numPr>
        <w:ilvl w:val="1"/>
      </w:num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>
    <w:name w:val="Символ сноски"/>
    <w:qFormat/>
    <w:rsid w:val="00d561d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semiHidden/>
    <w:qFormat/>
    <w:rsid w:val="00b714b0"/>
    <w:rPr>
      <w:sz w:val="16"/>
      <w:szCs w:val="16"/>
    </w:rPr>
  </w:style>
  <w:style w:type="character" w:styleId="Strong">
    <w:name w:val="Strong"/>
    <w:uiPriority w:val="22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866914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4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0"/>
    <w:qFormat/>
    <w:locked/>
    <w:rsid w:val="00d22f6d"/>
    <w:rPr>
      <w:sz w:val="28"/>
    </w:rPr>
  </w:style>
  <w:style w:type="character" w:styleId="Style5" w:customStyle="1">
    <w:name w:val="Текст сноски Знак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28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5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>
    <w:name w:val="Символ концевой сноски"/>
    <w:qFormat/>
    <w:rsid w:val="003879d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8"/>
    <w:qFormat/>
    <w:rsid w:val="004a17ae"/>
    <w:rPr>
      <w:rFonts w:eastAsia="Calibri"/>
      <w:caps/>
      <w:sz w:val="28"/>
      <w:szCs w:val="28"/>
      <w:lang w:eastAsia="en-US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 Unicode MS"/>
    </w:rPr>
  </w:style>
  <w:style w:type="paragraph" w:styleId="Style16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7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18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rsid w:val="00d561d9"/>
    <w:pPr/>
    <w:rPr>
      <w:sz w:val="20"/>
      <w:szCs w:val="20"/>
    </w:rPr>
  </w:style>
  <w:style w:type="paragraph" w:styleId="13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2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4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19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0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uppressAutoHyphens w:val="true"/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c517de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6b6b70"/>
    <w:pPr>
      <w:ind w:left="280" w:hanging="0"/>
    </w:pPr>
    <w:rPr>
      <w:rFonts w:cs="Calibri" w:cstheme="minorHAnsi"/>
      <w:sz w:val="20"/>
      <w:szCs w:val="20"/>
    </w:rPr>
  </w:style>
  <w:style w:type="paragraph" w:styleId="Style21" w:customStyle="1">
    <w:name w:val="Раздел регламента"/>
    <w:basedOn w:val="Normal"/>
    <w:qFormat/>
    <w:rsid w:val="00e228fa"/>
    <w:pPr/>
    <w:rPr/>
  </w:style>
  <w:style w:type="paragraph" w:styleId="Style22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693883"/>
    <w:pPr>
      <w:spacing w:before="240" w:after="0"/>
    </w:pPr>
    <w:rPr>
      <w:rFonts w:cs="Calibri" w:cstheme="minorHAnsi"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5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6b6b70"/>
    <w:pPr>
      <w:tabs>
        <w:tab w:val="clear" w:pos="708"/>
        <w:tab w:val="left" w:pos="1120" w:leader="none"/>
        <w:tab w:val="right" w:pos="9911" w:leader="none"/>
      </w:tabs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3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">
    <w:name w:val="caption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4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4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3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ListBullet4" w:customStyle="1">
    <w:name w:val="List Bullet 4"/>
    <w:basedOn w:val="Normal"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4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5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6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6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7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28" w:customStyle="1">
    <w:name w:val="Подподпункт"/>
    <w:basedOn w:val="Style20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29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5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0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7" w:customStyle="1">
    <w:name w:val="Стиль Заголовок 1 + по ширине"/>
    <w:basedOn w:val="Heading1"/>
    <w:qFormat/>
    <w:rsid w:val="005773b2"/>
    <w:pPr>
      <w:keepLines/>
      <w:numPr>
        <w:ilvl w:val="0"/>
        <w:numId w:val="0"/>
      </w:numPr>
      <w:tabs>
        <w:tab w:val="clear" w:pos="708"/>
        <w:tab w:val="left" w:pos="567" w:leader="none"/>
      </w:tabs>
      <w:suppressAutoHyphens w:val="true"/>
      <w:spacing w:before="480" w:after="240"/>
      <w:ind w:left="567" w:hanging="567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uppressAutoHyphens w:val="true"/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1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8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32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19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yperlink" Target="https://ati.su/documents/htmldocs/laws/rules_transport_expedition_08092006_554.htm" TargetMode="External"/><Relationship Id="rId6" Type="http://schemas.openxmlformats.org/officeDocument/2006/relationships/hyperlink" Target="https://ati.su/documents/htmldocs/laws/transportation_ expedition_ low_87.htm" TargetMode="External"/><Relationship Id="rId7" Type="http://schemas.openxmlformats.org/officeDocument/2006/relationships/header" Target="header4.xml"/><Relationship Id="rId8" Type="http://schemas.openxmlformats.org/officeDocument/2006/relationships/header" Target="header5.xml"/><Relationship Id="rId9" Type="http://schemas.openxmlformats.org/officeDocument/2006/relationships/header" Target="header6.xml"/><Relationship Id="rId10" Type="http://schemas.openxmlformats.org/officeDocument/2006/relationships/header" Target="header7.xml"/><Relationship Id="rId11" Type="http://schemas.openxmlformats.org/officeDocument/2006/relationships/header" Target="header8.xml"/><Relationship Id="rId12" Type="http://schemas.openxmlformats.org/officeDocument/2006/relationships/numbering" Target="numbering.xml"/><Relationship Id="rId13" Type="http://schemas.openxmlformats.org/officeDocument/2006/relationships/fontTable" Target="fontTable.xml"/><Relationship Id="rId14" Type="http://schemas.openxmlformats.org/officeDocument/2006/relationships/settings" Target="settings.xml"/><Relationship Id="rId15" Type="http://schemas.openxmlformats.org/officeDocument/2006/relationships/theme" Target="theme/theme1.xml"/><Relationship Id="rId1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A696F3-2878-41C6-99A2-C3FD0B6EA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553</TotalTime>
  <Application>AlterOffice/3.4.0.9$Linux_X86_64 LibreOffice_project/b8daf9e823b1a5463a2f48435ddc2e8696e7d4fc</Application>
  <AppVersion>15.0000</AppVersion>
  <Pages>12</Pages>
  <Words>1792</Words>
  <Characters>11977</Characters>
  <CharactersWithSpaces>13651</CharactersWithSpaces>
  <Paragraphs>214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2021-04-04T11:05:00Z</dcterms:created>
  <dc:creator>Быстров Олег Геннадьевич</dc:creator>
  <dc:description/>
  <dc:language>ru-RU</dc:language>
  <cp:lastModifiedBy>fedorovsa@corp.gidroogk.com</cp:lastModifiedBy>
  <cp:lastPrinted>2026-02-03T02:33:00Z</cp:lastPrinted>
  <dcterms:modified xsi:type="dcterms:W3CDTF">2026-08-17T14:13:46Z</dcterms:modified>
  <cp:revision>82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