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Договор № _________</w:t>
      </w:r>
    </w:p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сервисном обслуживании и ремонте техники LIEBHERR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Normal"/>
              <w:widowControl w:val="false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_____________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</w:rPr>
              <w:t>____</w:t>
            </w:r>
            <w:r>
              <w:rPr>
                <w:sz w:val="22"/>
                <w:szCs w:val="22"/>
              </w:rPr>
              <w:t>» ___________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202__ г.</w:t>
            </w:r>
          </w:p>
        </w:tc>
      </w:tr>
    </w:tbl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Компания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___________________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bCs/>
          <w:sz w:val="22"/>
          <w:szCs w:val="22"/>
        </w:rPr>
        <w:t>«Исполнитель»</w:t>
      </w:r>
      <w:r>
        <w:rPr>
          <w:sz w:val="22"/>
          <w:szCs w:val="22"/>
        </w:rPr>
        <w:t xml:space="preserve">, в лице Генерального директора </w:t>
      </w:r>
      <w:r>
        <w:rPr>
          <w:b/>
          <w:bCs/>
          <w:sz w:val="22"/>
          <w:szCs w:val="22"/>
        </w:rPr>
        <w:t>____________________</w:t>
      </w:r>
      <w:r>
        <w:rPr>
          <w:sz w:val="22"/>
          <w:szCs w:val="22"/>
        </w:rPr>
        <w:t>, действующего на основании Устава, с одной стороны, и</w:t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</w:rPr>
        <w:t>___________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bCs/>
          <w:sz w:val="22"/>
          <w:szCs w:val="22"/>
        </w:rPr>
        <w:t>«Заказчик»</w:t>
      </w:r>
      <w:r>
        <w:rPr>
          <w:sz w:val="22"/>
          <w:szCs w:val="22"/>
        </w:rPr>
        <w:t xml:space="preserve">, в лице </w:t>
      </w:r>
      <w:r>
        <w:rPr>
          <w:sz w:val="22"/>
        </w:rPr>
        <w:t>___________</w:t>
      </w:r>
      <w:r>
        <w:rPr>
          <w:sz w:val="22"/>
          <w:szCs w:val="22"/>
        </w:rPr>
        <w:t xml:space="preserve">, действующего на основании </w:t>
      </w:r>
      <w:r>
        <w:rPr>
          <w:sz w:val="22"/>
        </w:rPr>
        <w:t>___________</w:t>
      </w:r>
      <w:r>
        <w:rPr>
          <w:sz w:val="22"/>
          <w:szCs w:val="22"/>
        </w:rPr>
        <w:t>, с другой стороны, далее совместно именуемые «Стороны», заключили настоящий договор о</w:t>
      </w:r>
      <w:r>
        <w:rPr/>
        <w:t xml:space="preserve"> </w:t>
      </w:r>
      <w:r>
        <w:rPr>
          <w:sz w:val="22"/>
          <w:szCs w:val="22"/>
        </w:rPr>
        <w:t>сервисном обслуживании и ремонте техники LIEBHERR (далее также «Договор») о нижеследующем:</w:t>
      </w:r>
    </w:p>
    <w:p>
      <w:pPr>
        <w:pStyle w:val="Heading1"/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>
      <w:pPr>
        <w:pStyle w:val="Normal"/>
        <w:rPr/>
      </w:pPr>
      <w:r>
        <w:rPr/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Заказчик поручает, а Исполнитель обязуется в течение срока действия настоящего Договора оказывать Заказчику техническую поддержку по сервисному обслуживанию и ремонту </w:t>
      </w:r>
      <w:r>
        <w:rPr>
          <w:iCs/>
          <w:sz w:val="22"/>
          <w:szCs w:val="22"/>
        </w:rPr>
        <w:t>горной, землеройной и перегрузочной</w:t>
      </w:r>
      <w:r>
        <w:rPr>
          <w:sz w:val="22"/>
          <w:szCs w:val="22"/>
        </w:rPr>
        <w:t xml:space="preserve"> техники производства фирмы LIEBHERR</w:t>
      </w:r>
      <w:r>
        <w:rPr>
          <w:sz w:val="22"/>
          <w:szCs w:val="22"/>
          <w:lang w:val="ru-RU"/>
        </w:rPr>
        <w:t>, принадлежащей Заказчику (далее – «техника»), с использованием оригинальных и аналоговых расходных, горюче-смазочных материалов и запасных частей.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Техническая поддержка по сервисному обслуживанию и ремонту техники (далее – «услуги»/ «работы») включает в себя: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техническое обслуживание техники;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диагностику неисправностей техники, отдельных узлов и агрегатов;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инспекцию техники (определение текущего технического состояния техники);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ремонт техники.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2. Обязанности Сторон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2.1. Исполнитель обязуется: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2.1.1. обеспечить привлечение квалифицированного персонала, использование соответствующего инструмента и запасных частей для исполнения обязательств по Договору; 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2.1.2. оказать услуги/выполнить работы, согласованные Сторонами, и сдать их результат Заказчику в порядке, предусмотренном п. 4.3 настоящего Договора;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2.1.3. предоставить гарантию на оказанные услуги/выполненные работы и поставленные запасные части согласно разделу 5 настоящего Договора;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2.1.4. Сроки и способ доставки запасных частей согласовываются Сторонами по каждой конкретной заявке и/или на основании отдельного договора поставки запасных частей, заключенного между Сторонами. 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2.2. Заказчик обязуется: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2.2.1. подготовить технику для оказания услуг/выполнения работ: техника должна предоставляться в чистом виде к сроку, предварительно согласованному Сторонами для оказания услуг/выполнения работ; техника должна находиться на ровной поверхности, устойчивом грунте, на безопасном расстоянии от места эксплуатации, процесса производства и зоны влияния опасных производственных и природных факторов</w:t>
      </w:r>
      <w:r>
        <w:rPr>
          <w:sz w:val="22"/>
          <w:szCs w:val="22"/>
        </w:rPr>
        <w:t>; доступ к технике не должен быть ограничен, в т.ч. наличием посторонних предметов, оборудования, опасных механизмов</w:t>
      </w:r>
      <w:r>
        <w:rPr>
          <w:sz w:val="22"/>
          <w:szCs w:val="22"/>
          <w:lang w:val="ru-RU"/>
        </w:rPr>
        <w:t xml:space="preserve"> и т.д.;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2.2.2. обеспечить выполнение отдельных видов работ своими силами и за свой счет, в т.ч. выполнять погрузочно-разгрузочные, грузоподъемные, шиномонтажные, сварочные и иные подобные работы, демонтаж и монтаж техники, отдельных узлов и агрегатов, обеспечивать наличие необходимой исправной грузоподъемной техники, механизмов, иного оборудования, необходимого для оказания услуг/выполнения работ;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2.2.3. назначить лиц, ответственных за эксплуатацию и обслуживание техники, а также за решение организационных вопросов с Исполнителем, сообщить сведения о них Исполнителю, представить Исполнителю доверенности на соответствующих ответственных лиц, выполнить иные требования, предусмотренные п. 3.9 настоящего Договора;</w:t>
      </w:r>
    </w:p>
    <w:p>
      <w:pPr>
        <w:sectPr>
          <w:type w:val="nextPage"/>
          <w:pgSz w:w="11906" w:h="16838"/>
          <w:pgMar w:left="1701" w:right="851" w:gutter="0" w:header="0" w:top="567" w:footer="0" w:bottom="1560"/>
          <w:pgNumType w:fmt="decimal"/>
          <w:formProt w:val="false"/>
          <w:textDirection w:val="lrTb"/>
          <w:docGrid w:type="default" w:linePitch="272" w:charSpace="0"/>
        </w:sect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2.2.4. предоставлять необходимую документацию по учету технического состояния техники (журнал учета технического состояния техники и/или другую документацию с информацией о проведенных обслуживаниях, ремонтах, заменах запасных частей, узлов и агрегатов), а также по 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запросу Исполнителя предоставлять электрические и гидравлические схемы, инструкцию по эксплуатации, каталог запасных частей на технику в сроки, указанные в таком запросе.</w:t>
      </w:r>
    </w:p>
    <w:p>
      <w:pPr>
        <w:pStyle w:val="Style21"/>
        <w:numPr>
          <w:ilvl w:val="0"/>
          <w:numId w:val="0"/>
        </w:numPr>
        <w:jc w:val="both"/>
        <w:outlineLvl w:val="0"/>
        <w:rPr>
          <w:rFonts w:eastAsia="Times New Roman"/>
          <w:color w:val="auto"/>
          <w:sz w:val="22"/>
          <w:szCs w:val="22"/>
          <w:lang w:eastAsia="x-none"/>
        </w:rPr>
      </w:pPr>
      <w:r>
        <w:rPr>
          <w:rFonts w:eastAsia="Times New Roman"/>
          <w:color w:val="auto"/>
          <w:sz w:val="22"/>
          <w:szCs w:val="22"/>
          <w:lang w:eastAsia="x-none"/>
        </w:rPr>
        <w:t>2.2.5. самостоятельно, своими силами и за свой счет организовывать и обеспечивать утилизацию отработанного топлива, горюче-смазочных материалов, эксплуатационных жидкостей и иных отходов, образующихся в процессе оказания услуг/выполнения работ по настоящему Договору;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2.2.6. оплачивать счета Исполнителя за оказанные услуги/выполненные работы, в срок, предусмотренный п. 4.5 настоящего Договора, и согласно ставкам, указанным в приложении № 2 к настоящему Договору.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3. Порядок и сроки исполнения обязательств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При возникновении необходимости оказания услуг/выполнения работ Заказчик уведомляет об этом Исполнителя по электронной почте </w:t>
      </w:r>
      <w:hyperlink r:id="rId2">
        <w:r>
          <w:rPr>
            <w:rStyle w:val="Hyperlink"/>
            <w:sz w:val="22"/>
            <w:szCs w:val="22"/>
          </w:rPr>
          <w:t>Service.Khabarovsk@tehno-stroy.com</w:t>
        </w:r>
      </w:hyperlink>
      <w:r>
        <w:rPr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3.2. Предварительный объем услуг/работ, а также место их оказания/выполнения определяются на основании заявки Заказчика, оформленной по согласованной в приложении № 1 форме, либо по иной форме, если такая заявка будет принята Исполнителем. Заявка Заказчика может быть направлена в письменной или электронной форме (под электронной формой в рамках настоящего Договора признается направление документов и/или информации посредством факсимильной и/или электронной связи). В случае если заявка Заказчиком не будет оформлена или будет оформлена ненадлежащим образом, но Исполнителем будут оказаны/выполнены услуги/работы, то объем услуг/работ подтверждается актом приемки выполненных работ (по форме приложения № 3 к Договору).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 На основании полученной заявки в согласованные с Заказчиком сроки, но не позднее </w:t>
      </w:r>
      <w:r>
        <w:rPr>
          <w:sz w:val="22"/>
        </w:rPr>
        <w:t>5 (пяти)</w:t>
      </w:r>
      <w:r>
        <w:rPr>
          <w:sz w:val="22"/>
          <w:szCs w:val="22"/>
        </w:rPr>
        <w:t xml:space="preserve"> рабочих дней с момента получения Исполнителем заявки от Заказчика, Исполнитель направляет свой сервисный персонал для оказания услуг/выполнения работ. В случае неполучения оплаты согласно п.4.2. договора, Исполнитель вправе соразмерно перенести срок оказания услуг.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3.4. Сроки оказания услуг/выполнения работ определяются сервисным персоналом Исполнителя по прибытии к месту оказания услуг/выполнения работ в зависимости от их объема и сложности, но в любом случае составляют не более 30 дней с момента получения заявки Заказчика (за исключением случаев, приведенных в п. 3.6 Договора). Досрочное выполнение работ/оказание услуг является допустимым.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Сроки оказания услуг/выполнения работ, указанные в настоящем пункте, соответственно продлеваются при невыполнении Заказчиком обязательств, предусмотренных п. 2.2 Договора, и/или непредставлении, в случае необходимости, вспомогательных оборудования, персонала, либо при отсутствии погодных условий, позволяющих Исполнителю приступить к выполнению своих обязательств по Договору.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3.5. В случае невыполнения или ненадлежащего выполнения обязательств Заказчиком по Договору, препятствующего началу оказания услуг/ выполнения работ Исполнителем, Исполнитель вправе не приступать или приостановить оказание услуг/выполнение работ. Период времени, в течение которого сервисный персонал Исполнителя не мог приступить к оказанию услуг/выполнению работ по вине Заказчика (простой), а также период ожидания сервисным персоналом Исполнителя подписания Заказчиком актов приемки выполненных работ оплачивается Заказчиком в соответствии с приложением № 2 к настоящему Договору.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Сроки оказания услуг/выполнения работ подлежат продлению в случае необходимости привлечения дополнительного персонала Исполнителя или использования дополнительных запасных частей. При отсутствии запасных частей на складе Заказчика, Исполнителя или на заводе-изготовителе срок исполнения обязательств соразмерно продлевается на срок, необходимый для поставки запасных частей, который в любом случае не может составлять менее срока производства соответствующих запасных частей на заводе-изготовителе, увеличенного на срок её доставки в место оказания услуг/выполнения работ.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3.7. В случае необходимости оказания/выполнения дополнительных услуг/работ их состав и перечень запасных частей отражаются Исполнителем в акте приемки выполненных работ или дефектной ведомости и/или доводятся до сведения Заказчика в устной форме. При этом Стороны согласовали, что фактом, подтверждающим надлежащее уведомление и согласие Заказчика на оказание/выполнение дополнительных услуг/работ, является допуск персонала Исполнителя к технике для оказания/выполнения дополнительных услуг/работ.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3.8. Стороны согласовали, что в рамках настоящего Договора услуги/работы, оказываемые/выполняемые Исполнителем по конкретной заявке Заказчика, но не поименованные в ней, либо использованные при оказании услуг/выполнении работ Исполнителем собственные запасные части, расходные материалы, не являются дополнительными, соответственно, не требуют дополнительного согласования с Заказчиком и подлежат оплате в порядке, предусмотренном разделом 4 настоящего Договора, если они необходимы/обязательны: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в соответствии с технологией ремонта, технического обслуживания, диагностики и инспекции техники;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в соответствии с Руководством по эксплуатации и техническому обслуживанию соответствующего вида техники и/или иной технической документацией завода-изготовителя;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с целью качественного и полного исполнения Исполнителем обязательств по Договору, в т.ч. устранения неисправности и/или диагностики техники.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3.9. </w:t>
      </w:r>
      <w:r>
        <w:rPr>
          <w:sz w:val="22"/>
          <w:szCs w:val="22"/>
          <w:lang w:val="ru-RU"/>
        </w:rPr>
        <w:t>Настоящим Стороны согласовали, что в ходе исполнения Договора Стороны руководствуются приложением № 4, которое Заказчик обязуется довести до сведения ответственных лиц Заказчика. В случаях, когда в оказании услуг/ выполнении работ участвует персонал Заказчика, третьих лиц и/или используются подъемные или иные специальные механизмы и оборудование, предоставляемые Заказчиком и/или привлеченными им третьими лицами, услуги по настоящему Договору оказываются/ работы выполняются Исполнителем исключительно в составе бригады Заказчика, если иное специально письменно не согласовано Сторонами (работы по акту-допуску). При этом Заказчик обязуется: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3.9.1. оформить наряд-допуск и включить персонал Исполнителя (субподрядчиков Исполнителя) в состав бригады Заказчика, а также оформить проект производства работ, технологические карты и иную необходимую в соответствии с законодательством документацию;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3.9.2. обеспечить соблюдение требований безопасности труда (включая требования промышленной, экологической безопасности, охраны окружающей среды и иных норм и правил безопасности) в отношении своего персонала и в отношении персонала Исполнителя (субподрядчиков Исполнителя);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3.9.3. провести необходимый инструктаж: до начала оказания услуг/выполнения работ Заказчик обязан под роспись ознакомить свой персонал и персонал Исполнителя (субподрядчиков Исполнителя) с документацией по охране труда и безопасному производству работ;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3.9.4. контролировать и обеспечивать наличие средств индивидуальной и коллективной защиты;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3.9.5. назначить со своей стороны лиц, ответственных за соблюдение требований по охране труда и промышленной безопасности, выполнение работ и сопровождение сервисного персонала Исполнителя (субподрядчиков Исполнителя)</w:t>
      </w:r>
      <w:r>
        <w:rPr/>
        <w:t xml:space="preserve"> </w:t>
      </w:r>
      <w:r>
        <w:rPr>
          <w:rFonts w:ascii="Times New Roman" w:hAnsi="Times New Roman"/>
        </w:rPr>
        <w:t>по территории Заказчика (в местах производства работ). Лицо, ответственное за сопровождение сервисного персонала Исполнителя (субподрядчиков Исполнителя),</w:t>
      </w:r>
      <w:r>
        <w:rPr/>
        <w:t xml:space="preserve"> </w:t>
      </w:r>
      <w:r>
        <w:rPr>
          <w:rFonts w:ascii="Times New Roman" w:hAnsi="Times New Roman"/>
        </w:rPr>
        <w:t>обязано в течение всего времени оказания услуг/выполнения работ сопровождать сервисный персонал Исполнителя (субподрядчиков Исполнителя)</w:t>
      </w:r>
      <w:r>
        <w:rPr/>
        <w:t xml:space="preserve"> </w:t>
      </w:r>
      <w:r>
        <w:rPr>
          <w:rFonts w:ascii="Times New Roman" w:hAnsi="Times New Roman"/>
        </w:rPr>
        <w:t>в пределах безопасных зон;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3.9.6. привлекать к исполнению обязательств только специально обученный персонал соответствующей квалификации, прошедший в необходимых случаях аттестацию, отвечающий всем требованиям, предъявляемым для производства работ, не имеющий ограничений по состоянию здоровья и иным показателям;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3.9.7. произвести подготовительные работы, необходимые для оказания услуг/выполнения работ Исполнителем, а также предоставить Исполнителю документы, подтверждающие выполнение указанных подготовительных работ;</w:t>
      </w:r>
    </w:p>
    <w:p>
      <w:pPr>
        <w:pStyle w:val="ListParagraph"/>
        <w:widowControl w:val="false"/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 w:eastAsia="Times New Roman"/>
          <w:lang w:eastAsia="x-none"/>
        </w:rPr>
      </w:pPr>
      <w:r>
        <w:rPr>
          <w:rFonts w:eastAsia="Times New Roman" w:ascii="Times New Roman" w:hAnsi="Times New Roman"/>
          <w:lang w:eastAsia="x-none"/>
        </w:rPr>
        <w:t>3.9.8. д</w:t>
      </w:r>
      <w:r>
        <w:rPr>
          <w:rFonts w:ascii="Times New Roman" w:hAnsi="Times New Roman"/>
        </w:rPr>
        <w:t>о начала оказания услуг/выполнения работ предоставить Исполнителю в письменном виде перечень опасных, вредных производственных и климатических факторов, не связанных с характером услуг/работ, включая перечень иных факторов, способных оказать существенное влияние на процесс оказания услуг/выполнения работ, а также опасных и вредных производственных факторов, возникающих в результате оказания услуг/выполнения работ на территории Заказчика;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3.9.9. организовать контроль за соблюдением технологических процессов в ходе оказания услуг/выполнения работ;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/>
      </w:pPr>
      <w:r>
        <w:rPr>
          <w:rFonts w:ascii="Times New Roman" w:hAnsi="Times New Roman"/>
        </w:rPr>
        <w:t>3.9.10. в случае использования механизмов, оборудования, специального инструмента, приборов и иных вспомогательных средств Заказчика и/или привлеченных им третьих лиц, они должны соответствовать требованиям законодательства, в том числе должны иметь не истекший срок службы, сертификацию, должны быть исправны и безопасны, предварительно проверены, технически освидетельствованы, протестированы, испытаны, в случаях, предусмотренных законодательством, - поставлены на учет в соответствующих органах, должны соответствовать требованиям технологического процесса и технологии выполняемых работ. Монтаж, демонтаж, подключение, управление механизмами и оборудованием, наличие которых обеспечивает Заказчик, осуществляется сотрудниками Заказчика (или привлеченными им третьими лицами), имеющими соответствующие допуски, квалификацию и прошедшими соответствующее обучение, отвечающими иным требованиям законодательства</w:t>
      </w:r>
      <w:r>
        <w:rPr/>
        <w:t>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3.9.11. обеспечивать заправку техники топливом, горюче-смазочными материалами и эксплуатационными жидкостями, тарами для слива;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3.10. В рамках настоящего Договора при проведении монтажа, демонтажа техники, отдельных узлов и агрегатов Исполнитель оказывает Заказчику услуги по шеф монтажу, заключающиеся в консультировании Заказчика по порядку монтажа, демонтажа в соответствии с техническими требованиями завода-изготовителя. Монтаж, демонтаж техники, отдельных узлов и агрегатов проводится силами и за счет Заказчика, если иное специально письменно не согласовано Сторонами.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3.11. По настоящему Договору Исполнитель вправе по своему усмотрению, без какого-либо согласования с Заказчиком, привлекать для оказания услуг/выполнения работ третьих лиц.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3.12. Стороны договорились, что независимо от того, содержат ли счета, заявки, акты выполненных работ, бухгалтерские акты и иные документы, предусмотренные Договором, выставленные/оформленные в рамках Договора, ссылку на настоящий Договор, все правоотношения Сторон в рамках предмета Договора после его заключения регулируются настоящим Договором.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jc w:val="center"/>
        <w:rPr>
          <w:b/>
          <w:bCs/>
        </w:rPr>
      </w:pPr>
      <w:bookmarkStart w:id="0" w:name="Par133"/>
      <w:bookmarkStart w:id="1" w:name="Par290"/>
      <w:bookmarkStart w:id="2" w:name="Par262"/>
      <w:bookmarkStart w:id="3" w:name="Par252"/>
      <w:bookmarkEnd w:id="0"/>
      <w:bookmarkEnd w:id="1"/>
      <w:bookmarkEnd w:id="2"/>
      <w:bookmarkEnd w:id="3"/>
      <w:r>
        <w:rPr>
          <w:b/>
          <w:bCs/>
        </w:rPr>
        <w:t>4. Порядок приемки и условия оплаты.</w:t>
      </w:r>
    </w:p>
    <w:p>
      <w:pPr>
        <w:pStyle w:val="Normal"/>
        <w:rPr/>
      </w:pPr>
      <w:r>
        <w:rPr/>
      </w:r>
    </w:p>
    <w:p>
      <w:pPr>
        <w:pStyle w:val="BodyText2"/>
        <w:spacing w:lineRule="auto" w:line="276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4.1. Стоимость услуг/работ Исполнителя определяется в соответствии с Приложением №2 к настоящему Договору. Стоимость расходных материалов и запасных частей, предоставленных Исполнителем и использованных при оказании услуг/выполнении работ, определяется действующими у Исполнителя ценами. Оплата услуг/работ, а также использованных при оказании услуг/выполнении работ расходных материалов и запасных частей, производится в российских рублях согласно выставленным Исполнителем счетам путем перечисления денежных средств на расчетный счет Исполнителя.</w:t>
      </w:r>
    </w:p>
    <w:p>
      <w:pPr>
        <w:pStyle w:val="BodyText2"/>
        <w:spacing w:lineRule="auto" w:line="276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4.2. Оплата производится в российских рублях согласно выставленным Исполнителем счетам путем перечисления денежных средств на расчетный счет Исполнителя в сроки, установленные в п.4.6. настоящего Договора. </w:t>
      </w:r>
    </w:p>
    <w:p>
      <w:pPr>
        <w:pStyle w:val="Normal"/>
        <w:suppressAutoHyphens w:val="true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4.3. По окончании оказания услуг/выполнения работ сервисный персонал Исполнителя оформляет и направляет Заказчику акт приемки выполненных работ по согласованной в Приложении №3 форме с указанием фактического объема оказанных услуг/выполненных работ и использованных расходных материалов и запасных частей. Данный акт приемки выполненных работ является документом, подтверждающим фактический объем оказанных услуг/выполненных работ и использованных расходных материалов и запасных частей, и дополнительно к этому является извещением Исполнителя в адрес Заказчика о готовности услуг/работ к сдаче.</w:t>
      </w:r>
    </w:p>
    <w:p>
      <w:pPr>
        <w:pStyle w:val="Normal"/>
        <w:suppressAutoHyphens w:val="true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4.4. Окончательная стоимость оказанных услуг/выполненных работ, включая расходы на проживание и проезд сервисного персонала Исполнителя, указывается в акте, составляемом для целей бухгалтерского учета (далее и ранее также «бухгалтерский акт»). Исполнитель выставляет счет в российских рублях на оплату, где учтена стоимость услуг/работ, использованных расходных материалов и запасных частей, и направляет его Заказчику, в т.ч. по факсу или электронной почте. Счет-фактура и бухгалтерский акт направляются Заказчику в течение 5 рабочих дней с момента выставления счета.</w:t>
      </w:r>
    </w:p>
    <w:p>
      <w:pPr>
        <w:pStyle w:val="Normal"/>
        <w:suppressAutoHyphens w:val="true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В случае если в течение </w:t>
      </w:r>
      <w:r>
        <w:rPr>
          <w:sz w:val="22"/>
        </w:rPr>
        <w:t>5 (пяти)</w:t>
      </w:r>
      <w:r>
        <w:rPr>
          <w:i/>
          <w:sz w:val="22"/>
          <w:szCs w:val="22"/>
        </w:rPr>
        <w:t xml:space="preserve"> </w:t>
      </w:r>
      <w:r>
        <w:rPr>
          <w:iCs/>
          <w:sz w:val="22"/>
          <w:szCs w:val="22"/>
        </w:rPr>
        <w:t>дней с момента получения Заказчик</w:t>
      </w:r>
      <w:r>
        <w:rPr>
          <w:sz w:val="22"/>
          <w:szCs w:val="22"/>
        </w:rPr>
        <w:t xml:space="preserve"> не подписал акт приемки выполненных работ и/или бухгалтерский акт и не направил Исполнителю мотивированный отказ, оказанные Исполнителем услуги/выполненные работы считаются принятыми Заказчиком без возражений и подлежат оплате.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Заказчик обязан производить оплату в течение 10 (десяти) календарных дней с момента получения счета на основании подписанного Сторонами Акта приемки выполненных работ. 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Обязательства Заказчика по оплате считаются исполненными с даты зачисления денежных средств на расчетный счет Исполнителя. В течение 2 (двух) дней, начиная с даты списания денежных средств со своего счета, Заказчик обязан направить факсимильной связью или по электронной почте в адрес Исполнителя копию платежного поручения, подтверждающего оплату работ/услуг.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4.7. Оказание услуг в пределах суммы кредитного лимита (суммы задолженности Заказчика перед Исполнителем) установленного настоящим пунктом Договора, производится на условиях 100% оплаты после оказания/выполнения услуг/работ Исполнителем либо на иных условиях, согласованных Сторонами, не позднее 10 (десяти) календарных дней с даты их оказания/выполнения.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Кредитный лимит Заказчика по оплате стоимости оказанных услуг/выполненных работ, в рамках настоящего Договора, составляет 300 000 (триста тысяч) рублей на срок до 10 (десяти) календарных дней.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Оказание услуг осуществляется только на условиях 100% предварительной оплаты, если сумма задолженности Заказчика превышает размер установленного кредитного лимита и/или срок, а также в случае ненадлежащего выполнения Заказчиком обязательств по оплате.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В том случае если в нарушение условий Договора оказание услуг/выполнение работ будет осуществлено на условиях постоплаты при превышении суммы кредитного лимита и/или срока действия лимита, Заказчик обязан оплатить такие услуги/ работы не позднее 5 (пяти) календарных дней с даты их оказания/выполнения на основании выставленного Исполнителем счета.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5. Гарантия качества</w:t>
      </w:r>
    </w:p>
    <w:p>
      <w:pPr>
        <w:pStyle w:val="Normal"/>
        <w:rPr/>
      </w:pPr>
      <w:r>
        <w:rPr/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5.1. Исполнитель гарантирует, что качество оказанных Исполнителем услуг/выполненных работ соответствует технологии по ремонту и обслуживанию, техническим требованиям завода-изготовителя и Руководству по эксплуатации и техническому обслуживанию соответствующего вида техники.</w:t>
      </w:r>
      <w:r>
        <w:rPr>
          <w:bCs/>
          <w:sz w:val="22"/>
          <w:szCs w:val="22"/>
          <w:lang w:eastAsia="ru-RU"/>
        </w:rPr>
        <w:t xml:space="preserve"> Гарантия</w:t>
      </w:r>
      <w:r>
        <w:rPr>
          <w:bCs/>
          <w:sz w:val="22"/>
          <w:szCs w:val="22"/>
          <w:lang w:val="ru-RU" w:eastAsia="ru-RU"/>
        </w:rPr>
        <w:t xml:space="preserve"> на запасные части</w:t>
      </w:r>
      <w:r>
        <w:rPr>
          <w:bCs/>
          <w:sz w:val="22"/>
          <w:szCs w:val="22"/>
          <w:lang w:eastAsia="ru-RU"/>
        </w:rPr>
        <w:t xml:space="preserve">, предусмотренная настоящим разделом, распространяется только на </w:t>
      </w:r>
      <w:r>
        <w:rPr>
          <w:bCs/>
          <w:sz w:val="22"/>
          <w:szCs w:val="22"/>
          <w:lang w:val="ru-RU" w:eastAsia="ru-RU"/>
        </w:rPr>
        <w:t>недостатки</w:t>
      </w:r>
      <w:r>
        <w:rPr>
          <w:bCs/>
          <w:sz w:val="22"/>
          <w:szCs w:val="22"/>
          <w:lang w:eastAsia="ru-RU"/>
        </w:rPr>
        <w:t xml:space="preserve">, являющиеся производственными, т.е. </w:t>
      </w:r>
      <w:r>
        <w:rPr>
          <w:bCs/>
          <w:sz w:val="22"/>
          <w:szCs w:val="22"/>
          <w:lang w:val="ru-RU" w:eastAsia="ru-RU"/>
        </w:rPr>
        <w:t>недостатки</w:t>
      </w:r>
      <w:r>
        <w:rPr>
          <w:bCs/>
          <w:sz w:val="22"/>
          <w:szCs w:val="22"/>
          <w:lang w:eastAsia="ru-RU"/>
        </w:rPr>
        <w:t xml:space="preserve"> материала и сборки</w:t>
      </w:r>
      <w:r>
        <w:rPr>
          <w:bCs/>
          <w:sz w:val="22"/>
          <w:szCs w:val="22"/>
          <w:lang w:val="ru-RU" w:eastAsia="ru-RU"/>
        </w:rPr>
        <w:t xml:space="preserve"> запасных частей.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5.2. Гарантийный </w:t>
      </w:r>
      <w:r>
        <w:rPr>
          <w:sz w:val="22"/>
          <w:szCs w:val="22"/>
          <w:lang w:val="en-US"/>
        </w:rPr>
        <w:t>c</w:t>
      </w:r>
      <w:r>
        <w:rPr>
          <w:sz w:val="22"/>
          <w:szCs w:val="22"/>
          <w:lang w:val="ru-RU"/>
        </w:rPr>
        <w:t xml:space="preserve">рок на оказанные услуги/выполненные работы составляет </w:t>
      </w:r>
      <w:r>
        <w:rPr>
          <w:sz w:val="22"/>
          <w:lang w:val="ru-RU"/>
        </w:rPr>
        <w:t>2 (два) месяца</w:t>
      </w:r>
      <w:r>
        <w:rPr>
          <w:sz w:val="22"/>
          <w:szCs w:val="22"/>
          <w:lang w:val="ru-RU"/>
        </w:rPr>
        <w:t xml:space="preserve"> с даты, когда результат оказанных услуг/выполненных работ был принят или должен был быть принят Заказчиком. Срок гарантии на запасные части, которые были использованы Исполнителем при оказании услуг/выполнении работ в рамках настоящего Договора, составляет </w:t>
      </w:r>
      <w:r>
        <w:rPr>
          <w:sz w:val="22"/>
          <w:lang w:val="ru-RU"/>
        </w:rPr>
        <w:t>6 (шесть)</w:t>
      </w:r>
      <w:r>
        <w:rPr>
          <w:sz w:val="22"/>
          <w:szCs w:val="22"/>
          <w:lang w:val="ru-RU"/>
        </w:rPr>
        <w:t xml:space="preserve"> месяцев или </w:t>
      </w:r>
      <w:r>
        <w:rPr>
          <w:sz w:val="22"/>
          <w:lang w:val="ru-RU"/>
        </w:rPr>
        <w:t>1000 (одна тысяча)</w:t>
      </w:r>
      <w:r>
        <w:rPr>
          <w:sz w:val="22"/>
          <w:szCs w:val="22"/>
          <w:lang w:val="ru-RU"/>
        </w:rPr>
        <w:t xml:space="preserve"> моточасов (в зависимости от того, что наступит ранее) с момента, когда результат оказанных услуг/выполненных работ был принят или должен был быть принят Заказчиком, но в любом случае не более </w:t>
      </w:r>
      <w:r>
        <w:rPr>
          <w:sz w:val="22"/>
          <w:lang w:val="ru-RU"/>
        </w:rPr>
        <w:t>9 (девяти)</w:t>
      </w:r>
      <w:r>
        <w:rPr>
          <w:sz w:val="22"/>
          <w:szCs w:val="22"/>
          <w:lang w:val="ru-RU"/>
        </w:rPr>
        <w:t xml:space="preserve"> месяцев с момента отгрузки запасных частей со склада Исполнителя.</w:t>
      </w:r>
    </w:p>
    <w:p>
      <w:pPr>
        <w:pStyle w:val="BodyTextIndent3"/>
        <w:suppressAutoHyphens w:val="true"/>
        <w:spacing w:before="0" w:after="0"/>
        <w:ind w:left="0" w:hanging="0"/>
        <w:jc w:val="both"/>
        <w:rPr>
          <w:sz w:val="22"/>
        </w:rPr>
      </w:pPr>
      <w:r>
        <w:rPr>
          <w:sz w:val="22"/>
        </w:rPr>
        <w:t xml:space="preserve">5.3. </w:t>
      </w:r>
      <w:r>
        <w:rPr>
          <w:sz w:val="22"/>
          <w:szCs w:val="22"/>
        </w:rPr>
        <w:t>Исполнитель несет ответственность за качество</w:t>
      </w:r>
      <w:r>
        <w:rPr>
          <w:sz w:val="22"/>
        </w:rPr>
        <w:t xml:space="preserve"> оказанных услуг/</w:t>
      </w:r>
      <w:r>
        <w:rPr>
          <w:sz w:val="22"/>
          <w:szCs w:val="22"/>
        </w:rPr>
        <w:t xml:space="preserve">выполненных работ </w:t>
      </w:r>
      <w:r>
        <w:rPr>
          <w:sz w:val="22"/>
        </w:rPr>
        <w:t xml:space="preserve">и запасных частей </w:t>
      </w:r>
      <w:r>
        <w:rPr>
          <w:sz w:val="22"/>
          <w:szCs w:val="22"/>
        </w:rPr>
        <w:t xml:space="preserve">в течение гарантийного срока </w:t>
      </w:r>
      <w:r>
        <w:rPr>
          <w:sz w:val="22"/>
        </w:rPr>
        <w:t xml:space="preserve">только </w:t>
      </w:r>
      <w:r>
        <w:rPr>
          <w:sz w:val="22"/>
          <w:szCs w:val="22"/>
        </w:rPr>
        <w:t xml:space="preserve">при условии </w:t>
      </w:r>
      <w:r>
        <w:rPr>
          <w:sz w:val="22"/>
        </w:rPr>
        <w:t xml:space="preserve">полного соблюдения Заказчиком </w:t>
      </w:r>
      <w:r>
        <w:rPr>
          <w:sz w:val="22"/>
          <w:szCs w:val="22"/>
        </w:rPr>
        <w:t>Руководств</w:t>
      </w:r>
      <w:r>
        <w:rPr>
          <w:sz w:val="22"/>
        </w:rPr>
        <w:t>а</w:t>
      </w:r>
      <w:r>
        <w:rPr>
          <w:sz w:val="22"/>
          <w:szCs w:val="22"/>
        </w:rPr>
        <w:t xml:space="preserve"> по эксплуатации </w:t>
      </w:r>
      <w:r>
        <w:rPr>
          <w:sz w:val="22"/>
        </w:rPr>
        <w:t xml:space="preserve">и техническому обслуживанию </w:t>
      </w:r>
      <w:r>
        <w:rPr>
          <w:sz w:val="22"/>
          <w:szCs w:val="22"/>
        </w:rPr>
        <w:t>соответствующего вида техники, иных</w:t>
      </w:r>
      <w:r>
        <w:rPr>
          <w:sz w:val="22"/>
        </w:rPr>
        <w:t xml:space="preserve"> требований завода-изготовителя, использования </w:t>
      </w:r>
      <w:r>
        <w:rPr>
          <w:sz w:val="22"/>
          <w:szCs w:val="22"/>
        </w:rPr>
        <w:t>Заказчик</w:t>
      </w:r>
      <w:r>
        <w:rPr>
          <w:sz w:val="22"/>
        </w:rPr>
        <w:t>ом</w:t>
      </w:r>
      <w:r>
        <w:rPr>
          <w:sz w:val="22"/>
          <w:szCs w:val="22"/>
        </w:rPr>
        <w:t xml:space="preserve"> запасны</w:t>
      </w:r>
      <w:r>
        <w:rPr>
          <w:sz w:val="22"/>
        </w:rPr>
        <w:t>х</w:t>
      </w:r>
      <w:r>
        <w:rPr>
          <w:sz w:val="22"/>
          <w:szCs w:val="22"/>
        </w:rPr>
        <w:t xml:space="preserve"> част</w:t>
      </w:r>
      <w:r>
        <w:rPr>
          <w:sz w:val="22"/>
        </w:rPr>
        <w:t>ей</w:t>
      </w:r>
      <w:r>
        <w:rPr>
          <w:sz w:val="22"/>
          <w:szCs w:val="22"/>
        </w:rPr>
        <w:t>, эксплуатационны</w:t>
      </w:r>
      <w:r>
        <w:rPr>
          <w:sz w:val="22"/>
        </w:rPr>
        <w:t>х</w:t>
      </w:r>
      <w:r>
        <w:rPr>
          <w:sz w:val="22"/>
          <w:szCs w:val="22"/>
        </w:rPr>
        <w:t xml:space="preserve"> жидкост</w:t>
      </w:r>
      <w:r>
        <w:rPr>
          <w:sz w:val="22"/>
        </w:rPr>
        <w:t>ей</w:t>
      </w:r>
      <w:r>
        <w:rPr>
          <w:sz w:val="22"/>
          <w:szCs w:val="22"/>
        </w:rPr>
        <w:t xml:space="preserve"> и смазочны</w:t>
      </w:r>
      <w:r>
        <w:rPr>
          <w:sz w:val="22"/>
        </w:rPr>
        <w:t>х</w:t>
      </w:r>
      <w:r>
        <w:rPr>
          <w:sz w:val="22"/>
          <w:szCs w:val="22"/>
        </w:rPr>
        <w:t xml:space="preserve"> материал</w:t>
      </w:r>
      <w:r>
        <w:rPr>
          <w:sz w:val="22"/>
        </w:rPr>
        <w:t>ов</w:t>
      </w:r>
      <w:r>
        <w:rPr>
          <w:sz w:val="22"/>
          <w:szCs w:val="22"/>
        </w:rPr>
        <w:t>, соответствующи</w:t>
      </w:r>
      <w:r>
        <w:rPr>
          <w:sz w:val="22"/>
        </w:rPr>
        <w:t>х</w:t>
      </w:r>
      <w:r>
        <w:rPr>
          <w:sz w:val="22"/>
          <w:szCs w:val="22"/>
        </w:rPr>
        <w:t xml:space="preserve"> техническ</w:t>
      </w:r>
      <w:r>
        <w:rPr>
          <w:sz w:val="22"/>
        </w:rPr>
        <w:t>им</w:t>
      </w:r>
      <w:r>
        <w:rPr>
          <w:sz w:val="22"/>
          <w:szCs w:val="22"/>
        </w:rPr>
        <w:t xml:space="preserve"> </w:t>
      </w:r>
      <w:r>
        <w:rPr>
          <w:sz w:val="22"/>
        </w:rPr>
        <w:t>требованиям</w:t>
      </w:r>
      <w:r>
        <w:rPr>
          <w:sz w:val="22"/>
          <w:szCs w:val="22"/>
        </w:rPr>
        <w:t xml:space="preserve"> завода-изготовителя</w:t>
      </w:r>
      <w:r>
        <w:rPr>
          <w:sz w:val="22"/>
        </w:rPr>
        <w:t>. Ответственность Исполнителя по гарантии ограничивается ремонтом и/или поставкой (заменой) запасных частей</w:t>
      </w:r>
      <w:r>
        <w:rPr>
          <w:sz w:val="22"/>
          <w:szCs w:val="22"/>
        </w:rPr>
        <w:t>. При этом исключено возмещение расходов Заказчика на самостоятельное устранение недостатков, если иное письменно не согласовано Сторонами.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5.4. Гарантия Исполнителя не распространяется на: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неоригинальные или поставленные не Исполнителем запасные части, включая недостатки, явившиеся следствием использования таких запасных частей;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расходные материалы, эксплуатационные жидкости и смазочные материалы, быстроизнашивающиеся части, т.е. детали, использование которых на всем сроке службы предусматривает износ, обусловленный условиями эксплуатации: пальцы, втулки, зубья, цепи, зубчатые колеса, опорные и поддерживающие катки, направляющие колеса, покрышки (компоненты ходовой части и прочие детали, контактирующие с перегружаемым материалом), тормозные колодки/диски, канатные шкивы, щетки стеклоочистителя, аккумуляторы, лампы фар, остекление, электрические предохранители, быстроразъемные соединения, зеркала, уплотнения подшипников, облицовка (обивка), прокладки, траки, сегменты звездочек ведущих колес, ковши, элементы защиты ковшей и отвалов, коронки зубьев ковшей и рыхлителей, ножи и режущие кромки ковшей и отвалов, шины и т.д.; 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недостатки качества запасных частей, не являющиеся производственными</w:t>
      </w:r>
      <w:r>
        <w:rPr>
          <w:sz w:val="22"/>
          <w:szCs w:val="22"/>
        </w:rPr>
        <w:t>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Заказчик не вправе предъявлять претензии Исполнителю по поводу отклонений каких-либо параметров, не превышающих нормы допуска, указанные в Руководстве по эксплуатации и техническому обслуживанию или иной технической документации.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5.5. Гарантийные обязательства Исполнителя на услуги/работы и запасные части, предусмотренные настоящим Договором, досрочно прекращаются в следующих случаях: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применения запасных частей, техники не по назначению; 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эксплуатации запасных частей в неисправных узлах, агрегатах, технике или совместно с ними;</w:t>
      </w:r>
    </w:p>
    <w:p>
      <w:pPr>
        <w:pStyle w:val="NormalWeb"/>
        <w:spacing w:beforeAutospacing="0" w:before="0" w:afterAutospacing="0" w:after="0"/>
        <w:jc w:val="both"/>
        <w:rPr>
          <w:sz w:val="22"/>
          <w:szCs w:val="22"/>
        </w:rPr>
      </w:pPr>
      <w:r>
        <w:rPr>
          <w:sz w:val="22"/>
          <w:szCs w:val="22"/>
        </w:rPr>
        <w:t>- если техника подвергалась изменениям либо в технику были встроены части инородного происхождения или применены не предназначенные вспомогательные материалы без письменного согласия Исполнителя;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использования эксплуатационных жидкостей, топлива и/или смазочных материалов, не соответствующих техническим требованиям завода-изготовителя, Руководству по эксплуатации и техническому обслуживанию соответствующего вида техники;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- недостатка использования или неиспользования эксплуатационных жидкостей, топлива и/или смазочных материалов, предусмотренных техническими требованиями завода-изготовителя, Руководством по эксплуатации и техническому обслуживанию соответствующего вида техники</w:t>
      </w:r>
      <w:r>
        <w:rPr>
          <w:sz w:val="22"/>
          <w:szCs w:val="22"/>
          <w:lang w:val="ru-RU"/>
        </w:rPr>
        <w:t>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- неправильного монтажа, ввода/пуска в эксплуатацию или ремонта неквалифицированным персоналом Заказчика, не прошедшим обучение, организованное компанией, входящей в концерн </w:t>
      </w:r>
      <w:r>
        <w:rPr>
          <w:sz w:val="22"/>
          <w:szCs w:val="22"/>
          <w:lang w:val="de-DE"/>
        </w:rPr>
        <w:t>LIEBHERR</w:t>
      </w:r>
      <w:r>
        <w:rPr>
          <w:sz w:val="22"/>
          <w:szCs w:val="22"/>
          <w:lang w:val="ru-RU"/>
        </w:rPr>
        <w:t>, или ее официальным представителем, или производимого третьими лицами;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ввода техники в эксплуатацию до завершения ремонта или продолжения ее эксплуатации вопреки возникшей неисправности;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несоблюдения технических требований завода-изготовителя по эксплуатации, монтажу, сборке техники, запасных частей;</w:t>
      </w:r>
    </w:p>
    <w:p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- </w:t>
      </w:r>
      <w:r>
        <w:rPr>
          <w:sz w:val="22"/>
          <w:szCs w:val="22"/>
        </w:rPr>
        <w:t xml:space="preserve">неправильного или небрежного хранения, перевозки, транспортировки, погрузки, выгрузки, </w:t>
      </w:r>
      <w:r>
        <w:rPr>
          <w:sz w:val="22"/>
          <w:szCs w:val="22"/>
          <w:lang w:val="ru-RU"/>
        </w:rPr>
        <w:t xml:space="preserve">эксплуатации, </w:t>
      </w:r>
      <w:r>
        <w:rPr>
          <w:sz w:val="22"/>
          <w:szCs w:val="22"/>
        </w:rPr>
        <w:t>обслуживания, монтажа, ремонта техники</w:t>
      </w:r>
      <w:r>
        <w:rPr>
          <w:sz w:val="22"/>
          <w:szCs w:val="22"/>
          <w:lang w:val="ru-RU"/>
        </w:rPr>
        <w:t>, запасных частей</w:t>
      </w:r>
      <w:r>
        <w:rPr>
          <w:sz w:val="22"/>
          <w:szCs w:val="22"/>
        </w:rPr>
        <w:t xml:space="preserve"> с нарушением требований Руководства по эксплуатации</w:t>
      </w:r>
      <w:r>
        <w:rPr>
          <w:sz w:val="22"/>
          <w:szCs w:val="22"/>
          <w:lang w:val="ru-RU"/>
        </w:rPr>
        <w:t xml:space="preserve"> и техническому обслуживанию соответствующего вида техники</w:t>
      </w:r>
      <w:r>
        <w:rPr>
          <w:sz w:val="22"/>
          <w:szCs w:val="22"/>
        </w:rPr>
        <w:t xml:space="preserve">; </w:t>
      </w:r>
    </w:p>
    <w:p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- превышения допустимых нагрузок на технику, узлы, агрегаты;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- возникновения </w:t>
      </w:r>
      <w:r>
        <w:rPr>
          <w:sz w:val="22"/>
          <w:szCs w:val="22"/>
          <w:lang w:val="ru-RU"/>
        </w:rPr>
        <w:t>недостатков</w:t>
      </w:r>
      <w:r>
        <w:rPr>
          <w:sz w:val="22"/>
          <w:szCs w:val="22"/>
        </w:rPr>
        <w:t xml:space="preserve"> в результате аварий, </w:t>
      </w:r>
      <w:r>
        <w:rPr>
          <w:sz w:val="22"/>
          <w:szCs w:val="22"/>
          <w:lang w:val="ru-RU"/>
        </w:rPr>
        <w:t xml:space="preserve">затопления, </w:t>
      </w:r>
      <w:r>
        <w:rPr>
          <w:sz w:val="22"/>
          <w:szCs w:val="22"/>
        </w:rPr>
        <w:t>механических, химических, термических</w:t>
      </w:r>
      <w:r>
        <w:rPr>
          <w:sz w:val="22"/>
          <w:szCs w:val="22"/>
          <w:lang w:val="ru-RU"/>
        </w:rPr>
        <w:t xml:space="preserve"> повреждений, сварочных работ</w:t>
      </w:r>
      <w:r>
        <w:rPr>
          <w:sz w:val="22"/>
          <w:szCs w:val="22"/>
        </w:rPr>
        <w:t xml:space="preserve"> и иных внешних воздействий, действий третьих лиц и </w:t>
      </w:r>
      <w:r>
        <w:rPr>
          <w:sz w:val="22"/>
          <w:szCs w:val="22"/>
          <w:lang w:val="ru-RU"/>
        </w:rPr>
        <w:t xml:space="preserve">обстоятельств </w:t>
      </w:r>
      <w:r>
        <w:rPr>
          <w:sz w:val="22"/>
          <w:szCs w:val="22"/>
        </w:rPr>
        <w:t>непреодолимой силы</w:t>
      </w:r>
      <w:r>
        <w:rPr>
          <w:sz w:val="22"/>
          <w:szCs w:val="22"/>
          <w:lang w:val="ru-RU"/>
        </w:rPr>
        <w:t>,</w:t>
      </w:r>
      <w:r>
        <w:rPr>
          <w:sz w:val="22"/>
          <w:szCs w:val="22"/>
        </w:rPr>
        <w:t xml:space="preserve"> а также в результате нарушения или отсутствия пломб завода-изготовителя</w:t>
      </w:r>
      <w:r>
        <w:rPr>
          <w:sz w:val="22"/>
          <w:szCs w:val="22"/>
          <w:lang w:val="ru-RU"/>
        </w:rPr>
        <w:t>;</w:t>
      </w:r>
    </w:p>
    <w:p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нарушения регламента по интервалам и объемам проведения технического обслуживания техники и/или несоблюдения требований по регулярному обслуживанию техники персоналом </w:t>
      </w:r>
      <w:r>
        <w:rPr>
          <w:sz w:val="22"/>
          <w:szCs w:val="22"/>
          <w:lang w:val="ru-RU"/>
        </w:rPr>
        <w:t>Заказчика</w:t>
      </w:r>
      <w:r>
        <w:rPr>
          <w:sz w:val="22"/>
          <w:szCs w:val="22"/>
        </w:rPr>
        <w:t>, предусмотренных Руководством по эксплуатации и техническому обслуживанию соответствующего вида техники</w:t>
      </w:r>
      <w:r>
        <w:rPr>
          <w:sz w:val="22"/>
          <w:szCs w:val="22"/>
          <w:lang w:val="ru-RU"/>
        </w:rPr>
        <w:t xml:space="preserve"> (в т.ч. ежедневное обслуживание, осмотр и т.п.)</w:t>
      </w:r>
      <w:r>
        <w:rPr>
          <w:sz w:val="22"/>
          <w:szCs w:val="22"/>
        </w:rPr>
        <w:t>.</w:t>
      </w:r>
    </w:p>
    <w:p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вправе уведомить Заказчика о прекращении гарантийных обязательств при установлении фактов, указанных в настоящем пункте Договора. Подписание каких-либо двусторонних документов о прекращении гарантии </w:t>
      </w:r>
      <w:r>
        <w:rPr>
          <w:sz w:val="22"/>
          <w:szCs w:val="22"/>
          <w:lang w:val="ru-RU"/>
        </w:rPr>
        <w:t xml:space="preserve">качества </w:t>
      </w:r>
      <w:r>
        <w:rPr>
          <w:sz w:val="22"/>
          <w:szCs w:val="22"/>
        </w:rPr>
        <w:t>по настоящему Договору не требуется.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5.6. В случае обнаружения недостатков техники и/или запасных частей Заказчик обязан приостановить их эксплуатацию и предпринять все необходимые меры для обеспечения сохранности неисправных узлов и агрегатов в том состоянии, в котором они находились на момент обнаружения недостатков. 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5.7. Претензии по качеству запасных частей и услуг/работ должны быть направлены Исполнителю незамедлительно в письменной форме в течение гарантийного срока, но в любом случае не позднее </w:t>
      </w:r>
      <w:r>
        <w:rPr>
          <w:sz w:val="22"/>
          <w:lang w:val="ru-RU"/>
        </w:rPr>
        <w:t>3 (трех)</w:t>
      </w:r>
      <w:r>
        <w:rPr>
          <w:sz w:val="22"/>
          <w:szCs w:val="22"/>
          <w:lang w:val="ru-RU"/>
        </w:rPr>
        <w:t xml:space="preserve"> дней с даты обнаружения недостатков с приложением описания недостатков и фотографий в цифровом формате. Несоблюдение сроков направления претензии может служить основанием для отказа Исполнителя в ее удовлетворении.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5.8. В случае подтверждения действия гарантии Исполнитель по своему выбору устраняет недостатки в услугах/работе, запасных частях в согласованные Сторонами сроки или заменяет некачественные запасные части на качественные в течение </w:t>
      </w:r>
      <w:r>
        <w:rPr>
          <w:sz w:val="22"/>
          <w:lang w:val="ru-RU"/>
        </w:rPr>
        <w:t>30 (тридцати)</w:t>
      </w:r>
      <w:r>
        <w:rPr>
          <w:i/>
          <w:color w:val="808080"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рабочих дней с момента получения письменной претензии Заказчика. Указанный срок подлежит продлению в случае отсутствия необходимых запасных частей на складе завода-изготовителя или Исполнителя, такой продленный срок в любом случае не может составлять менее срока производства соответствующих запасных частей на заводе-изготовителе, увеличенного на срок их доставки в место оказания услуг/выполнения работ. После устранения недостатков Стороны обязуются оформить акт с указанием оказанных/выполненных гарантийных услуг/работ и/или перечня замененных запасных частей, устраненных недостатков, который подписывается обеими Сторонами.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5.9. При необходимости Исполнитель вправе самостоятельно или посредством проведения экспертизы с привлечением третьих лиц определить причины возникновения дефектов, провести экспертизу оказанных услуг/выполненных работ, а также исследовать используемые Заказчиком эксплуатационные жидкости, топливо, смазочные материалы и т.д. При выявлении случаев нераспространения или досрочного прекращения обязательств Исполнителя по гарантии, а также неудовлетворительного качества эксплуатационных жидкостей, топлива и/или смазочных материалов, их несоответствия техническим требованиям завода-изготовителя, Руководству по эксплуатации и техническому обслуживанию соответствующего вида техники, настоящая гарантия не действует, а расходы Исполнителя по определению причин дефекта и на проведение экспертизы подлежат возмещению Заказчиком.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 В случае, когда в гарантийный период невозможно установить причину </w:t>
      </w:r>
      <w:r>
        <w:rPr>
          <w:bCs/>
          <w:sz w:val="22"/>
          <w:szCs w:val="22"/>
        </w:rPr>
        <w:t xml:space="preserve">недостатков техники, запасных частей и/или услуг/работ </w:t>
      </w:r>
      <w:r>
        <w:rPr>
          <w:sz w:val="22"/>
          <w:szCs w:val="22"/>
        </w:rPr>
        <w:t xml:space="preserve">незамедлительно либо в разумный срок, Исполнитель вправе по своему усмотрению произвести ремонт и/или поставить (заменить) запасные части до выяснения причин возникновения недостатков. Если будет установлено, что случай не является гарантийным, Заказчик обязан возместить Исполнителю все расходы, связанные с ремонтом и/или поставкой (заменой) запасных частей, в том числе, включая, но не ограничиваясь: расходы по диагностике, демонтажу, транспортные расходы, стоимость услуг/работ, запасных частей, расходы на проезд и проживание персонала, а также иные расходы Исполнителя в течение </w:t>
      </w:r>
      <w:r>
        <w:rPr>
          <w:sz w:val="22"/>
        </w:rPr>
        <w:t>10 (десяти)</w:t>
      </w:r>
      <w:r>
        <w:rPr>
          <w:sz w:val="22"/>
          <w:szCs w:val="22"/>
        </w:rPr>
        <w:t xml:space="preserve"> дней с даты выставления счета Исполнителем.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5.11. Заказчик обязуется обеспечить необходимые условия для выполнения Исполнителем гарантийных обязательств, в т.ч. привлечь необходимых специалистов, обеспечить наличие исправной грузоподъемной и иной техники, механизмов, оборудования и инструментов, включая выполнение требований, предусмотренных п. 2.2 и п. 3.9 Договора.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6. Ответственность Сторон</w:t>
      </w:r>
    </w:p>
    <w:p>
      <w:pPr>
        <w:pStyle w:val="Normal"/>
        <w:rPr/>
      </w:pPr>
      <w:r>
        <w:rPr/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6.1. В случае неисполнения либо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6.2. В случае нарушения Заказчиком обязательств по оплате Исполнитель вправе потребовать уплату пени в размере 0,05 % от суммы просроченного платежа за каждый день просрочки. </w:t>
      </w:r>
    </w:p>
    <w:p>
      <w:pPr>
        <w:pStyle w:val="BodyTex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6.3. В случае нарушения Заказчиком сроков оплаты, </w:t>
      </w:r>
      <w:r>
        <w:rPr>
          <w:sz w:val="22"/>
          <w:szCs w:val="22"/>
        </w:rPr>
        <w:t xml:space="preserve">включая наличие задолженности у </w:t>
      </w:r>
      <w:r>
        <w:rPr>
          <w:sz w:val="22"/>
          <w:szCs w:val="22"/>
          <w:lang w:val="ru-RU"/>
        </w:rPr>
        <w:t>Заказчика</w:t>
      </w:r>
      <w:r>
        <w:rPr>
          <w:sz w:val="22"/>
          <w:szCs w:val="22"/>
        </w:rPr>
        <w:t xml:space="preserve"> перед </w:t>
      </w:r>
      <w:r>
        <w:rPr>
          <w:sz w:val="22"/>
          <w:szCs w:val="22"/>
          <w:lang w:val="ru-RU"/>
        </w:rPr>
        <w:t>Исполнителем</w:t>
      </w:r>
      <w:r>
        <w:rPr>
          <w:sz w:val="22"/>
          <w:szCs w:val="22"/>
        </w:rPr>
        <w:t xml:space="preserve"> за ранее предоставленные услуги, расходные материалы и запасные части, в том числе и по другим договорам или обязательствам между Сторонами, </w:t>
      </w:r>
      <w:r>
        <w:rPr>
          <w:sz w:val="22"/>
          <w:szCs w:val="22"/>
          <w:lang w:val="ru-RU"/>
        </w:rPr>
        <w:t>а также в случае непредставления бухгалтерских, товаросопроводительных и иных документов Исполнитель вправе не приступать к исполнению обязательств, приостановить исполнение своих обязательств по новой заявке до даты надлежащего исполнения обязательств Заказчиком или потребовать от Заказчика уплаты аванса по новой заявке.</w:t>
      </w:r>
    </w:p>
    <w:p>
      <w:pPr>
        <w:pStyle w:val="BodyText"/>
        <w:jc w:val="both"/>
        <w:rPr>
          <w:sz w:val="22"/>
          <w:lang w:val="ru-RU"/>
        </w:rPr>
      </w:pPr>
      <w:r>
        <w:rPr>
          <w:sz w:val="22"/>
          <w:szCs w:val="22"/>
          <w:lang w:val="ru-RU"/>
        </w:rPr>
        <w:t>6.4.</w:t>
      </w:r>
      <w:r>
        <w:rPr/>
        <w:t xml:space="preserve"> </w:t>
      </w:r>
      <w:r>
        <w:rPr>
          <w:sz w:val="22"/>
          <w:szCs w:val="22"/>
          <w:lang w:val="ru-RU"/>
        </w:rPr>
        <w:t xml:space="preserve">Стороны договорились, что за неисполнение или ненадлежащее исполнение своих обязательств по настоящему Договору, в том числе в период исполнения гарантийных обязательств </w:t>
      </w:r>
      <w:r>
        <w:rPr>
          <w:sz w:val="22"/>
          <w:szCs w:val="22"/>
        </w:rPr>
        <w:t>(в течение гарантийного срока)</w:t>
      </w:r>
      <w:r>
        <w:rPr>
          <w:sz w:val="22"/>
          <w:szCs w:val="22"/>
          <w:lang w:val="ru-RU"/>
        </w:rPr>
        <w:t xml:space="preserve">, а также после их прекращения, каждая из Сторон несет ответственность только в порядке и в пределах, предусмотренных настоящим Договором. При этом, </w:t>
      </w:r>
      <w:r>
        <w:rPr>
          <w:sz w:val="22"/>
          <w:szCs w:val="22"/>
        </w:rPr>
        <w:t>ответственность Сторон ограничена исключительно возмещением реального (прямого, документально подтвержденного) ущерба,</w:t>
      </w:r>
      <w:r>
        <w:rPr>
          <w:sz w:val="22"/>
        </w:rPr>
        <w:t xml:space="preserve"> ни одна из Сторон не несет ответственность перед другой Стороной за производственные издержки, </w:t>
      </w:r>
      <w:r>
        <w:rPr>
          <w:sz w:val="22"/>
          <w:szCs w:val="22"/>
        </w:rPr>
        <w:t xml:space="preserve">любые иные </w:t>
      </w:r>
      <w:r>
        <w:rPr>
          <w:sz w:val="22"/>
        </w:rPr>
        <w:t>потери, остановку деятельности (простой</w:t>
      </w:r>
      <w:r>
        <w:rPr>
          <w:sz w:val="22"/>
          <w:szCs w:val="22"/>
        </w:rPr>
        <w:t>) и прочее,</w:t>
      </w:r>
      <w:r>
        <w:rPr>
          <w:sz w:val="22"/>
        </w:rPr>
        <w:t xml:space="preserve"> а также </w:t>
      </w:r>
      <w:r>
        <w:rPr>
          <w:sz w:val="22"/>
          <w:szCs w:val="22"/>
        </w:rPr>
        <w:t>не возмещает убытки в виде упущенной выгоды</w:t>
      </w:r>
      <w:r>
        <w:rPr>
          <w:sz w:val="22"/>
        </w:rPr>
        <w:t xml:space="preserve"> или любые другие убытки</w:t>
      </w:r>
      <w:r>
        <w:rPr>
          <w:sz w:val="22"/>
          <w:szCs w:val="22"/>
        </w:rPr>
        <w:t>, не являющиеся прямым (реальным) ущербом</w:t>
      </w:r>
      <w:r>
        <w:rPr>
          <w:sz w:val="22"/>
        </w:rPr>
        <w:t>, независимо от того, кто или что явилось причиной возникновения таких убытков.</w:t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7. Форс-мажор</w:t>
      </w:r>
    </w:p>
    <w:p>
      <w:pPr>
        <w:pStyle w:val="Normal"/>
        <w:rPr/>
      </w:pPr>
      <w:r>
        <w:rPr/>
      </w:r>
    </w:p>
    <w:p>
      <w:pPr>
        <w:pStyle w:val="BodyText"/>
        <w:tabs>
          <w:tab w:val="clear" w:pos="708"/>
          <w:tab w:val="left" w:pos="-1985" w:leader="none"/>
        </w:tabs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  <w:t>7.1. Стороны освобождаются от ответственности за неисполнение или ненадлежащее исполнение своих обязательств по настоящему договору, если оно явилось следствием действия непреодолимой силы (форс-мажор), т.е. чрезвычайных и непредотвратимых при данных условиях обстоятельств, прямо влияющих на возможность исполнения обязательств Стороной по договору (затрудняющих или делающих невозможным исполнение обязательств Сторонами), включая, но не ограничиваясь: акты, действия и/или заявления любых должностных лиц, органов власти Российской Федерации, иностранных государств и/или международных организаций, экспроприация, конфискация, реквизиция, национализация, валютные и торговые ограничения, эмбарго, санкции, принятые Российской Федерацией или в отношении Российской Федерации, забастовки, локауты, пожары, взрывы, аварии, наводнения, землетрясения и прочие природные бедствия или стихийные явления, разрушение оборудования, длительный выход из строя транспорта, теле-коммуникаций, информационных систем или энергоресурсов, эпидемии, эпизоотии, пандемии и иные массовые инфекционные заболевания, связанные с ними меры по карантину, а также войны, включая гражданские, или военные действия, бунты, восстания и революции, теракты, военный или иной захват власти, террористические акты, мятежи, пиратство, техногенные катастрофы и т.п. природные и социальные явления, а также иные обстоятельства, освобождающие Стороны от ответственности в соответствии с законодательством, которые начались после заключения настоящего договора. При наступлении указанных в настоящем пункте договора обстоятельств срок исполнения обязательств по договору отодвигается соразмерно времени, в течение которого действовали такие обстоятельства.</w:t>
      </w:r>
    </w:p>
    <w:p>
      <w:pPr>
        <w:pStyle w:val="BodyText"/>
        <w:tabs>
          <w:tab w:val="clear" w:pos="708"/>
          <w:tab w:val="left" w:pos="-1985" w:leader="none"/>
        </w:tabs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7</w:t>
      </w:r>
      <w:r>
        <w:rPr>
          <w:sz w:val="22"/>
          <w:szCs w:val="22"/>
        </w:rPr>
        <w:t xml:space="preserve">.2. Сторона, для которой создалась невозможность или затруднение в исполнении обязательств по договору в связи с обстоятельствами, указанными в п. </w:t>
      </w:r>
      <w:r>
        <w:rPr>
          <w:sz w:val="22"/>
          <w:szCs w:val="22"/>
          <w:lang w:val="ru-RU"/>
        </w:rPr>
        <w:t>7</w:t>
      </w:r>
      <w:r>
        <w:rPr>
          <w:sz w:val="22"/>
          <w:szCs w:val="22"/>
        </w:rPr>
        <w:t>.1., обязана в письменной форме известить другую Сторону о наступлении и прекращении вышеуказанных обстоятельств незамедлительно, но не позднее 30 дней с даты их наступления и прекращения.</w:t>
      </w:r>
    </w:p>
    <w:p>
      <w:pPr>
        <w:pStyle w:val="BodyText"/>
        <w:tabs>
          <w:tab w:val="clear" w:pos="708"/>
          <w:tab w:val="left" w:pos="-1985" w:leader="none"/>
        </w:tabs>
        <w:suppressAutoHyphens w:val="true"/>
        <w:jc w:val="both"/>
        <w:rPr>
          <w:sz w:val="22"/>
          <w:szCs w:val="22"/>
        </w:rPr>
      </w:pPr>
      <w:r>
        <w:rPr>
          <w:sz w:val="22"/>
          <w:szCs w:val="22"/>
        </w:rPr>
        <w:t>7.3. Если обстоятельства непреодолимой силы действуют на протяжении трех последовательных месяцев и не прекращаются, то каждая из Сторон будет вправе отказаться от исполнения договора в одностороннем внесудебном порядке полностью или частично, и в этом случае ни одна из Сторон не будет иметь права потребовать от другой Стороны возмещения убытков, уплаты штрафных санкций и применения иных мер гражданско-правовой ответственности.</w:t>
      </w:r>
    </w:p>
    <w:p>
      <w:pPr>
        <w:pStyle w:val="Normal"/>
        <w:jc w:val="both"/>
        <w:rPr>
          <w:sz w:val="22"/>
          <w:szCs w:val="22"/>
          <w:lang w:val="x-none"/>
        </w:rPr>
      </w:pPr>
      <w:r>
        <w:rPr>
          <w:sz w:val="22"/>
          <w:szCs w:val="22"/>
          <w:lang w:val="x-none"/>
        </w:rPr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8. Порядок разрешения споров</w:t>
      </w:r>
    </w:p>
    <w:p>
      <w:pPr>
        <w:pStyle w:val="Normal"/>
        <w:rPr/>
      </w:pPr>
      <w:r>
        <w:rPr/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8.1. Договор составлен, регулируется и подлежит толкованию в соответствии с законодательством Российской Федерации.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8.2. Все споры, возникающие между Сторонами по настоящему Договору или в связи с ним, разрешаются в обязательном для Сторон претензионном порядке. Претензия должна быть направлена в письменной форме с обоснованием требований, заявленных в претензии. Срок ответа на претензию составляет 15 (пятнадцать) дней с момента ее получения.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8.3. В случае невозможности разрешения споров в претензионном порядке, они подлежат рассмотрению в соответствии с законодательством Российской Федерации в Арбитражном суде</w:t>
        <w:br/>
        <w:t>г. Москвы.</w:t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9. Прочие условия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9.1. Договор вступает в силу с даты его подписания Сторонами и действует по ______</w:t>
      </w:r>
      <w:r>
        <w:rPr>
          <w:sz w:val="22"/>
        </w:rPr>
        <w:t xml:space="preserve"> г. включительно</w:t>
      </w:r>
      <w:r>
        <w:rPr>
          <w:sz w:val="22"/>
          <w:szCs w:val="22"/>
        </w:rPr>
        <w:t xml:space="preserve">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9.2. Договор автоматически продлевается на каждый следующий год, если в течение одного месяца до момента прекращения действия Договора ни от одной из Сторон не поступит заявление о прекращении действия настоящего Договора.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9.3. Настоящий Договор может быть расторгнут в любое время по соглашению Сторон. Любая из Сторон вправе отказаться от настоящего Договора в одностороннем внесудебном порядке, независимо от причин такого отказа, путем направления письменного уведомления другой Стороне за 30 (тридцать) дней до предполагаемой даты прекращения действия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9.4. Расторжение, односторонний отказ от настоящего Договора или прекращение действия Договора по иным основаниям не освобождают Заказчика от оплаты услуг/работ, оказанных/выполненных Исполнителем, а также от возмещения расходов, понесенных Исполнителем, до даты прекращения Договора. В случае прекращения действия настоящего Договора Стороны производят взаиморасчеты в течение 15 (пятнадцати) рабочих дней с момента прекращения действия Договора. Стороны согласовали, что на суммы предоплаты, произведенной Заказчиком, проценты за пользование денежными средствами в соответствии со ст. 317.1, 395 Гражданского кодекса Российской Федерации не начисляются и не подлежат уплате.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9.5. Заключение и исполнение настоящего Договора является обычной хозяйственной деятельностью Исполнителя. Настоящим Заказчик предоставляет Исполнителю следующие заверения об обстоятельствах, имеющих значение для заключения и исполнения настоящего Договора: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Заказчик обладает всеми полномочиями, в т.ч. предпринял все корпоративные и иные действия (включая, но не ограничиваясь: получение одобрений органов управления, участников, акционеров), необходимые для заключения и исполнения настоящего Договора, обеспечивающие его законность и обязательность для Сторон;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заключение и исполнение настоящего Договора не противоречит законодательству, уставным, внутренним и иным документам и процедурам Заказчика;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в отношении Заказчика не проводятся процедуры в соответствии с законодательством о банкротстве, Заказчик не находится в стадии ликвидации;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отсутствуют обстоятельства, которые могут оказать неблагоприятное влияние на финансовое положение Заказчика, в т.ч. на возможность надлежащего исполнения обязательств Заказчиком по настоящему Договору;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в залог не передано все имущество Заказчика;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- техника находится у Заказчика на надлежащем правовом основании, Заказчик обладает всеми необходимыми правами для заключения настоящего Договора, в том числе для направления запроса об оказании сервисных услуг в отношении техники. Исполнитель не обязан проверять правовой статус техники, а также наличие у Заказчика права собственности/владения/распоряжения в отношении техники.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обязуется незамедлительно уведомлять Исполнителя о фактах, в результате которых любые из вышеуказанных заверений об обстоятельствах могут измениться или стать не соответствующими действительности.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9.6. Стороны гарантируют, что лица, совершившие сделку или иные действия по выполнению обязательств Сторон в рамках настоящего Договора, и/или лица, подписывающие в рамках настоящего Договора от их имени первичные учетные документы, а также иные документы, предусмотренные Договором, наделены надлежащими полномочиями в соответствии с требованиями законодательства и внутренних документов Сторон.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9.7. Стороны договорились об индексации стоимости услуг/работ сервисного специалиста Исполнителя в течение срока действия настоящего Договора с уведомлением Заказчика за 30 (тридцать) календарных дней. При увеличении стоимости услуг/работ, Стороны подписывают дополнительное соглашение о таком увеличении в течение 30 (тридцати) календарных дней, с даты направления Исполнителем в адрес Заказчика (письменного или через систему электронного документа оборота, при его использовании) Уведомления об индексации (увеличении) стоимости услуг/работ сервисного специалиста Исполнителя.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9.8. Все приложения, изменения и дополнения к настоящему Договору, а также уведомления, сообщения, претензии и другие д</w:t>
      </w:r>
      <w:r>
        <w:rPr>
          <w:color w:val="000000"/>
          <w:sz w:val="22"/>
        </w:rPr>
        <w:t xml:space="preserve">окументы, </w:t>
      </w:r>
      <w:r>
        <w:rPr>
          <w:color w:val="000000"/>
          <w:sz w:val="22"/>
          <w:szCs w:val="22"/>
        </w:rPr>
        <w:t>связанные с исполнением, нарушением, расторжением или прекращением</w:t>
      </w:r>
      <w:r>
        <w:rPr>
          <w:color w:val="000000"/>
          <w:sz w:val="22"/>
        </w:rPr>
        <w:t xml:space="preserve"> Договора, </w:t>
      </w:r>
      <w:r>
        <w:rPr>
          <w:color w:val="000000"/>
          <w:sz w:val="22"/>
          <w:szCs w:val="22"/>
        </w:rPr>
        <w:t>должны быть оформлены письменно и подписаны уполномоченными представителями</w:t>
      </w:r>
      <w:r>
        <w:rPr>
          <w:color w:val="000000"/>
          <w:sz w:val="22"/>
        </w:rPr>
        <w:t xml:space="preserve"> Сторон, </w:t>
      </w:r>
      <w:r>
        <w:rPr>
          <w:color w:val="000000"/>
          <w:sz w:val="22"/>
          <w:szCs w:val="22"/>
        </w:rPr>
        <w:t>если Договором не предусмотрено иное.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случае если Стороны при исполнении Договора подписывают документы усиленной квалифицированной подписью (например,</w:t>
      </w:r>
      <w:r>
        <w:rPr>
          <w:color w:val="000000"/>
          <w:sz w:val="22"/>
        </w:rPr>
        <w:t xml:space="preserve"> посредством </w:t>
      </w:r>
      <w:r>
        <w:rPr>
          <w:color w:val="000000"/>
          <w:sz w:val="22"/>
          <w:szCs w:val="22"/>
        </w:rPr>
        <w:t>применения программы для ЭВМ «Диадок» или иной аналогичной программы), то при их подписании применяются правила, изложенные в приложении «Соглашение об электронном документообороте» к настоящему Договору.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Документы, переданные при помощи факсимильной и/или </w:t>
      </w:r>
      <w:r>
        <w:rPr>
          <w:color w:val="000000"/>
          <w:sz w:val="22"/>
        </w:rPr>
        <w:t xml:space="preserve">электронной </w:t>
      </w:r>
      <w:r>
        <w:rPr>
          <w:color w:val="000000"/>
          <w:sz w:val="22"/>
          <w:szCs w:val="22"/>
        </w:rPr>
        <w:t>связи</w:t>
      </w:r>
      <w:r>
        <w:rPr>
          <w:color w:val="000000"/>
          <w:sz w:val="22"/>
        </w:rPr>
        <w:t>, имеют юридическую силу</w:t>
      </w:r>
      <w:r>
        <w:rPr>
          <w:color w:val="000000"/>
          <w:sz w:val="22"/>
          <w:szCs w:val="22"/>
        </w:rPr>
        <w:t xml:space="preserve">, что не освобождает Стороны от последующего предоставления друг другу оригиналов документов в случаях, предусмотренных действующим законодательством Российской Федерации и обычаями делового оборота. 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9.9. Ни одна из Сторон по настоящему Договору не вправе передавать какие-либо права и обязанности третьим лицам без письменного согласия на это другой Стороны.</w:t>
      </w:r>
    </w:p>
    <w:p>
      <w:pPr>
        <w:pStyle w:val="BodyText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9.10. Все приложения к настоящему Договору, утвержденные Сторонами, являются его неотъемлемой частью.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9.11. Настоящий Договор составлен в двух идентичных экземплярах, имеющих одинаковую юридическую силу, по одному экземпляру для каждой из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jc w:val="center"/>
        <w:rPr>
          <w:b/>
          <w:bCs/>
        </w:rPr>
      </w:pPr>
      <w:r>
        <w:rPr>
          <w:b/>
          <w:bCs/>
        </w:rPr>
        <w:t>10. Адреса, реквизиты и подписи Сторон</w:t>
      </w:r>
    </w:p>
    <w:p>
      <w:pPr>
        <w:pStyle w:val="Normal"/>
        <w:rPr/>
      </w:pPr>
      <w:r>
        <w:rPr/>
      </w:r>
    </w:p>
    <w:tbl>
      <w:tblPr>
        <w:tblW w:w="90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573"/>
        <w:gridCol w:w="4498"/>
      </w:tblGrid>
      <w:tr>
        <w:trPr>
          <w:trHeight w:val="57" w:hRule="atLeast"/>
        </w:trPr>
        <w:tc>
          <w:tcPr>
            <w:tcW w:w="4573" w:type="dxa"/>
            <w:tcBorders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Юридический адрес: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Почтовый адрес: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ОГРН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ИНН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КПП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>Банковские реквизиты: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>р/с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в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к/с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>
                <w:b/>
                <w:bCs/>
              </w:rPr>
              <w:t>БИК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8" w:type="dxa"/>
            <w:tcBorders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З</w:t>
            </w:r>
            <w:r>
              <w:rPr>
                <w:b/>
                <w:sz w:val="22"/>
                <w:szCs w:val="22"/>
              </w:rPr>
              <w:t>аказчик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Юридический адрес: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Почтовый адрес: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ОГРН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ИНН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КПП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>Банковские реквизиты: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>р/с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в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к/с 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 xml:space="preserve">БИК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73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Исполнитель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  <w:t>_________________________/</w:t>
            </w:r>
            <w:r>
              <w:rPr/>
              <w:t>_______________</w:t>
            </w:r>
            <w:r>
              <w:rPr/>
              <w:t>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>
                <w:vertAlign w:val="superscript"/>
              </w:rPr>
              <w:t>м.п.</w:t>
            </w:r>
          </w:p>
        </w:tc>
        <w:tc>
          <w:tcPr>
            <w:tcW w:w="4498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Заказчик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_________________/______________/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vertAlign w:val="superscript"/>
              </w:rPr>
              <w:t>м.п.</w:t>
            </w:r>
          </w:p>
        </w:tc>
      </w:tr>
    </w:tbl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59" w:before="0" w:after="160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br w:type="page"/>
      </w:r>
    </w:p>
    <w:p>
      <w:pPr>
        <w:pStyle w:val="Heading1"/>
        <w:jc w:val="right"/>
        <w:rPr>
          <w:b/>
          <w:bCs/>
        </w:rPr>
      </w:pPr>
      <w:r>
        <w:rPr>
          <w:b/>
          <w:bCs/>
        </w:rPr>
        <w:t>Приложение №1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сервисном обслуживании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и ремонте техники LIEBHERR №</w:t>
      </w:r>
      <w:r>
        <w:rPr>
          <w:sz w:val="22"/>
          <w:highlight w:val="lightGray"/>
        </w:rPr>
        <w:t>_____</w:t>
      </w:r>
      <w:r>
        <w:rPr>
          <w:sz w:val="22"/>
          <w:szCs w:val="22"/>
        </w:rPr>
        <w:t xml:space="preserve"> от </w:t>
      </w:r>
      <w:r>
        <w:rPr>
          <w:sz w:val="22"/>
          <w:highlight w:val="lightGray"/>
        </w:rPr>
        <w:t>________</w:t>
      </w:r>
      <w:r>
        <w:rPr>
          <w:sz w:val="22"/>
          <w:szCs w:val="22"/>
        </w:rPr>
        <w:t xml:space="preserve"> г.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6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30"/>
        <w:gridCol w:w="5329"/>
      </w:tblGrid>
      <w:tr>
        <w:trPr/>
        <w:tc>
          <w:tcPr>
            <w:tcW w:w="5330" w:type="dxa"/>
            <w:tcBorders/>
          </w:tcPr>
          <w:p>
            <w:pPr>
              <w:pStyle w:val="Normal"/>
              <w:widowControl w:val="false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_________</w:t>
            </w:r>
          </w:p>
        </w:tc>
        <w:tc>
          <w:tcPr>
            <w:tcW w:w="5329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  <w:highlight w:val="lightGray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highlight w:val="lightGray"/>
              </w:rPr>
              <w:t>__________</w:t>
            </w:r>
            <w:r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highlight w:val="lightGray"/>
              </w:rPr>
              <w:t>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5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78"/>
        <w:gridCol w:w="998"/>
        <w:gridCol w:w="2170"/>
        <w:gridCol w:w="1985"/>
        <w:gridCol w:w="2725"/>
      </w:tblGrid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Кому: </w:t>
            </w:r>
          </w:p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i/>
                <w:i/>
                <w:color w:val="808080"/>
                <w:sz w:val="22"/>
                <w:highlight w:val="lightGray"/>
              </w:rPr>
            </w:pPr>
            <w:r>
              <w:rPr>
                <w:i/>
                <w:color w:val="808080"/>
                <w:sz w:val="22"/>
                <w:highlight w:val="lightGray"/>
              </w:rPr>
              <w:t xml:space="preserve">Руководителю отдела сервиса 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Заявка №_________ от «___» _________ 20__ г.</w:t>
            </w:r>
          </w:p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3676" w:type="dxa"/>
            <w:gridSpan w:val="2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0" w:type="dxa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1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" w:hRule="atLeast"/>
        </w:trPr>
        <w:tc>
          <w:tcPr>
            <w:tcW w:w="584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кого: ____________________________________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Машина: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" w:hRule="atLeast"/>
        </w:trPr>
        <w:tc>
          <w:tcPr>
            <w:tcW w:w="584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SN: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" w:hRule="atLeast"/>
        </w:trPr>
        <w:tc>
          <w:tcPr>
            <w:tcW w:w="584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Контактное лицо: ____________________________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Год выпуска: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" w:hRule="atLeast"/>
        </w:trPr>
        <w:tc>
          <w:tcPr>
            <w:tcW w:w="584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Наработка: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" w:hRule="atLeast"/>
        </w:trPr>
        <w:tc>
          <w:tcPr>
            <w:tcW w:w="584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 _______________________________________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неисправности: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7" w:hRule="atLeast"/>
        </w:trPr>
        <w:tc>
          <w:tcPr>
            <w:tcW w:w="5846" w:type="dxa"/>
            <w:gridSpan w:val="3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Дата последнего ТО: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описание проблемы / неисправности: ______________________________________________________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</w:t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</w:t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Просим оказать/выполнить следующие услуги/работы: ______________________________________________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</w:t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оказания услуг/выполнения работ (адрес): _________________________________________________________________</w:t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Оплату оказанных услуг/выполненных работ гарантируем.</w:t>
            </w:r>
          </w:p>
        </w:tc>
      </w:tr>
      <w:tr>
        <w:trPr/>
        <w:tc>
          <w:tcPr>
            <w:tcW w:w="10556" w:type="dxa"/>
            <w:gridSpan w:val="5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78" w:type="dxa"/>
            <w:tcBorders/>
          </w:tcPr>
          <w:p>
            <w:pPr>
              <w:pStyle w:val="Normal"/>
              <w:widowControl w:val="false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color w:val="525252" w:themeColor="accent3" w:themeShade="80"/>
                <w:sz w:val="22"/>
                <w:szCs w:val="22"/>
                <w:highlight w:val="lightGray"/>
              </w:rPr>
              <w:t>Должность</w:t>
            </w:r>
          </w:p>
        </w:tc>
        <w:tc>
          <w:tcPr>
            <w:tcW w:w="7878" w:type="dxa"/>
            <w:gridSpan w:val="4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____________________/_________________ /</w:t>
            </w:r>
          </w:p>
          <w:p>
            <w:pPr>
              <w:pStyle w:val="Normal"/>
              <w:widowControl w:val="fals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м.п.</w:t>
            </w:r>
          </w:p>
        </w:tc>
      </w:tr>
      <w:tr>
        <w:trPr/>
        <w:tc>
          <w:tcPr>
            <w:tcW w:w="2678" w:type="dxa"/>
            <w:tcBorders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7878" w:type="dxa"/>
            <w:gridSpan w:val="4"/>
            <w:tcBorders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sz w:val="22"/>
          <w:szCs w:val="22"/>
        </w:rPr>
      </w:pPr>
      <w:r>
        <w:rPr>
          <w:i/>
          <w:sz w:val="22"/>
          <w:szCs w:val="22"/>
        </w:rPr>
        <w:t>ФОРМА ЗАЯВКИ СОГЛАСОВАНА</w:t>
      </w:r>
    </w:p>
    <w:p>
      <w:pPr>
        <w:pStyle w:val="Normal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caps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79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19"/>
        <w:gridCol w:w="4018"/>
      </w:tblGrid>
      <w:tr>
        <w:trPr>
          <w:trHeight w:val="57" w:hRule="atLeast"/>
        </w:trPr>
        <w:tc>
          <w:tcPr>
            <w:tcW w:w="3919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Исполнитель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______________________/</w:t>
            </w:r>
            <w:r>
              <w:rPr/>
              <w:t>____________</w:t>
            </w:r>
            <w:r>
              <w:rPr/>
              <w:t>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vertAlign w:val="superscript"/>
              </w:rPr>
              <w:t>м.п.</w:t>
            </w:r>
          </w:p>
        </w:tc>
        <w:tc>
          <w:tcPr>
            <w:tcW w:w="4018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Заказчик</w:t>
            </w:r>
          </w:p>
          <w:p>
            <w:pPr>
              <w:pStyle w:val="Normal"/>
              <w:widowControl w:val="false"/>
              <w:rPr/>
            </w:pPr>
            <w:r>
              <w:rPr/>
              <w:t>Должность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_________________/ФИО/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vertAlign w:val="superscript"/>
              </w:rPr>
              <w:t>м.п.</w:t>
            </w:r>
          </w:p>
        </w:tc>
      </w:tr>
    </w:tbl>
    <w:p>
      <w:pPr>
        <w:pStyle w:val="Heading1"/>
        <w:jc w:val="right"/>
        <w:rPr>
          <w:b/>
          <w:bCs/>
        </w:rPr>
      </w:pPr>
      <w:r>
        <w:br w:type="page"/>
      </w:r>
      <w:r>
        <w:rPr>
          <w:b/>
          <w:bCs/>
        </w:rPr>
        <w:t>Приложение №2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сервисном обслуживании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и ремонте техники LIEBHERR №</w:t>
      </w:r>
      <w:r>
        <w:rPr>
          <w:sz w:val="22"/>
          <w:szCs w:val="22"/>
          <w:highlight w:val="lightGray"/>
        </w:rPr>
        <w:t>____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  <w:highlight w:val="lightGray"/>
        </w:rPr>
        <w:t>_________</w:t>
      </w:r>
      <w:r>
        <w:rPr>
          <w:sz w:val="22"/>
          <w:szCs w:val="22"/>
        </w:rPr>
        <w:t xml:space="preserve"> г.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Normal"/>
              <w:widowControl w:val="false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г. Москва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highlight w:val="lightGray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  <w:highlight w:val="lightGray"/>
              </w:rPr>
              <w:t>__________</w:t>
            </w:r>
            <w:r>
              <w:rPr>
                <w:sz w:val="22"/>
                <w:szCs w:val="22"/>
              </w:rPr>
              <w:t xml:space="preserve"> 202___ г.</w:t>
            </w:r>
          </w:p>
        </w:tc>
      </w:tr>
    </w:tbl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Общество с ограниченной ответственностью </w:t>
      </w:r>
      <w:r>
        <w:rPr>
          <w:b/>
          <w:bCs/>
          <w:sz w:val="22"/>
          <w:szCs w:val="22"/>
        </w:rPr>
        <w:t>(или ИП и т.д)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__________________________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bCs/>
          <w:sz w:val="22"/>
          <w:szCs w:val="22"/>
        </w:rPr>
        <w:t>«Исполнитель»</w:t>
      </w:r>
      <w:r>
        <w:rPr>
          <w:sz w:val="22"/>
          <w:szCs w:val="22"/>
        </w:rPr>
        <w:t xml:space="preserve">, в лице </w:t>
      </w:r>
      <w:r>
        <w:rPr>
          <w:b/>
          <w:bCs/>
          <w:sz w:val="22"/>
          <w:szCs w:val="22"/>
        </w:rPr>
        <w:t>_________________________</w:t>
      </w:r>
      <w:r>
        <w:rPr>
          <w:sz w:val="22"/>
          <w:szCs w:val="22"/>
        </w:rPr>
        <w:t>, действующего на основании Устава, с одной стороны, и</w:t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</w:t>
      </w:r>
      <w:r>
        <w:rPr>
          <w:sz w:val="22"/>
          <w:szCs w:val="22"/>
        </w:rPr>
        <w:t>, именуемое в дальнейшем «Заказчик», в лице ___________, действующего на основании ___________, с другой стороны, далее совместно именуемые «Стороны», договорились о нижеследующем: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Стоимость одного человеко-часа услуги/работы сервисного персонала Исполнителя составляет </w:t>
      </w:r>
      <w:r>
        <w:rPr>
          <w:b/>
          <w:bCs/>
          <w:sz w:val="22"/>
          <w:szCs w:val="22"/>
        </w:rPr>
        <w:t xml:space="preserve">_________ рублей </w:t>
      </w:r>
      <w:r>
        <w:rPr>
          <w:sz w:val="22"/>
          <w:szCs w:val="22"/>
        </w:rPr>
        <w:t>(без учета НДС).</w:t>
      </w:r>
    </w:p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Стоимость одного человеко-часа нахождения в дороге сервисного персонала Исполнителя составляет </w:t>
      </w:r>
      <w:r>
        <w:rPr>
          <w:b/>
          <w:bCs/>
          <w:sz w:val="22"/>
          <w:szCs w:val="22"/>
        </w:rPr>
        <w:t>_________ рублей</w:t>
      </w:r>
      <w:r>
        <w:rPr>
          <w:sz w:val="22"/>
          <w:szCs w:val="22"/>
        </w:rPr>
        <w:t xml:space="preserve"> (без учета НДС).</w:t>
      </w:r>
    </w:p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3. Стоимость проезда сервисного персонала Исполнителя к месту оказания услуг/выполнения работ и обратно (в случае, если для проезда к месту оказания услуг/выполнения работ используется не служебный автотранспорт), а также стоимость проживания в месте оказания услуг/выполнения работ, по пути к указанному месту или обратно оплачивается Заказчиком, согласно предоставленным отчетным документам.</w:t>
      </w:r>
    </w:p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Стоимость проезда сервисного персонала Исполнителя к месту оказания услуг/выполнения работ и обратно (в случае, если для проезда к месту оказания услуг/выполнения работ используется служебный автотранспорт) составляет </w:t>
      </w:r>
      <w:r>
        <w:rPr>
          <w:b/>
          <w:bCs/>
          <w:sz w:val="22"/>
          <w:szCs w:val="22"/>
        </w:rPr>
        <w:t>____</w:t>
      </w:r>
      <w:bookmarkStart w:id="4" w:name="_GoBack"/>
      <w:bookmarkEnd w:id="4"/>
      <w:r>
        <w:rPr>
          <w:b/>
          <w:bCs/>
          <w:sz w:val="22"/>
          <w:szCs w:val="22"/>
        </w:rPr>
        <w:t xml:space="preserve"> рублей</w:t>
      </w:r>
      <w:r>
        <w:rPr>
          <w:sz w:val="22"/>
          <w:szCs w:val="22"/>
        </w:rPr>
        <w:t xml:space="preserve"> за 1 км (без учета НДС). </w:t>
      </w:r>
    </w:p>
    <w:p>
      <w:pPr>
        <w:pStyle w:val="BodyTextIndent"/>
        <w:spacing w:before="120" w:after="0"/>
        <w:ind w:left="0" w:hanging="0"/>
        <w:rPr>
          <w:sz w:val="22"/>
          <w:szCs w:val="22"/>
        </w:rPr>
      </w:pPr>
      <w:r>
        <w:rPr>
          <w:sz w:val="22"/>
          <w:szCs w:val="22"/>
        </w:rPr>
        <w:t>5. Время простоя/ожидания сервисного персонала Исполнителя оплачивается по ставке, указанной в п. 1 настоящего приложения.</w:t>
      </w:r>
    </w:p>
    <w:p>
      <w:pPr>
        <w:pStyle w:val="BodyTextIndent"/>
        <w:spacing w:before="120" w:after="0"/>
        <w:ind w:left="0" w:hanging="0"/>
        <w:rPr>
          <w:sz w:val="22"/>
          <w:szCs w:val="22"/>
        </w:rPr>
      </w:pPr>
      <w:r>
        <w:rPr>
          <w:sz w:val="22"/>
          <w:szCs w:val="22"/>
        </w:rPr>
        <w:t>В случае необходимости привлечения дополнительного сервисного персонала Исполнителя услуги такого персонала, включая расходы на проезд и проживание, оплачиваются Заказчиком в порядке, предусмотренном настоящим приложением. Необходимость привлечения дополнительного персонала должна быть обоснована Исполнителем.</w:t>
      </w:r>
    </w:p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6. Повышающий коэффициент человеко-часов услуги/работы, нахождения в пути и времени ожидания сервисного персонала Исполнителя в ночное время (с 20:00 до 08:00), в выходные и праздничные дни – 2,0.</w:t>
      </w:r>
    </w:p>
    <w:p>
      <w:pPr>
        <w:pStyle w:val="Normal"/>
        <w:spacing w:before="120" w:after="0"/>
        <w:jc w:val="both"/>
        <w:rPr>
          <w:sz w:val="22"/>
          <w:szCs w:val="22"/>
        </w:rPr>
      </w:pPr>
      <w:r>
        <w:rPr>
          <w:sz w:val="22"/>
          <w:szCs w:val="22"/>
        </w:rPr>
        <w:t>7. Отсчет трудозатрат (человеко-часов) начинается с момента начала оказания услуг/выполнения работ сервисного персонала Исполнителя и производится до момента фактического окончания услуг/работ.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>
        <w:rPr>
          <w:b/>
          <w:sz w:val="22"/>
          <w:szCs w:val="22"/>
          <w:u w:val="single"/>
        </w:rPr>
        <w:t xml:space="preserve">Примечание: </w:t>
      </w:r>
      <w:r>
        <w:rPr>
          <w:sz w:val="22"/>
          <w:szCs w:val="22"/>
        </w:rPr>
        <w:t>Данные ставки применяются также для расчета за оказанные услуги/выполненные работы по монтажу/демонтажу оборудования, пусконаладочные работы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</w:rPr>
      </w:pPr>
      <w:r>
        <w:rPr>
          <w:b/>
        </w:rPr>
        <w:t>Подписи Сторон</w:t>
      </w:r>
    </w:p>
    <w:p>
      <w:pPr>
        <w:pStyle w:val="Normal"/>
        <w:jc w:val="center"/>
        <w:rPr/>
      </w:pPr>
      <w:r>
        <w:rPr/>
      </w:r>
    </w:p>
    <w:tbl>
      <w:tblPr>
        <w:tblW w:w="79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19"/>
        <w:gridCol w:w="4018"/>
      </w:tblGrid>
      <w:tr>
        <w:trPr>
          <w:trHeight w:val="57" w:hRule="atLeast"/>
        </w:trPr>
        <w:tc>
          <w:tcPr>
            <w:tcW w:w="3919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Исполнитель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_____________________/ </w:t>
            </w:r>
            <w:r>
              <w:rPr/>
              <w:t>____________</w:t>
            </w:r>
            <w:r>
              <w:rPr/>
              <w:t xml:space="preserve"> 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>
                <w:vertAlign w:val="superscript"/>
              </w:rPr>
              <w:t>м.п.</w:t>
            </w:r>
          </w:p>
        </w:tc>
        <w:tc>
          <w:tcPr>
            <w:tcW w:w="4018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Заказчик</w:t>
            </w:r>
          </w:p>
          <w:p>
            <w:pPr>
              <w:pStyle w:val="Normal"/>
              <w:widowControl w:val="false"/>
              <w:rPr/>
            </w:pPr>
            <w:r>
              <w:rPr/>
              <w:t>Должность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_________________/ФИО/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>
                <w:vertAlign w:val="superscript"/>
              </w:rPr>
              <w:t>м.п.</w:t>
            </w:r>
          </w:p>
        </w:tc>
      </w:tr>
    </w:tbl>
    <w:p>
      <w:pPr>
        <w:pStyle w:val="Normal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br w:type="page"/>
      </w:r>
    </w:p>
    <w:p>
      <w:pPr>
        <w:pStyle w:val="Heading1"/>
        <w:jc w:val="right"/>
        <w:rPr>
          <w:b/>
          <w:bCs/>
        </w:rPr>
      </w:pPr>
      <w:r>
        <w:rPr>
          <w:b/>
          <w:bCs/>
        </w:rPr>
        <w:t>Приложение №3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сервисном обслуживании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и ремонте техники LIEBHERR №</w:t>
      </w:r>
      <w:r>
        <w:rPr>
          <w:sz w:val="22"/>
          <w:highlight w:val="lightGray"/>
        </w:rPr>
        <w:t>____</w:t>
      </w:r>
      <w:r>
        <w:rPr>
          <w:sz w:val="22"/>
          <w:szCs w:val="22"/>
        </w:rPr>
        <w:t xml:space="preserve"> от </w:t>
      </w:r>
      <w:r>
        <w:rPr>
          <w:sz w:val="22"/>
          <w:highlight w:val="lightGray"/>
        </w:rPr>
        <w:t>_____</w:t>
      </w:r>
      <w:r>
        <w:rPr>
          <w:sz w:val="22"/>
          <w:szCs w:val="22"/>
        </w:rPr>
        <w:t xml:space="preserve"> г.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8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1"/>
        <w:gridCol w:w="603"/>
        <w:gridCol w:w="696"/>
        <w:gridCol w:w="506"/>
        <w:gridCol w:w="485"/>
        <w:gridCol w:w="718"/>
        <w:gridCol w:w="701"/>
        <w:gridCol w:w="500"/>
        <w:gridCol w:w="292"/>
        <w:gridCol w:w="284"/>
        <w:gridCol w:w="317"/>
        <w:gridCol w:w="602"/>
        <w:gridCol w:w="601"/>
        <w:gridCol w:w="600"/>
        <w:gridCol w:w="601"/>
        <w:gridCol w:w="602"/>
        <w:gridCol w:w="1185"/>
      </w:tblGrid>
      <w:tr>
        <w:trPr>
          <w:trHeight w:val="57" w:hRule="atLeast"/>
        </w:trPr>
        <w:tc>
          <w:tcPr>
            <w:tcW w:w="3609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 Black" w:hAnsi="Arial Black" w:cs="Arial"/>
                <w:sz w:val="15"/>
                <w:szCs w:val="15"/>
              </w:rPr>
            </w:pPr>
            <w:r>
              <w:rPr/>
            </w:r>
          </w:p>
        </w:tc>
        <w:tc>
          <w:tcPr>
            <w:tcW w:w="6285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Calibri" w:hAnsi="Calibri" w:cs="Arial" w:asciiTheme="minorHAnsi" w:hAnsiTheme="minorHAnsi"/>
                <w:sz w:val="15"/>
                <w:szCs w:val="15"/>
              </w:rPr>
            </w:pPr>
            <w:r>
              <w:rPr>
                <w:rFonts w:cs="Arial" w:ascii="Liebherr" w:hAnsi="Liebherr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hyperlink r:id="rId3">
              <w:r>
                <w:rPr/>
              </w:r>
            </w:hyperlink>
          </w:p>
        </w:tc>
      </w:tr>
      <w:tr>
        <w:trPr>
          <w:trHeight w:val="57" w:hRule="atLeast"/>
        </w:trPr>
        <w:tc>
          <w:tcPr>
            <w:tcW w:w="5102" w:type="dxa"/>
            <w:gridSpan w:val="9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/>
            </w:r>
          </w:p>
        </w:tc>
        <w:tc>
          <w:tcPr>
            <w:tcW w:w="60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11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</w:tr>
      <w:tr>
        <w:trPr>
          <w:trHeight w:val="57" w:hRule="atLeast"/>
        </w:trPr>
        <w:tc>
          <w:tcPr>
            <w:tcW w:w="4310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/>
            </w:r>
          </w:p>
        </w:tc>
        <w:tc>
          <w:tcPr>
            <w:tcW w:w="5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  <w:tc>
          <w:tcPr>
            <w:tcW w:w="11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Calibri Light" w:hAnsi="Calibri Light" w:cs="Calibri Light" w:asciiTheme="majorHAnsi" w:cstheme="majorHAnsi" w:hAnsiTheme="majorHAnsi"/>
                <w:sz w:val="16"/>
                <w:szCs w:val="16"/>
              </w:rPr>
            </w:pPr>
            <w:r>
              <w:rPr>
                <w:rFonts w:cs="Calibri Light" w:cstheme="majorHAnsi" w:ascii="Calibri Light" w:hAnsi="Calibri Light"/>
                <w:sz w:val="16"/>
                <w:szCs w:val="16"/>
              </w:rPr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АКТ ПРИЕМКИ ВЫПОЛНЕННЫХ РАБОТ</w:t>
            </w:r>
          </w:p>
        </w:tc>
      </w:tr>
      <w:tr>
        <w:trPr>
          <w:trHeight w:val="57" w:hRule="atLeast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Дата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№ </w:t>
            </w:r>
            <w:r>
              <w:rPr>
                <w:rFonts w:cs="Arial" w:ascii="Arial" w:hAnsi="Arial"/>
                <w:sz w:val="15"/>
                <w:szCs w:val="15"/>
              </w:rPr>
              <w:t>акта</w:t>
            </w:r>
          </w:p>
        </w:tc>
        <w:tc>
          <w:tcPr>
            <w:tcW w:w="14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№ </w:t>
            </w:r>
            <w:r>
              <w:rPr>
                <w:rFonts w:cs="Arial" w:ascii="Arial" w:hAnsi="Arial"/>
                <w:sz w:val="15"/>
                <w:szCs w:val="15"/>
              </w:rPr>
              <w:t xml:space="preserve">заказа 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День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Месяц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Год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№ </w:t>
            </w:r>
            <w:r>
              <w:rPr>
                <w:rFonts w:cs="Arial" w:ascii="Arial" w:hAnsi="Arial"/>
                <w:sz w:val="15"/>
                <w:szCs w:val="15"/>
              </w:rPr>
              <w:t>счета</w:t>
            </w:r>
          </w:p>
        </w:tc>
        <w:tc>
          <w:tcPr>
            <w:tcW w:w="14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804" w:type="dxa"/>
            <w:gridSpan w:val="4"/>
            <w:tcBorders/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№ </w:t>
            </w:r>
            <w:r>
              <w:rPr>
                <w:rFonts w:cs="Arial" w:ascii="Arial" w:hAnsi="Arial"/>
                <w:sz w:val="15"/>
                <w:szCs w:val="15"/>
              </w:rPr>
              <w:t>проекта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Сервисный инженер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Место проведения работ</w:t>
            </w:r>
          </w:p>
        </w:tc>
      </w:tr>
      <w:tr>
        <w:trPr>
          <w:trHeight w:val="57" w:hRule="atLeast"/>
        </w:trPr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Доп. сервисн. инженеры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Автомобиль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Рег. знак </w:t>
            </w:r>
          </w:p>
        </w:tc>
        <w:tc>
          <w:tcPr>
            <w:tcW w:w="1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51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Заказчик</w:t>
            </w:r>
          </w:p>
        </w:tc>
        <w:tc>
          <w:tcPr>
            <w:tcW w:w="4792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Машина заказчика </w:t>
            </w:r>
          </w:p>
        </w:tc>
      </w:tr>
      <w:tr>
        <w:trPr>
          <w:trHeight w:val="57" w:hRule="atLeast"/>
        </w:trPr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Фирма (плательщик)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Моточасы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ИНН 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Моточасы шасси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КПП</w:t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Пробег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26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Год выпуска</w:t>
            </w:r>
          </w:p>
        </w:tc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ВРЕМЯ (учет рабочего времени и времени в пути):</w:t>
            </w:r>
          </w:p>
        </w:tc>
      </w:tr>
      <w:tr>
        <w:trPr>
          <w:trHeight w:val="57" w:hRule="atLeas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День</w:t>
            </w:r>
          </w:p>
        </w:tc>
        <w:tc>
          <w:tcPr>
            <w:tcW w:w="12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Дата </w:t>
            </w:r>
          </w:p>
        </w:tc>
        <w:tc>
          <w:tcPr>
            <w:tcW w:w="9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Время в работе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Пауза</w:t>
            </w:r>
          </w:p>
        </w:tc>
        <w:tc>
          <w:tcPr>
            <w:tcW w:w="701" w:type="dxa"/>
            <w:tcBorders>
              <w:bottom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Часы</w:t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Выезд из </w:t>
            </w:r>
          </w:p>
        </w:tc>
        <w:tc>
          <w:tcPr>
            <w:tcW w:w="602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А/м-км</w:t>
            </w:r>
          </w:p>
        </w:tc>
        <w:tc>
          <w:tcPr>
            <w:tcW w:w="1185" w:type="dxa"/>
            <w:tcBorders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Страна</w:t>
            </w:r>
          </w:p>
        </w:tc>
      </w:tr>
      <w:tr>
        <w:trPr>
          <w:trHeight w:val="57" w:hRule="atLeast"/>
        </w:trPr>
        <w:tc>
          <w:tcPr>
            <w:tcW w:w="601" w:type="dxa"/>
            <w:tcBorders>
              <w:left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99" w:type="dxa"/>
            <w:gridSpan w:val="2"/>
            <w:tcBorders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tcBorders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от</w:t>
            </w:r>
          </w:p>
        </w:tc>
        <w:tc>
          <w:tcPr>
            <w:tcW w:w="485" w:type="dxa"/>
            <w:tcBorders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до</w:t>
            </w:r>
          </w:p>
        </w:tc>
        <w:tc>
          <w:tcPr>
            <w:tcW w:w="718" w:type="dxa"/>
            <w:tcBorders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01" w:type="dxa"/>
            <w:tcBorders/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Прибытие в</w:t>
            </w:r>
          </w:p>
        </w:tc>
        <w:tc>
          <w:tcPr>
            <w:tcW w:w="602" w:type="dxa"/>
            <w:tcBorders/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2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1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2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1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2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1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2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379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1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время в пути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K</w:t>
            </w:r>
          </w:p>
        </w:tc>
        <w:tc>
          <w:tcPr>
            <w:tcW w:w="603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GAR</w:t>
            </w:r>
          </w:p>
        </w:tc>
        <w:tc>
          <w:tcPr>
            <w:tcW w:w="696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KUL</w:t>
            </w:r>
          </w:p>
        </w:tc>
        <w:tc>
          <w:tcPr>
            <w:tcW w:w="506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0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329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платный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гарантия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безвозм.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</w:r>
          </w:p>
        </w:tc>
        <w:tc>
          <w:tcPr>
            <w:tcW w:w="50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329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3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ИТОГО: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часов</w:t>
            </w:r>
          </w:p>
        </w:tc>
        <w:tc>
          <w:tcPr>
            <w:tcW w:w="32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км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Прочие затраты:</w:t>
            </w:r>
          </w:p>
        </w:tc>
      </w:tr>
      <w:tr>
        <w:trPr>
          <w:trHeight w:val="57" w:hRule="atLeast"/>
        </w:trPr>
        <w:tc>
          <w:tcPr>
            <w:tcW w:w="1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ID Номер</w:t>
            </w:r>
          </w:p>
        </w:tc>
        <w:tc>
          <w:tcPr>
            <w:tcW w:w="320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Наименование</w:t>
            </w:r>
          </w:p>
        </w:tc>
        <w:tc>
          <w:tcPr>
            <w:tcW w:w="6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Кол-во</w:t>
            </w:r>
          </w:p>
        </w:tc>
        <w:tc>
          <w:tcPr>
            <w:tcW w:w="120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Стоимость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Валюта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Форма оплаты</w:t>
            </w:r>
          </w:p>
        </w:tc>
      </w:tr>
      <w:tr>
        <w:trPr>
          <w:trHeight w:val="57" w:hRule="atLeast"/>
        </w:trPr>
        <w:tc>
          <w:tcPr>
            <w:tcW w:w="60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3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85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18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701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0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92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0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ЗАПЧАСТИ (Ремонт произведен с использованием следующих ЗАПЧАСТЕЙ (ЗИП)):</w:t>
            </w:r>
          </w:p>
        </w:tc>
      </w:tr>
      <w:tr>
        <w:trPr>
          <w:trHeight w:val="57" w:hRule="atLeast"/>
        </w:trPr>
        <w:tc>
          <w:tcPr>
            <w:tcW w:w="1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Номер запчасти</w:t>
            </w:r>
          </w:p>
        </w:tc>
        <w:tc>
          <w:tcPr>
            <w:tcW w:w="320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Наименование</w:t>
            </w:r>
          </w:p>
        </w:tc>
        <w:tc>
          <w:tcPr>
            <w:tcW w:w="120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Кол-во</w:t>
            </w:r>
          </w:p>
        </w:tc>
        <w:tc>
          <w:tcPr>
            <w:tcW w:w="18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Собственник ЗИП *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Возврат ЗИП **</w:t>
            </w:r>
          </w:p>
        </w:tc>
      </w:tr>
      <w:tr>
        <w:trPr>
          <w:trHeight w:val="57" w:hRule="atLeast"/>
        </w:trPr>
        <w:tc>
          <w:tcPr>
            <w:tcW w:w="190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3202" w:type="dxa"/>
            <w:gridSpan w:val="6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802" w:type="dxa"/>
            <w:gridSpan w:val="3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* K- использованы запчасти Заказчика, Т – использованы запчасти ООО </w:t>
            </w:r>
            <w:r>
              <w:rPr>
                <w:rFonts w:cs="Arial" w:ascii="Arial" w:hAnsi="Arial"/>
                <w:sz w:val="15"/>
                <w:szCs w:val="15"/>
              </w:rPr>
              <w:t>(или ИП и т.д.)</w:t>
            </w:r>
            <w:r>
              <w:rPr>
                <w:rFonts w:cs="Arial" w:ascii="Arial" w:hAnsi="Arial"/>
                <w:sz w:val="15"/>
                <w:szCs w:val="15"/>
              </w:rPr>
              <w:t xml:space="preserve"> «</w:t>
            </w:r>
            <w:r>
              <w:rPr>
                <w:rFonts w:cs="Arial" w:ascii="Arial" w:hAnsi="Arial"/>
                <w:sz w:val="15"/>
                <w:szCs w:val="15"/>
              </w:rPr>
              <w:t>_________»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** 1 – дефектные (замененные) запчасти переданы сервисному инженеру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** 0 - дефектные (замененные) запчасти оставлены у Заказчика</w:t>
            </w:r>
          </w:p>
        </w:tc>
      </w:tr>
      <w:tr>
        <w:trPr>
          <w:trHeight w:val="57" w:hRule="atLeast"/>
        </w:trPr>
        <w:tc>
          <w:tcPr>
            <w:tcW w:w="9894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Работы выполнены полностью с надлежащим качеством. Заказчик претензий не имеет.</w:t>
            </w:r>
          </w:p>
        </w:tc>
      </w:tr>
      <w:tr>
        <w:trPr>
          <w:trHeight w:val="552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9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(</w:t>
            </w:r>
          </w:p>
        </w:tc>
        <w:tc>
          <w:tcPr>
            <w:tcW w:w="1919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)</w:t>
            </w:r>
          </w:p>
        </w:tc>
        <w:tc>
          <w:tcPr>
            <w:tcW w:w="601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(</w:t>
            </w:r>
          </w:p>
        </w:tc>
        <w:tc>
          <w:tcPr>
            <w:tcW w:w="2388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  <w:r>
              <w:rPr>
                <w:rFonts w:cs="Arial" w:ascii="Arial" w:hAnsi="Arial"/>
                <w:sz w:val="15"/>
                <w:szCs w:val="15"/>
              </w:rPr>
              <w:t>)</w:t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М.П.</w:t>
            </w:r>
          </w:p>
        </w:tc>
        <w:tc>
          <w:tcPr>
            <w:tcW w:w="229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 xml:space="preserve">Подпись РУКОВОДИТЕЛЯ </w:t>
            </w:r>
          </w:p>
        </w:tc>
        <w:tc>
          <w:tcPr>
            <w:tcW w:w="191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ФИО РУКОВОДИТЕЛЯ</w:t>
            </w:r>
          </w:p>
        </w:tc>
        <w:tc>
          <w:tcPr>
            <w:tcW w:w="57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М.П.</w:t>
            </w:r>
          </w:p>
        </w:tc>
        <w:tc>
          <w:tcPr>
            <w:tcW w:w="212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Подпись ЗАКАЗЧИКА</w:t>
            </w:r>
          </w:p>
        </w:tc>
        <w:tc>
          <w:tcPr>
            <w:tcW w:w="238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ФИО ЗАКАЗЧИКА</w:t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80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 xml:space="preserve">подразделения </w:t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91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подразделения</w:t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1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</w:tr>
      <w:tr>
        <w:trPr>
          <w:trHeight w:val="634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9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(</w:t>
            </w:r>
          </w:p>
        </w:tc>
        <w:tc>
          <w:tcPr>
            <w:tcW w:w="1919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)</w:t>
            </w:r>
          </w:p>
        </w:tc>
        <w:tc>
          <w:tcPr>
            <w:tcW w:w="601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(</w:t>
            </w:r>
          </w:p>
        </w:tc>
        <w:tc>
          <w:tcPr>
            <w:tcW w:w="2388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)</w:t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229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Подпись ИСПОЛНИТЕЛЯ</w:t>
            </w:r>
          </w:p>
        </w:tc>
        <w:tc>
          <w:tcPr>
            <w:tcW w:w="191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ФИО  ИСПОЛНИТЕЛЯ</w:t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240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 xml:space="preserve">Подпись ПРЕДСТАВИТЕЛЯ </w:t>
            </w:r>
          </w:p>
        </w:tc>
        <w:tc>
          <w:tcPr>
            <w:tcW w:w="238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 xml:space="preserve">ФИО ПРЕДСТАВИТЕЛЯ </w:t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804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 xml:space="preserve">заказчика на месте </w:t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238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 xml:space="preserve">заказчика на месте </w:t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804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проведения работ</w:t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238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cs="Arial" w:ascii="Arial" w:hAnsi="Arial"/>
                <w:b/>
                <w:bCs/>
                <w:sz w:val="15"/>
                <w:szCs w:val="15"/>
              </w:rPr>
              <w:t>проведения работ</w:t>
            </w:r>
          </w:p>
        </w:tc>
      </w:tr>
      <w:tr>
        <w:trPr>
          <w:trHeight w:val="57" w:hRule="exact"/>
        </w:trPr>
        <w:tc>
          <w:tcPr>
            <w:tcW w:w="9894" w:type="dxa"/>
            <w:gridSpan w:val="17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Дата</w:t>
            </w:r>
          </w:p>
        </w:tc>
        <w:tc>
          <w:tcPr>
            <w:tcW w:w="50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«</w:t>
            </w:r>
          </w:p>
        </w:tc>
        <w:tc>
          <w:tcPr>
            <w:tcW w:w="2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»</w:t>
            </w:r>
          </w:p>
        </w:tc>
        <w:tc>
          <w:tcPr>
            <w:tcW w:w="1803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20</w:t>
            </w:r>
          </w:p>
        </w:tc>
        <w:tc>
          <w:tcPr>
            <w:tcW w:w="60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11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>r.</w:t>
            </w:r>
          </w:p>
        </w:tc>
      </w:tr>
      <w:tr>
        <w:trPr>
          <w:trHeight w:val="57" w:hRule="atLeast"/>
        </w:trPr>
        <w:tc>
          <w:tcPr>
            <w:tcW w:w="6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0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4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</w:r>
          </w:p>
        </w:tc>
        <w:tc>
          <w:tcPr>
            <w:tcW w:w="70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500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29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  <w:tc>
          <w:tcPr>
            <w:tcW w:w="11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cs="Arial" w:ascii="Arial" w:hAnsi="Arial"/>
                <w:sz w:val="15"/>
                <w:szCs w:val="15"/>
              </w:rPr>
              <w:t xml:space="preserve"> </w:t>
            </w:r>
          </w:p>
        </w:tc>
      </w:tr>
    </w:tbl>
    <w:p>
      <w:pPr>
        <w:pStyle w:val="Normal"/>
        <w:jc w:val="center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ФОРМА АКТА ПРИЕМКИ ВЫПОЛНЕННЫХ РАБОТ СОГЛАСОВАНА</w:t>
      </w:r>
      <w:r>
        <w:br w:type="page"/>
      </w:r>
    </w:p>
    <w:p>
      <w:pPr>
        <w:pStyle w:val="Heading1"/>
        <w:jc w:val="right"/>
        <w:rPr>
          <w:b/>
          <w:bCs/>
        </w:rPr>
      </w:pPr>
      <w:bookmarkStart w:id="5" w:name="Par42"/>
      <w:bookmarkEnd w:id="5"/>
      <w:r>
        <w:rPr>
          <w:b/>
          <w:bCs/>
        </w:rPr>
        <w:t>Приложение №4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сервисном обслуживании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и ремонте техники LIEBHERR №</w:t>
      </w:r>
      <w:r>
        <w:rPr>
          <w:sz w:val="22"/>
          <w:highlight w:val="lightGray"/>
        </w:rPr>
        <w:t>____</w:t>
      </w:r>
      <w:r>
        <w:rPr>
          <w:sz w:val="22"/>
          <w:szCs w:val="22"/>
        </w:rPr>
        <w:t xml:space="preserve"> от </w:t>
      </w:r>
      <w:r>
        <w:rPr>
          <w:sz w:val="22"/>
          <w:highlight w:val="lightGray"/>
        </w:rPr>
        <w:t>_________</w:t>
      </w:r>
      <w:r>
        <w:rPr>
          <w:sz w:val="22"/>
          <w:szCs w:val="22"/>
        </w:rPr>
        <w:t xml:space="preserve"> г.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>
              <w:rPr>
                <w:sz w:val="22"/>
                <w:highlight w:val="lightGray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highlight w:val="lightGray"/>
              </w:rPr>
              <w:t>__________</w:t>
            </w:r>
            <w:r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highlight w:val="lightGray"/>
              </w:rPr>
              <w:t>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  <w:tab w:val="left" w:pos="1440" w:leader="none"/>
          <w:tab w:val="left" w:pos="852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ПОЛОЖЕНИЕ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ПОРЯДКЕ ПРОИЗВОДСТВА РАБОТ РАБОТНИКАМИ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</w:t>
      </w:r>
      <w:r>
        <w:rPr>
          <w:b/>
          <w:bCs/>
          <w:sz w:val="22"/>
          <w:szCs w:val="22"/>
        </w:rPr>
        <w:t xml:space="preserve"> НА ТЕРРИТОРИИ ЗАКАЗЧИКА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120" w:after="12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Область применения</w:t>
        <w:br/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Настоящее Положение определяет требования в области охраны труда и промышленной безопасности при взаимодействии </w:t>
      </w:r>
      <w:r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(далее – «Компания») с Заказчиками, на территории которых производятся работы работниками Компании. 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1.2. Настоящее Положение предназначено для применения: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руководителями структурных подразделений Компании,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работниками, ответственными за обеспечение безопасных условий и охраны труда, и работниками, ответственными за безопасное производство работ, назначаемыми приказом генерального директора Компании,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работниками Компании, непосредственно осуществляющими производство работ на территории Заказчика. 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  <w:i/>
          <w:i/>
        </w:rPr>
      </w:pPr>
      <w:r>
        <w:rPr>
          <w:rFonts w:ascii="Times New Roman" w:hAnsi="Times New Roman"/>
        </w:rPr>
        <w:t>1.3. Применение настоящего Положения может быть предусмотрено в договорах (соглашениях) между Заказчиком и Компанией. Руководитель структурного подразделения Компании, работник ответственный за безопасное производство работ и направляющий работников Компании для производства работ на территории Заказчика, обязан довести до сведения Заказчика и/или соответствующих работников Компании настоящее Положение перед началом производства работ. Заказчик обязуется довести до сведения ответственных лиц Заказчика настоящее Положение до начала производства работ.</w:t>
      </w:r>
      <w:r>
        <w:rPr>
          <w:rFonts w:ascii="Times New Roman" w:hAnsi="Times New Roman"/>
          <w:i/>
        </w:rPr>
        <w:t xml:space="preserve">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120" w:after="120"/>
        <w:ind w:left="0" w:hanging="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Термины и определения</w:t>
        <w:br/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В настоящем Положении применяются следующие термины и определения: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Заказчик – сторонняя организация, для которой Компания производит работы (оказывает услуги) по ремонту, диагностике, инспекции, а также техническому обслуживанию, монтажу, шеф-монтажу техники Liebherr (далее – «техника»). 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2.2. Структурное подразделение Компании – отдел, департамент, обособленное структурное подразделение, филиал Компании.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  <w:tab w:val="left" w:pos="709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2.3. Наряд-допуск – задание на безопасное производство работ, определяющее содержание, место работы, опасные и вредные производственные факторы, присущие данной работе, условия безопасного производства работ, время начала и окончания, состав исполнителей и работников, ответственных за безопасное производство работ.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  <w:tab w:val="left" w:pos="709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2.4. Акт-допуск – документ, определяющий условия производства работ работниками одного юридического лица на территории (участке, площадке, объекте) другого юридического лица, которым согласовываются организационные и технические мероприятия, обеспечивающие безопасность труда работников обоих юридических лиц, являющийся письменным разрешением на производство работ и подписанный полномочными представителями обоих юридических лиц.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567" w:leader="none"/>
          <w:tab w:val="left" w:pos="709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2.5. Проект производства работ (ППР) – организационно-технологический документ, регламентирующий организацию производства конкретных видов работ в соответствии с технологическими правилами, требованиями к охране труда, экологической безопасности и качеству работ.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2.6. Технологическая карта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lang w:eastAsia="ru-RU"/>
        </w:rPr>
        <w:t xml:space="preserve"> технологическая документация в виде карты, листка, содержащего описание процесса производственных операций, применяемого оборудования, временного режима осуществления операций и т.д.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2.7. Монтаж – работы по </w:t>
      </w:r>
      <w:r>
        <w:rPr>
          <w:rFonts w:ascii="Times New Roman" w:hAnsi="Times New Roman"/>
          <w:lang w:eastAsia="ru-RU"/>
        </w:rPr>
        <w:t>монтажу, сборке, наладке, испытанию, демонтажу техники.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Шеф-монтаж – услуги по </w:t>
      </w:r>
      <w:r>
        <w:rPr>
          <w:rFonts w:ascii="Times New Roman" w:hAnsi="Times New Roman"/>
          <w:lang w:eastAsia="ru-RU"/>
        </w:rPr>
        <w:t>консультированию Заказчика по порядку сборки (монтажа), наладки, демонтажа техники при производстве монтажных и иных работ работниками Заказчика (субподрядчиками Заказчика)</w:t>
      </w:r>
      <w:r>
        <w:rPr>
          <w:rFonts w:ascii="Times New Roman" w:hAnsi="Times New Roman"/>
        </w:rPr>
        <w:t>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2.9. Территория Заказчика/ производственная территория Заказчика – территория (участки, площадки, объекты), принадлежащая как Заказчику, так и третьим лицам, на которой планируется производство работ/оказание услуг. 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2.10. Руководитель работ – работник, ответственный за безопасное производство работ на соответствующей отдельной (выделенной) территории (участке, площадке, объекте) Заказчика, назначаемый в порядке, предусмотренном п. 7.2 настоящего Положения.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120" w:after="120"/>
        <w:ind w:left="0" w:hanging="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Общие положения</w:t>
        <w:br/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При производстве работ на территории Заказчика Заказчик обязан выполнить необходимые мероприятия, обеспечивающие безопасные условия работы. 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3.2. Допуск работников Компании на территорию Заказчика осуществляется после проведения Заказчиком вводного инструктажа. До начала производства работ Заказчик обязан провести или организовать специальное обучение и/или прохождение курсов специальной подготовки работниками Компании, если это связано с особенностями территории Заказчика, на которой планируется производство работ.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3.3. Ответственность за направление работников Компании на территорию Заказчика несет соответствующий руководитель структурного подразделения, работник, ответственный за безопасное производство работ.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3.4. Заказчик несет ответственность за обеспечение безопасных условий труда на своей территории, разрабатывает ППР и технологические карты, иную необходимую в соответствии с законодательством документацию, а также осуществляет контроль за их соблюдением, за исключением случаев, предусмотренных разделом 7 настоящего Положения.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3.5. При осуществлении работ </w:t>
      </w:r>
      <w:r>
        <w:rPr>
          <w:rFonts w:ascii="Times New Roman" w:hAnsi="Times New Roman"/>
        </w:rPr>
        <w:t xml:space="preserve">с повышенной опасностью </w:t>
      </w:r>
      <w:r>
        <w:rPr>
          <w:rFonts w:ascii="Times New Roman" w:hAnsi="Times New Roman"/>
          <w:lang w:eastAsia="ru-RU"/>
        </w:rPr>
        <w:t>обязательно оформление наряда-допуска в соответствии с утвержденным Министерством экономики РФ 19.02.1998 г. ПОТ РО 14000-005-98 «Положение. Работы с повышенной опасностью. Организация проведения» и иными требованиями законодательства. Наряды-допуски имеют п</w:t>
      </w:r>
      <w:r>
        <w:rPr>
          <w:rFonts w:ascii="Times New Roman" w:hAnsi="Times New Roman"/>
        </w:rPr>
        <w:t>раво выписывать и выдавать только ответственные на основании приказа работники Заказчика или Компании в соответствии с разделами 6 и 7 настоящего Положения.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3.6. Работы на территории Заказчика производятся работниками Компании (субподрядчиками Компании) в следующем порядке: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/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  <w:t>3.6.1. на основании наряда-допуска (в соответствии с разделом 6 настоящего Положения) исключительно в составе бригады Заказчика в случаях, когда в производстве работ участвуют работники Заказчика (субподрядчиков Заказчика) и/или используются подъемные или иные специальные механизмы, техника и оборудование, предоставляемые Заказчиком и/или привлеченными им третьими лицами;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/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  <w:t>3.6.2. на основании акта-допуска (в соответствии с разделом 7 настоящего Положения) в случае производства работ: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/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3.6.2.1. работниками Компании (субподрядчиками Компании) без участия работников Заказчика (субподрядчиков Заказчика); 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/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3.6.2.2. работниками Компании (субподрядчиками Компании) с участием работников Заказчика (субподрядчиков Заказчика) и/или в случае предоставления Заказчиком и/или привлеченными им третьими лицами подъемных или иных специальных механизмов, техники и оборудования, если это специально письменно согласовано Заказчиком и руководителем структурного подразделения Компании. 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3.7. Заказчик обязан предоставлять для производства работ сертифицированные, прошедшие предварительную проверку, обслуживание, исправные и безопасные механизмы, оборудование, специальный инструмент, приборы и иные вспомогательные средства, управление которыми должно осуществляться работниками Заказчика (или привлеченными им третьими лицами), имеющими соответствующие допуски, обучение и квалификацию.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120" w:after="120"/>
        <w:ind w:left="0" w:hanging="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  <w:t>4. Обязанности руководителей структурных подразделений Компании, работников, ответственных за обеспечение безопасных условий и охраны труда, работников,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ответственных за безопасное производство работ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4.1. До начала производства работ на территории Заказчика руководитель структурного подразделения Компании, работник, ответственный за обеспечение безопасных условий и охраны труда, работник, ответственный за безопасное производство работ: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запрашивает и получает копии приказов Заказчика о назначении лиц, ответственных за обеспечение безопасных условий работ при производстве работ работниками Компании в составе бригады Заказчика;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запрашивает у Заказчика перечень опасных, вредных производственных факторов, не связанных с характером работ, включая перечень иных факторов, способных оказать существенное влияние на процесс производства работ, а также опасных и вредных производственных факторов, возникающих в результате производства работ на территории Заказчика (данная обязанность работника, ответственного за безопасное производство работ, не отменяет обязанность Заказчика сообщить соответствующие факторы Компании до начала производства работ/оказания услуг, если такая обязанность установлена Договором);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согласовывает с представителем Заказчика мероприятия по обеспечению безопасных условий труда при производстве работ;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контролирует обеспечение и наличие у работников Компании спецодежды, спецобуви, средств индивидуальной защиты;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обеспечивает направление для производства работ квалифицированных работников, своевременно прошедших необходимые обучения (аттестацию), инструктажи, медицинские осмотры, обученных безопасным методам производства работ.</w:t>
      </w:r>
    </w:p>
    <w:p>
      <w:pPr>
        <w:pStyle w:val="ListParagraph"/>
        <w:widowControl w:val="false"/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120" w:after="120"/>
        <w:ind w:left="0" w:hanging="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Обязанности работников Компании, непосредственно осуществляющих производство работ на территории Заказчика</w:t>
        <w:br/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5.1. Работники Компании, непосредственно осуществляющие производство работ на территории Заказчика, должны соблюдать следующие требования: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приступать к производству работ только после прохождения вводного инструктажа, проводимого Заказчиком на территории Заказчика;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производить работы с повышенной опасностью и/или в условиях действия опасных производственных факторов, связанных с характером работы, только при наличии наряда-допуска и проведении целевого инструктажа непосредственно перед началом работ;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передвигаться по территории Заказчика (в местах производства работ) только в сопровождении работника Заказчика в пределах безопасных зон;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не приступать к производству работ в случае отсутствия средств индивидуальной и/или коллективной защиты или их несоответствия действующим нормам;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производить только ту работу, которая поручена непосредственным руководителем;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не приступать к работам, если Заказчиком не обеспечены безопасные условия труда;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не подписывать документы, связанные с производством работ на территории Заказчика, не согласованные с руководителем структурного подразделения или работником, ответственным за безопасное производство работ, в том числе акты о передаче техники в ремонт, акты-допуска, иные подобные документы;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не управлять техникой и оборудованием, принадлежащими Заказчику или третьим лицам;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не давать работникам Заказчика рекомендаций, не связанных с технологией производства работ, в том числе по методам строповки, использования грузоподъемных механизмов, лебедки и т.д., не предусмотренных в документации завода-изготовителя;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  <w:t>производить на технике работы в соответствии с инструкциями (руководством) завода-изготовителя, техническими регламентами;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contextualSpacing w:val="false"/>
        <w:rPr/>
      </w:pPr>
      <w:r>
        <w:rPr>
          <w:rFonts w:ascii="Times New Roman" w:hAnsi="Times New Roman"/>
        </w:rPr>
        <w:t>соблюдать нормы и правила по охране труда и промышленной безопасности, требования приказов, распоряжений, положений, инструкций, иных локальных нормативных актов Компании.</w:t>
      </w:r>
    </w:p>
    <w:p>
      <w:pPr>
        <w:pStyle w:val="ListParagraph"/>
        <w:widowControl w:val="false"/>
        <w:tabs>
          <w:tab w:val="clear" w:pos="708"/>
          <w:tab w:val="left" w:pos="426" w:leader="none"/>
        </w:tabs>
        <w:spacing w:lineRule="auto" w:line="240" w:before="0" w:after="0"/>
        <w:ind w:left="786" w:hanging="0"/>
        <w:contextualSpacing w:val="false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lineRule="auto" w:line="240" w:before="120" w:after="120"/>
        <w:ind w:left="0" w:hanging="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Порядок производства работ работниками Компании</w:t>
      </w:r>
      <w:bookmarkStart w:id="6" w:name="Par121"/>
      <w:bookmarkEnd w:id="6"/>
      <w:r>
        <w:rPr>
          <w:rFonts w:ascii="Times New Roman" w:hAnsi="Times New Roman"/>
          <w:b/>
        </w:rPr>
        <w:t xml:space="preserve"> в составе бригады Заказчика по наряду-допуску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6.1. Работы на Территории Заказчика производятся работниками Компании (субподрядчиками Компании) исключительно в составе бригады Заказчика (если иное специально письменно не согласовано Заказчиком и Компанией (работы по акту-допуску согласно разделу 7 настоящего Положения)) в случаях, когда в производстве работ участвуют работники Заказчика, третьих лиц и/или используются подъемные или иные специальные механизмы, техника и оборудование, предоставляемые Заказчиком и/или привлеченными им третьими лицами.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До начала работ Заказчик должен разработать и осуществить мероприятия, обеспечивающие безопасные условия работы, в том числе отключить действующее оборудование, оградить движущиеся части механизмов, токоведущие части, перекрыть колодцы, проемы и каналы, очистить технику, поставить заглушки, вывесить знаки безопасности, установить леса или подмости и др. 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6.3. Работники Компании (субподрядчики Компании) приступают к производству работ только после выполнения Заказчиком всех необходимых подготовительных мероприятий и прохождения вводного инструктажа у Заказчика.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6.4. На работы, включая работы с повышенной опасностью, производимые на территории Заказчика, Заказчик оформляет наряд-допуск, проводит целевой инструктаж работников Компании (субподрядчиков Компании), о чем делается соответствующая отметка, включает работников Компании (субподрядчиков Компании) в состав бригады Заказчика.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6.5. Наряд-допуск выдается на срок, необходимый для производства заданного объема работ. В случае возникновения в процессе производства работ опасных или вредных производственных факторов, не предусмотренных нарядом-допуском, работы следует прекратить, возобновить работы только после выдачи нового наряда-допуска.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/>
        <w:ind w:left="0" w:hanging="0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6.6. Заказчик обязан осуществлять контроль за выполнением необходимых мероприятий по обеспечению безопасного производства работ, соответствующей квалификацией работников, привлекаемых к работе, соблюдением ими правил и инструкций по охране труда при производстве работ под руководством Заказчика, в том числе </w:t>
      </w:r>
      <w:r>
        <w:rPr>
          <w:rFonts w:ascii="Times New Roman" w:hAnsi="Times New Roman"/>
        </w:rPr>
        <w:t xml:space="preserve">привлекать к производству работ только специально обученных работников соответствующей квалификации, не имеющих ограничений по возрасту, полу, состоянию здоровья и иным показателям, отвечающих всем требованиям, предъявляемым для производства тех или иных видов работ, для производства которых они привлекаются. 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6.7. Опасные производственные работы без оформления наряда-допуска запрещены.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6.8. По окончании работ в наряде-допуске делается отметка о его закрытии. Заказчик обязан передать надлежащим образом оформленный экземпляр наряда-допуска соответствующему руководителю структурного подразделения Компании или работнику, ответственному за безопасное производство работ.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120" w:after="120"/>
        <w:ind w:left="0" w:hanging="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Порядок производства работ работниками Компании по акту-допуску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120" w:after="120"/>
        <w:ind w:left="0" w:hanging="0"/>
        <w:contextualSpacing w:val="false"/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 Работы на территории Заказчика должны производиться с обязательным оформлением акта-допуска и с передачей Заказчиком Компании по акту-допуску отдельных (выделенных) производственных территорий (участков, площадок, объектов) в случаях, предусмотренных п.п. 3.6.2.1 и 3.6.2.2 настоящего Положения. 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7.2. Во всех случаях производства работ Компанией на территории Заказчика по акту-допуску руководитель структурного подразделения обязан: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назначить на основании распоряжения руководителя работ;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проинформировать о производстве работ работниками Компании по акту-допуску руководителя отдела охраны труда, который, в свою очередь, обязан проконтролировать выполнение руководителем структурного подразделения или работником, ответственным за безопасное производство работ, обязанностей, предусмотренных настоящим разделом Положения.</w:t>
      </w:r>
    </w:p>
    <w:p>
      <w:pPr>
        <w:pStyle w:val="ListParagraph"/>
        <w:widowControl w:val="false"/>
        <w:tabs>
          <w:tab w:val="clear" w:pos="708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7.3. При производстве работ на территории Заказчика по акту-допуску руководитель структурного подразделения Компании, работник, ответственный за безопасное производство работ: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оформляет акт-допуск совместно с представителем Заказчика в двух экземплярах, по одному для каждой из сторон;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обеспечивает составление ППР и технологических карт, их согласование с представителем Заказчика и уполномоченными государственными органами;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согласовывает с Заказчиком перечень работ с повышенной опасностью, для производства которых требуется выдача наряда-допуска;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обеспечивает выполнение подготовительных работ, если таковые возложены на Компанию;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получает оформленный руководителем работ и Заказчиком акт о соответствии выполненных внеплощадочных и внутриплощадочных подготовительных работ требованиям безопасности труда и готовности производственной территории к началу производства работ;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контролирует производство совместных и совмещенных работ в случае привлечения Компанией сторонних организаций для производства работ, ведение графика и/или журнала совместных и совмещенных работ;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оформляет наряд-допуск на производство работ с повышенной опасностью;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708"/>
          <w:tab w:val="left" w:pos="426" w:leader="none"/>
          <w:tab w:val="left" w:pos="567" w:leader="none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обеспечивает наличие и хранение актов-допусков, нарядов-допусков, иных документов, указанных в настоящем Положении.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7.4. Акт-допуск для производства работ на территории Заказчика оформляется Заказчиком перед началом производства работ. Акт-допуск со стороны Компании вправе подписывать руководитель структурного подразделения Компании или работник, ответственный за безопасное производство работ.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7.5. До начала производства работ Компанией по акту-допуску производственные территории (участки, площадки, объекты) должны быть подготовлены Заказчиком для обеспечения безопасного производства работ. На границах опасных зон должны быть установлены защитные ограждения и знаки безопасности.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7.6. Подготовительные работы проводит Заказчик. Подготовительные работы должны быть закончены до начала работ, в том числе, включая, но не ограничиваясь: производственные территории должны находиться на безопасном расстоянии от мест эксплуатации опасных механизмов, техники и иного оборудования, процессов производства и зон влияния опасных производственных и природных факторов, на производственных территориях не должны находиться посторонние предметы, оборудование, опасные механизмы, вещества, а также посторонние люди. Заказчик обязан обеспечить производственную территорию водо- и энергоснабжением, оборудование, техника, иные механизмы должны быть обеспечены горюче-смазочными материалами, топливом, эксплуатационными жидкостями.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7.7. Окончание подготовительных работ должно быть принято руководителем работ по акту о соответствии выполненных внеплощадочных и внутриплощадочных подготовительных работ требованиям безопасности труда и готовности территории (участка, площадки, объекта) к началу производства работ.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7.8. Ответственность за организацию и выполнение мероприятий по охране труда на отдельной (выделенной) производственной территории (участках, площадках, объектах) Заказчика, за соответствующую квалификацию работников Компании и/или соблюдение ими правил охраны труда и промышленной безопасности несет руководитель структурного подразделения Компании, работник, ответственный за обеспечение безопасных условий и охраны труда, работник, ответственный за безопасное производство работ, а также руководитель работ. 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7.9. В случае привлечения Компанией сторонних организаций для производства работ допуск работников таких организаций на территорию (участок, площадку, объект) производится после разработки совместно со сторонней организацией графика выполнения совмещенных работ, </w:t>
      </w:r>
      <w:r>
        <w:rPr>
          <w:rFonts w:ascii="Times New Roman" w:hAnsi="Times New Roman"/>
          <w:lang w:eastAsia="ru-RU"/>
        </w:rPr>
        <w:t>обеспечивающих безопасные условия труда, обязательный для всех организаций и лиц на данной территори</w:t>
      </w:r>
      <w:r>
        <w:rPr>
          <w:rFonts w:ascii="Times New Roman" w:hAnsi="Times New Roman"/>
        </w:rPr>
        <w:t>и.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7.10. Наряд-допуск на производство в границах отдельной (выделенной) производственной территории работ с повышенной опасностью выдается руководителем структурного подразделения Компании, работником, ответственным за безопасное производство работ, руководителю работ.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7.11. При привлечении к работам работников Заказчика, использовании механизмов, оборудования, специального инструмента, приборов и иных вспомогательных средств Заказчика, согласно пункту 3.7 настоящего Положения, работники Заказчика включаются в состав бригады работников Компании.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7.12. Руководитель работ проводит целевой инструктаж работников Компании, работников Заказчика (при привлечении их к работам) до начала производства работ, о чем делается соответствующая отметка в наряде-допуске, а также исполняет иные обязанности, предусмотренные настоящим Положением, локальными нормативными актами Компании и законодательством.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7.13. Наряд-допуск выдается на срок, необходимый для производства заданного объема работ, и контролируется работником, выдавшим наряд-допуск. В случае возникновения в процессе производства работ опасных или вредных производственных факторов, не предусмотренных нарядом-допуском, работы следует прекратить, наряд-допуск аннулировать и возобновить работы только после выдачи нового наряда-допуска.</w:t>
      </w:r>
    </w:p>
    <w:p>
      <w:pPr>
        <w:pStyle w:val="ListParagraph"/>
        <w:widowControl w:val="false"/>
        <w:tabs>
          <w:tab w:val="clear" w:pos="708"/>
          <w:tab w:val="left" w:pos="567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7.14. При производстве работ на территории Заказчика должны соблюдаться требования охраны окружающей среды, охраны труда, промышленной безопасности, пожарной безопасности, санитарные нормы и правила, а также иные обязательные требования, в т.ч. локальных нормативных актов Компании.</w:t>
      </w:r>
    </w:p>
    <w:p>
      <w:pPr>
        <w:pStyle w:val="ListParagraph"/>
        <w:widowControl w:val="false"/>
        <w:tabs>
          <w:tab w:val="clear" w:pos="708"/>
          <w:tab w:val="left" w:pos="993" w:leader="none"/>
        </w:tabs>
        <w:spacing w:lineRule="auto" w:line="240" w:before="0" w:after="0"/>
        <w:ind w:left="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993" w:leader="none"/>
          <w:tab w:val="left" w:pos="1440" w:leader="none"/>
          <w:tab w:val="left" w:pos="8520" w:leader="none"/>
        </w:tabs>
        <w:jc w:val="both"/>
        <w:rPr>
          <w:sz w:val="22"/>
          <w:szCs w:val="22"/>
        </w:rPr>
      </w:pPr>
      <w:r>
        <w:rPr>
          <w:sz w:val="22"/>
          <w:szCs w:val="22"/>
        </w:rPr>
        <w:t>В рамках Договора под терминами настоящего Положения «Компания» и «Заказчик» Стороны понимают соответственно Исполнителя и Заказчика.</w:t>
      </w:r>
    </w:p>
    <w:p>
      <w:pPr>
        <w:pStyle w:val="Normal"/>
        <w:spacing w:before="120"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tbl>
      <w:tblPr>
        <w:tblW w:w="79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919"/>
        <w:gridCol w:w="4018"/>
      </w:tblGrid>
      <w:tr>
        <w:trPr>
          <w:trHeight w:val="57" w:hRule="atLeast"/>
        </w:trPr>
        <w:tc>
          <w:tcPr>
            <w:tcW w:w="3919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Исполнитель</w:t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_____________________/</w:t>
            </w:r>
            <w:r>
              <w:rPr/>
              <w:t>_____________</w:t>
            </w:r>
            <w:r>
              <w:rPr/>
              <w:t>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vertAlign w:val="superscript"/>
              </w:rPr>
              <w:t>м.п.</w:t>
            </w:r>
          </w:p>
        </w:tc>
        <w:tc>
          <w:tcPr>
            <w:tcW w:w="4018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Заказчик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должность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_________________/ФИО/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vertAlign w:val="superscript"/>
              </w:rPr>
              <w:t>м.п.</w:t>
            </w:r>
          </w:p>
        </w:tc>
      </w:tr>
    </w:tbl>
    <w:p>
      <w:pPr>
        <w:pStyle w:val="Normal"/>
        <w:jc w:val="center"/>
        <w:rPr>
          <w:strike/>
          <w:sz w:val="22"/>
          <w:szCs w:val="22"/>
        </w:rPr>
      </w:pPr>
      <w:r>
        <w:rPr>
          <w:strike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gutter="0" w:header="0" w:top="851" w:footer="0" w:bottom="306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Arial Black">
    <w:charset w:val="01"/>
    <w:family w:val="roman"/>
    <w:pitch w:val="variable"/>
  </w:font>
  <w:font w:name="Liebherr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4.%1."/>
      <w:lvlJc w:val="left"/>
      <w:pPr>
        <w:tabs>
          <w:tab w:val="num" w:pos="0"/>
        </w:tabs>
        <w:ind w:left="786" w:hanging="360"/>
      </w:pPr>
      <w:rPr>
        <w:rFonts w:ascii="Arial" w:hAnsi="Arial" w:cs="Arial"/>
      </w:rPr>
    </w:lvl>
    <w:lvl w:ilvl="1">
      <w:start w:val="3"/>
      <w:numFmt w:val="bullet"/>
      <w:lvlText w:val="-"/>
      <w:lvlJc w:val="left"/>
      <w:pPr>
        <w:tabs>
          <w:tab w:val="num" w:pos="0"/>
        </w:tabs>
        <w:ind w:left="1495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1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3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5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7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9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1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38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610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db75fd"/>
    <w:pPr>
      <w:keepNext w:val="true"/>
      <w:jc w:val="both"/>
      <w:outlineLvl w:val="0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b75fd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8" w:customStyle="1">
    <w:name w:val="Основной текст Знак"/>
    <w:basedOn w:val="DefaultParagraphFont"/>
    <w:qFormat/>
    <w:rsid w:val="00db75fd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2" w:customStyle="1">
    <w:name w:val="Основной текст 2 Знак"/>
    <w:basedOn w:val="DefaultParagraphFont"/>
    <w:link w:val="BodyText2"/>
    <w:qFormat/>
    <w:rsid w:val="00db75fd"/>
    <w:rPr>
      <w:rFonts w:ascii="Times New Roman" w:hAnsi="Times New Roman" w:eastAsia="Times New Roman" w:cs="Times New Roman"/>
      <w:sz w:val="24"/>
      <w:szCs w:val="20"/>
      <w:lang w:val="x-none" w:eastAsia="x-none"/>
    </w:rPr>
  </w:style>
  <w:style w:type="character" w:styleId="Style9" w:customStyle="1">
    <w:name w:val="Основной текст с отступом Знак"/>
    <w:basedOn w:val="DefaultParagraphFont"/>
    <w:qFormat/>
    <w:rsid w:val="00db75fd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0" w:customStyle="1">
    <w:name w:val="Текст выноски Знак"/>
    <w:basedOn w:val="DefaultParagraphFont"/>
    <w:link w:val="BalloonText"/>
    <w:semiHidden/>
    <w:qFormat/>
    <w:rsid w:val="00db75fd"/>
    <w:rPr>
      <w:rFonts w:ascii="Tahoma" w:hAnsi="Tahoma" w:eastAsia="Times New Roman" w:cs="Tahoma"/>
      <w:sz w:val="16"/>
      <w:szCs w:val="16"/>
      <w:lang w:eastAsia="ru-RU"/>
    </w:rPr>
  </w:style>
  <w:style w:type="character" w:styleId="Style11" w:customStyle="1">
    <w:name w:val="Верхний колонтитул Знак"/>
    <w:basedOn w:val="DefaultParagraphFont"/>
    <w:uiPriority w:val="99"/>
    <w:qFormat/>
    <w:rsid w:val="00db7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sid w:val="00db7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nnotationreference">
    <w:name w:val="annotation reference"/>
    <w:uiPriority w:val="99"/>
    <w:qFormat/>
    <w:rsid w:val="00db75fd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qFormat/>
    <w:rsid w:val="00db75f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Тема примечания Знак"/>
    <w:basedOn w:val="Style13"/>
    <w:link w:val="Annotationsubject"/>
    <w:qFormat/>
    <w:rsid w:val="00db75fd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Style15" w:customStyle="1">
    <w:name w:val="Название Знак"/>
    <w:qFormat/>
    <w:rsid w:val="00db75fd"/>
    <w:rPr>
      <w:b/>
      <w:sz w:val="24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db75f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db75fd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6" w:customStyle="1">
    <w:name w:val="Текст Знак"/>
    <w:basedOn w:val="DefaultParagraphFont"/>
    <w:link w:val="PlainText"/>
    <w:uiPriority w:val="99"/>
    <w:qFormat/>
    <w:rsid w:val="00db75fd"/>
    <w:rPr>
      <w:rFonts w:ascii="Calibri" w:hAnsi="Calibri"/>
      <w:szCs w:val="21"/>
    </w:rPr>
  </w:style>
  <w:style w:type="character" w:styleId="Style17" w:customStyle="1">
    <w:name w:val="Заголовок Знак"/>
    <w:basedOn w:val="DefaultParagraphFont"/>
    <w:qFormat/>
    <w:rsid w:val="00db75fd"/>
    <w:rPr>
      <w:rFonts w:ascii="Calibri Light" w:hAnsi="Calibri Light" w:eastAsia="等线 Light" w:cs="Times New Roman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character" w:styleId="Hyperlink">
    <w:name w:val="Hyperlink"/>
    <w:basedOn w:val="DefaultParagraphFont"/>
    <w:uiPriority w:val="99"/>
    <w:unhideWhenUsed/>
    <w:rsid w:val="00db75fd"/>
    <w:rPr>
      <w:color w:val="0563C1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db75fd"/>
    <w:rPr>
      <w:color w:val="605E5C"/>
      <w:shd w:fill="E1DFDD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8"/>
    <w:rsid w:val="00db75fd"/>
    <w:pPr/>
    <w:rPr>
      <w:sz w:val="24"/>
      <w:lang w:val="x-none" w:eastAsia="x-none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 w:customStyle="1">
    <w:name w:val="Caption"/>
    <w:basedOn w:val="Normal"/>
    <w:qFormat/>
    <w:rsid w:val="00db75fd"/>
    <w:pPr>
      <w:ind w:firstLine="720"/>
      <w:jc w:val="center"/>
    </w:pPr>
    <w:rPr>
      <w:b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BodyText2">
    <w:name w:val="Body Text 2"/>
    <w:basedOn w:val="Normal"/>
    <w:link w:val="2"/>
    <w:qFormat/>
    <w:rsid w:val="00db75fd"/>
    <w:pPr>
      <w:jc w:val="both"/>
    </w:pPr>
    <w:rPr>
      <w:sz w:val="24"/>
      <w:lang w:val="x-none" w:eastAsia="x-none"/>
    </w:rPr>
  </w:style>
  <w:style w:type="paragraph" w:styleId="BodyTextIndent">
    <w:name w:val="Body Text Indent"/>
    <w:basedOn w:val="Normal"/>
    <w:link w:val="Style9"/>
    <w:rsid w:val="00db75fd"/>
    <w:pPr>
      <w:ind w:left="720" w:hanging="0"/>
      <w:jc w:val="both"/>
    </w:pPr>
    <w:rPr>
      <w:sz w:val="24"/>
    </w:rPr>
  </w:style>
  <w:style w:type="paragraph" w:styleId="BalloonText">
    <w:name w:val="Balloon Text"/>
    <w:basedOn w:val="Normal"/>
    <w:link w:val="Style10"/>
    <w:semiHidden/>
    <w:qFormat/>
    <w:rsid w:val="00db75f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1"/>
    <w:uiPriority w:val="99"/>
    <w:rsid w:val="00db75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2"/>
    <w:uiPriority w:val="99"/>
    <w:rsid w:val="00db75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3"/>
    <w:uiPriority w:val="99"/>
    <w:qFormat/>
    <w:rsid w:val="00db75fd"/>
    <w:pPr/>
    <w:rPr/>
  </w:style>
  <w:style w:type="paragraph" w:styleId="Annotationsubject">
    <w:name w:val="annotation subject"/>
    <w:basedOn w:val="Annotationtext"/>
    <w:next w:val="Annotationtext"/>
    <w:link w:val="Style14"/>
    <w:qFormat/>
    <w:rsid w:val="00db75fd"/>
    <w:pPr/>
    <w:rPr>
      <w:b/>
      <w:bCs/>
      <w:lang w:val="x-none" w:eastAsia="x-none"/>
    </w:rPr>
  </w:style>
  <w:style w:type="paragraph" w:styleId="Revision">
    <w:name w:val="Revision"/>
    <w:uiPriority w:val="99"/>
    <w:semiHidden/>
    <w:qFormat/>
    <w:rsid w:val="00db75f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Absatz-Standardschriftar" w:customStyle="1">
    <w:name w:val="Absatz-Standardschriftar"/>
    <w:next w:val="Normal"/>
    <w:qFormat/>
    <w:rsid w:val="00db75fd"/>
    <w:pPr>
      <w:widowControl/>
      <w:bidi w:val="0"/>
      <w:spacing w:lineRule="auto" w:line="240" w:before="12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db75fd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b75fd"/>
    <w:pPr>
      <w:spacing w:lineRule="auto" w:line="276" w:before="0" w:after="200"/>
      <w:ind w:left="720" w:hanging="0"/>
      <w:contextualSpacing/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ConsPlusNormal" w:customStyle="1">
    <w:name w:val="ConsPlusNormal"/>
    <w:qFormat/>
    <w:rsid w:val="00db75f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ru-RU" w:val="ru-RU" w:bidi="ar-SA"/>
    </w:rPr>
  </w:style>
  <w:style w:type="paragraph" w:styleId="Style21" w:customStyle="1">
    <w:name w:val="Стандарт"/>
    <w:qFormat/>
    <w:rsid w:val="00db75fd"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0"/>
      <w:szCs w:val="24"/>
      <w:lang w:val="ru-RU" w:eastAsia="en-US" w:bidi="ar-SA"/>
    </w:rPr>
  </w:style>
  <w:style w:type="paragraph" w:styleId="BodyTextIndent3">
    <w:name w:val="Body Text Indent 3"/>
    <w:basedOn w:val="Normal"/>
    <w:link w:val="3"/>
    <w:qFormat/>
    <w:rsid w:val="00db75fd"/>
    <w:pPr>
      <w:spacing w:before="0" w:after="120"/>
      <w:ind w:left="283" w:hanging="0"/>
    </w:pPr>
    <w:rPr>
      <w:sz w:val="16"/>
      <w:szCs w:val="16"/>
    </w:rPr>
  </w:style>
  <w:style w:type="paragraph" w:styleId="Caption1">
    <w:name w:val="caption1"/>
    <w:basedOn w:val="Normal"/>
    <w:qFormat/>
    <w:rsid w:val="00db75fd"/>
    <w:pPr>
      <w:jc w:val="center"/>
    </w:pPr>
    <w:rPr>
      <w:sz w:val="28"/>
    </w:rPr>
  </w:style>
  <w:style w:type="paragraph" w:styleId="BodyText3">
    <w:name w:val="Body Text 3"/>
    <w:basedOn w:val="Normal"/>
    <w:link w:val="31"/>
    <w:qFormat/>
    <w:rsid w:val="00db75fd"/>
    <w:pPr>
      <w:spacing w:before="0" w:after="120"/>
    </w:pPr>
    <w:rPr>
      <w:sz w:val="16"/>
      <w:szCs w:val="16"/>
    </w:rPr>
  </w:style>
  <w:style w:type="paragraph" w:styleId="PlainText">
    <w:name w:val="Plain Text"/>
    <w:basedOn w:val="Normal"/>
    <w:link w:val="Style16"/>
    <w:uiPriority w:val="99"/>
    <w:unhideWhenUsed/>
    <w:qFormat/>
    <w:rsid w:val="00db75fd"/>
    <w:pPr/>
    <w:rPr>
      <w:rFonts w:ascii="Calibri" w:hAnsi="Calibri" w:eastAsia="Calibri" w:cs="Arial" w:cstheme="minorBidi" w:eastAsiaTheme="minorHAnsi"/>
      <w:sz w:val="22"/>
      <w:szCs w:val="21"/>
      <w:lang w:eastAsia="en-US"/>
    </w:rPr>
  </w:style>
  <w:style w:type="paragraph" w:styleId="Title">
    <w:name w:val="Title"/>
    <w:basedOn w:val="Normal"/>
    <w:next w:val="Normal"/>
    <w:link w:val="Style17"/>
    <w:qFormat/>
    <w:rsid w:val="00db75fd"/>
    <w:pPr>
      <w:spacing w:before="0" w:after="0"/>
      <w:contextualSpacing/>
    </w:pPr>
    <w:rPr>
      <w:rFonts w:ascii="Calibri Light" w:hAnsi="Calibri Light" w:eastAsia="等线 Light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db75fd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rvice.south@tehno-stroy.com" TargetMode="External"/><Relationship Id="rId3" Type="http://schemas.openxmlformats.org/officeDocument/2006/relationships/hyperlink" Target="mailto:service.south@tehno-stroy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7E215-AC23-426B-9B15-DFF0267D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AlterOffice/3.4.0.9$Linux_X86_64 LibreOffice_project/b8daf9e823b1a5463a2f48435ddc2e8696e7d4fc</Application>
  <AppVersion>15.0000</AppVersion>
  <Pages>17</Pages>
  <Words>7377</Words>
  <Characters>55993</Characters>
  <CharactersWithSpaces>63134</CharactersWithSpaces>
  <Paragraphs>565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2024-05-17T08:11:00Z</dcterms:created>
  <dc:creator>Павел Сидоров</dc:creator>
  <dc:description/>
  <dc:language>ru-RU</dc:language>
  <cp:lastModifiedBy>fedorovsa@corp.gidroogk.com</cp:lastModifiedBy>
  <dcterms:modified xsi:type="dcterms:W3CDTF">2025-10-02T13:42:42Z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