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Приложение №3 к Техническим требованиям</w:t>
      </w:r>
    </w:p>
    <w:p>
      <w:pPr>
        <w:pStyle w:val="ListParagraph"/>
        <w:ind w:left="567" w:hanging="0"/>
        <w:jc w:val="center"/>
        <w:rPr>
          <w:rFonts w:ascii="Times New Roman" w:hAnsi="Times New Roman" w:cs="Times New Roman"/>
          <w:b/>
          <w:sz w:val="28"/>
          <w:szCs w:val="28"/>
          <w:lang w:val="en-US" w:eastAsia="x-none"/>
        </w:rPr>
      </w:pPr>
      <w:r>
        <w:rPr>
          <w:rFonts w:cs="Times New Roman" w:ascii="Times New Roman" w:hAnsi="Times New Roman"/>
          <w:b/>
          <w:sz w:val="28"/>
          <w:szCs w:val="28"/>
          <w:lang w:val="en-US" w:eastAsia="x-none"/>
        </w:rPr>
        <w:t>Требования к Участнику закупки</w:t>
      </w:r>
    </w:p>
    <w:p>
      <w:pPr>
        <w:pStyle w:val="ListParagraph"/>
        <w:ind w:left="567" w:hanging="0"/>
        <w:jc w:val="center"/>
        <w:rPr>
          <w:rFonts w:ascii="Times New Roman" w:hAnsi="Times New Roman" w:cs="Times New Roman"/>
          <w:i/>
          <w:i/>
          <w:szCs w:val="20"/>
          <w:lang w:eastAsia="x-none"/>
        </w:rPr>
      </w:pPr>
      <w:r>
        <w:rPr>
          <w:rFonts w:cs="Times New Roman" w:ascii="Times New Roman" w:hAnsi="Times New Roman"/>
          <w:i/>
          <w:szCs w:val="20"/>
          <w:lang w:eastAsia="x-none"/>
        </w:rPr>
      </w:r>
    </w:p>
    <w:p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Cs w:val="20"/>
          <w:lang w:eastAsia="x-none"/>
        </w:rPr>
      </w:pPr>
      <w:r>
        <w:rPr>
          <w:rFonts w:cs="Times New Roman" w:ascii="Times New Roman" w:hAnsi="Times New Roman"/>
          <w:b/>
          <w:szCs w:val="20"/>
          <w:lang w:eastAsia="x-none"/>
        </w:rPr>
        <w:t>Квалификационные требования</w:t>
      </w:r>
    </w:p>
    <w:p>
      <w:pPr>
        <w:pStyle w:val="ListParagraph"/>
        <w:ind w:left="1407" w:hanging="0"/>
        <w:rPr>
          <w:rFonts w:ascii="Times New Roman" w:hAnsi="Times New Roman" w:cs="Times New Roman"/>
          <w:b/>
          <w:szCs w:val="20"/>
          <w:lang w:eastAsia="x-none"/>
        </w:rPr>
      </w:pPr>
      <w:r>
        <w:rPr>
          <w:rFonts w:cs="Times New Roman" w:ascii="Times New Roman" w:hAnsi="Times New Roman"/>
          <w:b/>
          <w:szCs w:val="20"/>
          <w:lang w:eastAsia="x-none"/>
        </w:rPr>
      </w:r>
    </w:p>
    <w:p>
      <w:pPr>
        <w:pStyle w:val="ListParagraph"/>
        <w:ind w:left="567" w:hanging="0"/>
        <w:jc w:val="center"/>
        <w:rPr>
          <w:rFonts w:ascii="Times New Roman" w:hAnsi="Times New Roman" w:cs="Times New Roman"/>
          <w:b/>
          <w:szCs w:val="20"/>
          <w:lang w:eastAsia="x-none"/>
        </w:rPr>
      </w:pPr>
      <w:r>
        <w:rPr>
          <w:rFonts w:cs="Times New Roman" w:ascii="Times New Roman" w:hAnsi="Times New Roman"/>
          <w:b/>
          <w:szCs w:val="20"/>
          <w:lang w:eastAsia="x-none"/>
        </w:rPr>
        <w:t>Таблица 1. Перечень квалификационных требований</w:t>
      </w:r>
    </w:p>
    <w:tbl>
      <w:tblPr>
        <w:tblW w:w="94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1"/>
        <w:gridCol w:w="3258"/>
        <w:gridCol w:w="5674"/>
      </w:tblGrid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</w:rPr>
              <w:t>п/п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Участник</w:t>
            </w:r>
            <w:r>
              <w:rPr>
                <w:rFonts w:cs="Times New Roman" w:ascii="Times New Roman" w:hAnsi="Times New Roman"/>
                <w:b/>
                <w:bCs/>
                <w:lang w:val="en-US"/>
              </w:rPr>
              <w:t>у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9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jc w:val="both"/>
              <w:rPr>
                <w:rFonts w:ascii="Times New Roman" w:hAnsi="Times New Roman" w:eastAsia="Calibri" w:cs="Times New Roman"/>
                <w:i/>
                <w:i/>
                <w:i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iCs/>
                <w:sz w:val="24"/>
                <w:szCs w:val="24"/>
              </w:rPr>
              <w:t xml:space="preserve">требования к 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>опыту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pacing w:before="120" w:after="0"/>
              <w:ind w:left="284" w:hanging="295"/>
              <w:contextualSpacing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jc w:val="both"/>
              <w:rPr>
                <w:rFonts w:ascii="Times New Roman" w:hAnsi="Times New Roman" w:eastAsia="Calibri" w:cs="Times New Roman"/>
                <w:iCs/>
              </w:rPr>
            </w:pPr>
            <w:r>
              <w:rPr>
                <w:rFonts w:eastAsia="Calibri" w:cs="Times New Roman" w:ascii="Times New Roman" w:hAnsi="Times New Roman"/>
              </w:rPr>
              <w:t>Наличие у Участника совокупного опыта (в рамках одного или нескольких договоров) поставки высоковольтного электрооборудования, при этом за последние 5 (пять) лет, предшествующих дате подачи заявки, Участником должны быть исполнены обязательства в совокупном (суммарном) объеме не менее 50 % от размера НМЦ лота, указанной в Извещении.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</w:rPr>
              <w:t>В составе заявки Участник должен предоставить сведения о ранее выполненных договорах по форме «Справка об опыте Участника», приведенной в Документации о закупке (форма 8), с обязательным предоставлением подтверждающих наличие требуемого опыта документов, а именно: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</w:rPr>
              <w:t>копии договоров, подписанных с обеих сторон;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</w:rPr>
              <w:t>копии товарных накладных по форме ТОРГ-12 или УПД (Универсальный передаточный документ), подписанных с обеих сторон, свидетельствующих о выполнении поставок в рамках каждого предоставленного в виде копии договора.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rFonts w:ascii="Times New Roman" w:hAnsi="Times New Roman" w:eastAsia="Calibri" w:cs="Times New Roman"/>
                <w:i/>
                <w:i/>
              </w:rPr>
            </w:pPr>
            <w:r>
              <w:rPr>
                <w:rFonts w:eastAsia="Calibri" w:cs="Times New Roman" w:ascii="Times New Roman" w:hAnsi="Times New Roman"/>
                <w:i/>
              </w:rPr>
              <w:t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</w:t>
            </w:r>
          </w:p>
        </w:tc>
      </w:tr>
      <w:tr>
        <w:trPr/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pacing w:before="120" w:after="0"/>
              <w:ind w:left="284" w:hanging="295"/>
              <w:contextualSpacing/>
              <w:rPr>
                <w:rFonts w:ascii="Times New Roman" w:hAnsi="Times New Roman" w:cs="Times New Roman"/>
                <w:sz w:val="26"/>
              </w:rPr>
            </w:pPr>
            <w:r>
              <w:rPr>
                <w:rFonts w:cs="Times New Roman" w:ascii="Times New Roman" w:hAnsi="Times New Roman"/>
                <w:sz w:val="26"/>
              </w:rPr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1"/>
              <w:widowControl w:val="false"/>
              <w:spacing w:before="40" w:after="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Участник должен иметь отношение к изготовителю предлагаемой продукции, а именно обладать одним из следующих статусов: </w:t>
            </w:r>
          </w:p>
          <w:p>
            <w:pPr>
              <w:pStyle w:val="Style11"/>
              <w:widowControl w:val="false"/>
              <w:numPr>
                <w:ilvl w:val="0"/>
                <w:numId w:val="4"/>
              </w:numPr>
              <w:ind w:left="435" w:right="5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является представителем изготовителя;</w:t>
            </w:r>
          </w:p>
          <w:p>
            <w:pPr>
              <w:pStyle w:val="Style11"/>
              <w:widowControl w:val="false"/>
              <w:numPr>
                <w:ilvl w:val="0"/>
                <w:numId w:val="4"/>
              </w:numPr>
              <w:ind w:left="435" w:right="5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является полномочным представителем изготовителя (дилер);</w:t>
            </w:r>
          </w:p>
          <w:p>
            <w:pPr>
              <w:pStyle w:val="Style11"/>
              <w:widowControl w:val="false"/>
              <w:numPr>
                <w:ilvl w:val="0"/>
                <w:numId w:val="4"/>
              </w:numPr>
              <w:ind w:left="435" w:right="5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является официальным представителем изготовителя;</w:t>
            </w:r>
          </w:p>
          <w:p>
            <w:pPr>
              <w:pStyle w:val="Style11"/>
              <w:widowControl w:val="false"/>
              <w:numPr>
                <w:ilvl w:val="0"/>
                <w:numId w:val="4"/>
              </w:numPr>
              <w:ind w:left="435" w:right="5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является аффилированным изготовителю;</w:t>
            </w:r>
          </w:p>
          <w:p>
            <w:pPr>
              <w:pStyle w:val="Style11"/>
              <w:widowControl w:val="false"/>
              <w:numPr>
                <w:ilvl w:val="0"/>
                <w:numId w:val="4"/>
              </w:numPr>
              <w:ind w:left="435" w:right="57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 является изготовителем.</w:t>
            </w:r>
          </w:p>
          <w:p>
            <w:pPr>
              <w:pStyle w:val="Normal"/>
              <w:widowControl w:val="false"/>
              <w:spacing w:before="60" w:after="16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hd w:val="clear" w:color="auto" w:fill="FFFFFF"/>
              <w:spacing w:before="60" w:after="60"/>
              <w:ind w:right="137" w:hanging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В составе заявки Участник должен предоставить сведения по Форме «Анкета Участника», приведенной в Документации о закупке (форма 6), с обязательным предоставлением подтверждающих документов, указанных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color w:val="000000"/>
              </w:rPr>
              <w:t xml:space="preserve"> в данной форме.</w:t>
            </w:r>
          </w:p>
        </w:tc>
      </w:tr>
    </w:tbl>
    <w:p>
      <w:pPr>
        <w:pStyle w:val="BodyText"/>
        <w:shd w:val="clear" w:color="auto" w:fill="auto"/>
        <w:tabs>
          <w:tab w:val="clear" w:pos="708"/>
          <w:tab w:val="left" w:pos="1153" w:leader="none"/>
        </w:tabs>
        <w:spacing w:lineRule="exact" w:line="322" w:before="0" w:after="0"/>
        <w:ind w:right="200" w:hanging="0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407" w:hanging="84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  <w:rPr/>
    </w:lvl>
  </w:abstractNum>
  <w:abstractNum w:abstractNumId="4">
    <w:lvl w:ilvl="0">
      <w:start w:val="1"/>
      <w:numFmt w:val="russianLower"/>
      <w:lvlText w:val="%1)"/>
      <w:lvlJc w:val="left"/>
      <w:pPr>
        <w:tabs>
          <w:tab w:val="num" w:pos="0"/>
        </w:tabs>
        <w:ind w:left="77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7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  <w:iCs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/>
        <w:iCs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5"/>
    <w:lvlOverride w:ilvl="0">
      <w:startOverride w:val="1"/>
    </w:lvlOverride>
  </w:num>
  <w:num w:numId="8">
    <w:abstractNumId w:val="5"/>
  </w:num>
</w:numbering>
</file>

<file path=word/settings.xml><?xml version="1.0" encoding="utf-8"?>
<w:settings xmlns:w="http://schemas.openxmlformats.org/wordprocessingml/2006/main">
  <w:zoom w:percent="80"/>
  <w:trackRevision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1"/>
    <w:qFormat/>
    <w:rsid w:val="002a41f8"/>
    <w:pPr>
      <w:numPr>
        <w:ilvl w:val="0"/>
      </w:numPr>
      <w:outlineLvl w:val="0"/>
    </w:pPr>
    <w:rPr>
      <w:sz w:val="28"/>
      <w:szCs w:val="28"/>
    </w:rPr>
  </w:style>
  <w:style w:type="paragraph" w:styleId="Heading3">
    <w:name w:val="Heading 3"/>
    <w:basedOn w:val="Normal"/>
    <w:next w:val="Normal"/>
    <w:link w:val="3"/>
    <w:autoRedefine/>
    <w:semiHidden/>
    <w:unhideWhenUsed/>
    <w:qFormat/>
    <w:rsid w:val="002a41f8"/>
    <w:pPr>
      <w:keepNext w:val="true"/>
      <w:numPr>
        <w:ilvl w:val="2"/>
        <w:numId w:val="2"/>
      </w:numPr>
      <w:spacing w:lineRule="auto" w:line="240" w:before="120" w:after="60"/>
      <w:outlineLvl w:val="2"/>
    </w:pPr>
    <w:rPr>
      <w:rFonts w:ascii="Times New Roman" w:hAnsi="Times New Roman" w:eastAsia="Calibri" w:cs="Times New Roman"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semiHidden/>
    <w:unhideWhenUsed/>
    <w:qFormat/>
    <w:rsid w:val="002a41f8"/>
    <w:pPr>
      <w:numPr>
        <w:ilvl w:val="1"/>
      </w:num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Сноска (2)_"/>
    <w:basedOn w:val="DefaultParagraphFont"/>
    <w:link w:val="21"/>
    <w:uiPriority w:val="99"/>
    <w:qFormat/>
    <w:rsid w:val="00f32616"/>
    <w:rPr>
      <w:rFonts w:ascii="Times New Roman" w:hAnsi="Times New Roman" w:cs="Times New Roman"/>
      <w:sz w:val="20"/>
      <w:szCs w:val="20"/>
      <w:shd w:fill="FFFFFF" w:val="clear"/>
    </w:rPr>
  </w:style>
  <w:style w:type="character" w:styleId="1" w:customStyle="1">
    <w:name w:val="Основной текст Знак1"/>
    <w:basedOn w:val="DefaultParagraphFont"/>
    <w:uiPriority w:val="99"/>
    <w:qFormat/>
    <w:rsid w:val="00f32616"/>
    <w:rPr>
      <w:rFonts w:ascii="Times New Roman" w:hAnsi="Times New Roman" w:cs="Times New Roman"/>
      <w:sz w:val="27"/>
      <w:szCs w:val="27"/>
      <w:shd w:fill="FFFFFF" w:val="clear"/>
    </w:rPr>
  </w:style>
  <w:style w:type="character" w:styleId="Style6" w:customStyle="1">
    <w:name w:val="Основной текст Знак"/>
    <w:basedOn w:val="DefaultParagraphFont"/>
    <w:uiPriority w:val="99"/>
    <w:semiHidden/>
    <w:qFormat/>
    <w:rsid w:val="00f32616"/>
    <w:rPr/>
  </w:style>
  <w:style w:type="character" w:styleId="11" w:customStyle="1">
    <w:name w:val="Заголовок 1 Знак"/>
    <w:basedOn w:val="DefaultParagraphFont"/>
    <w:qFormat/>
    <w:rsid w:val="002a41f8"/>
    <w:rPr>
      <w:rFonts w:ascii="Times New Roman" w:hAnsi="Times New Roman" w:eastAsia="Calibri" w:cs="Times New Roman"/>
      <w:sz w:val="28"/>
      <w:szCs w:val="28"/>
      <w:lang w:val="x-none" w:eastAsia="x-none"/>
    </w:rPr>
  </w:style>
  <w:style w:type="character" w:styleId="3" w:customStyle="1">
    <w:name w:val="Заголовок 3 Знак"/>
    <w:basedOn w:val="DefaultParagraphFont"/>
    <w:semiHidden/>
    <w:qFormat/>
    <w:rsid w:val="002a41f8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semiHidden/>
    <w:qFormat/>
    <w:rsid w:val="002a41f8"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Style7" w:customStyle="1">
    <w:name w:val="Абзац списка Знак"/>
    <w:link w:val="ListParagraph"/>
    <w:uiPriority w:val="34"/>
    <w:qFormat/>
    <w:locked/>
    <w:rsid w:val="002a41f8"/>
    <w:rPr>
      <w:rFonts w:ascii="Calibri" w:hAnsi="Calibri" w:eastAsia="Calibri" w:cs="Calibri"/>
      <w:sz w:val="24"/>
      <w:szCs w:val="24"/>
    </w:rPr>
  </w:style>
  <w:style w:type="character" w:styleId="Style8" w:customStyle="1">
    <w:name w:val="комментарий"/>
    <w:qFormat/>
    <w:rsid w:val="002171b6"/>
    <w:rPr>
      <w:b/>
      <w:i/>
      <w:shd w:fill="FFFF99" w:val="clear"/>
    </w:rPr>
  </w:style>
  <w:style w:type="character" w:styleId="LineNumber">
    <w:name w:val="Line Number"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1"/>
    <w:uiPriority w:val="99"/>
    <w:rsid w:val="00f32616"/>
    <w:pPr>
      <w:shd w:val="clear" w:color="auto" w:fill="FFFFFF"/>
      <w:spacing w:lineRule="exact" w:line="317" w:before="480" w:after="300"/>
      <w:jc w:val="both"/>
    </w:pPr>
    <w:rPr>
      <w:rFonts w:ascii="Times New Roman" w:hAnsi="Times New Roman" w:cs="Times New Roman"/>
      <w:sz w:val="27"/>
      <w:szCs w:val="27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/>
  </w:style>
  <w:style w:type="paragraph" w:styleId="21" w:customStyle="1">
    <w:name w:val="Сноска (2)"/>
    <w:basedOn w:val="Normal"/>
    <w:link w:val="2"/>
    <w:uiPriority w:val="99"/>
    <w:qFormat/>
    <w:rsid w:val="00f32616"/>
    <w:pPr>
      <w:shd w:val="clear" w:color="auto" w:fill="FFFFFF"/>
      <w:spacing w:lineRule="atLeast" w:line="240" w:before="0" w:after="0"/>
    </w:pPr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link w:val="Style7"/>
    <w:uiPriority w:val="34"/>
    <w:qFormat/>
    <w:rsid w:val="002a41f8"/>
    <w:pPr>
      <w:spacing w:lineRule="auto" w:line="240" w:before="0" w:after="0"/>
      <w:ind w:left="720" w:hanging="0"/>
      <w:contextualSpacing/>
    </w:pPr>
    <w:rPr>
      <w:rFonts w:ascii="Calibri" w:hAnsi="Calibri" w:eastAsia="Calibri" w:cs="Calibri"/>
      <w:sz w:val="24"/>
      <w:szCs w:val="24"/>
    </w:rPr>
  </w:style>
  <w:style w:type="paragraph" w:styleId="Style11" w:customStyle="1">
    <w:name w:val="Таблица текст"/>
    <w:basedOn w:val="Normal"/>
    <w:qFormat/>
    <w:rsid w:val="002171b6"/>
    <w:pPr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AlterOffice/3.4.0.9$Linux_X86_64 LibreOffice_project/b8daf9e823b1a5463a2f48435ddc2e8696e7d4fc</Application>
  <AppVersion>15.0000</AppVersion>
  <Pages>1</Pages>
  <Words>240</Words>
  <Characters>1702</Characters>
  <CharactersWithSpaces>1915</CharactersWithSpaces>
  <Paragraphs>22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2022-04-19T06:19:00Z</dcterms:created>
  <dc:creator>Камынин Евгений Сергеевич</dc:creator>
  <dc:description/>
  <dc:language>ru-RU</dc:language>
  <cp:lastModifiedBy>vasilievpi@corp.gidroogk.com</cp:lastModifiedBy>
  <dcterms:modified xsi:type="dcterms:W3CDTF">2025-09-03T13:12:08Z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