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color w:val="332E2D"/>
          <w:spacing w:val="2"/>
        </w:rPr>
        <w:t>УТВЕРЖДАЮ</w:t>
      </w:r>
    </w:p>
    <w:p>
      <w:pPr>
        <w:pStyle w:val="111"/>
        <w:spacing w:lineRule="auto" w:line="264"/>
        <w:ind w:left="9020" w:hanging="3350"/>
        <w:rPr>
          <w:color w:val="332E2D"/>
          <w:spacing w:val="2"/>
        </w:rPr>
      </w:pPr>
      <w:r>
        <w:rPr>
          <w:color w:val="332E2D"/>
          <w:spacing w:val="2"/>
        </w:rPr>
        <w:t>Заместитель директора филиала-</w:t>
      </w:r>
    </w:p>
    <w:p>
      <w:pPr>
        <w:pStyle w:val="111"/>
        <w:spacing w:lineRule="auto" w:line="264"/>
        <w:ind w:left="9020" w:hanging="3350"/>
        <w:rPr>
          <w:color w:val="332E2D"/>
          <w:spacing w:val="2"/>
        </w:rPr>
      </w:pPr>
      <w:r>
        <w:rPr>
          <w:color w:val="332E2D"/>
          <w:spacing w:val="2"/>
        </w:rPr>
        <w:t>Главный инженер</w:t>
      </w:r>
    </w:p>
    <w:p>
      <w:pPr>
        <w:pStyle w:val="111"/>
        <w:spacing w:lineRule="auto" w:line="264"/>
        <w:ind w:left="9020" w:hanging="3350"/>
        <w:rPr>
          <w:color w:val="332E2D"/>
          <w:spacing w:val="2"/>
        </w:rPr>
      </w:pPr>
      <w:r>
        <w:rPr>
          <w:color w:val="332E2D"/>
          <w:spacing w:val="2"/>
        </w:rPr>
        <w:t>Волжского филиала</w:t>
      </w:r>
    </w:p>
    <w:p>
      <w:pPr>
        <w:pStyle w:val="111"/>
        <w:spacing w:lineRule="auto" w:line="264"/>
        <w:ind w:left="9020" w:hanging="3350"/>
        <w:rPr>
          <w:color w:val="332E2D"/>
          <w:spacing w:val="2"/>
        </w:rPr>
      </w:pPr>
      <w:r>
        <w:rPr>
          <w:color w:val="332E2D"/>
          <w:spacing w:val="2"/>
        </w:rPr>
        <w:t xml:space="preserve"> </w:t>
      </w:r>
      <w:r>
        <w:rPr>
          <w:color w:val="332E2D"/>
          <w:spacing w:val="2"/>
        </w:rPr>
        <w:t>АО «Гидроремонт-ВКК»</w:t>
      </w:r>
    </w:p>
    <w:p>
      <w:pPr>
        <w:pStyle w:val="111"/>
        <w:spacing w:lineRule="auto" w:line="264"/>
        <w:ind w:left="9020" w:hanging="3350"/>
        <w:rPr>
          <w:color w:val="332E2D"/>
          <w:spacing w:val="2"/>
        </w:rPr>
      </w:pPr>
      <w:r>
        <w:rPr>
          <w:color w:val="332E2D"/>
          <w:spacing w:val="2"/>
        </w:rPr>
        <w:t>в г. Волжский</w:t>
      </w:r>
    </w:p>
    <w:p>
      <w:pPr>
        <w:pStyle w:val="111"/>
        <w:spacing w:lineRule="auto" w:line="264"/>
        <w:ind w:left="9020" w:hanging="3350"/>
        <w:rPr>
          <w:color w:val="332E2D"/>
          <w:spacing w:val="2"/>
        </w:rPr>
      </w:pPr>
      <w:r>
        <w:rPr>
          <w:color w:val="332E2D"/>
          <w:spacing w:val="2"/>
        </w:rPr>
      </w:r>
    </w:p>
    <w:p>
      <w:pPr>
        <w:pStyle w:val="111"/>
        <w:spacing w:lineRule="auto" w:line="264"/>
        <w:ind w:left="9020" w:hanging="5192"/>
        <w:rPr>
          <w:color w:val="332E2D"/>
          <w:spacing w:val="2"/>
        </w:rPr>
      </w:pPr>
      <w:r>
        <w:rPr>
          <w:color w:val="332E2D"/>
          <w:spacing w:val="2"/>
        </w:rPr>
      </w:r>
    </w:p>
    <w:p>
      <w:pPr>
        <w:pStyle w:val="111"/>
        <w:shd w:val="clear" w:color="auto" w:fill="auto"/>
        <w:spacing w:lineRule="auto" w:line="264"/>
        <w:ind w:left="9020" w:hanging="5192"/>
        <w:jc w:val="right"/>
        <w:rPr>
          <w:spacing w:val="2"/>
        </w:rPr>
      </w:pPr>
      <w:r>
        <w:rPr>
          <w:bCs/>
          <w:spacing w:val="2"/>
          <w:sz w:val="24"/>
          <w:szCs w:val="24"/>
        </w:rPr>
        <w:t xml:space="preserve">                              </w:t>
      </w:r>
      <w:r>
        <w:rPr>
          <w:bCs/>
          <w:spacing w:val="2"/>
          <w:sz w:val="24"/>
          <w:szCs w:val="24"/>
        </w:rPr>
        <w:t>«14» августа  2026 г.</w:t>
      </w:r>
    </w:p>
    <w:p>
      <w:pPr>
        <w:pStyle w:val="Normal"/>
        <w:keepNext w:val="true"/>
        <w:keepLines/>
        <w:jc w:val="right"/>
        <w:rPr>
          <w:bCs/>
          <w:sz w:val="24"/>
          <w:szCs w:val="24"/>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0" w:name="_Toc141696704"/>
      <w:bookmarkStart w:id="1" w:name="_Toc137554584"/>
      <w:bookmarkStart w:id="2" w:name="_Toc139856287"/>
      <w:bookmarkStart w:id="3" w:name="_Toc141696704"/>
      <w:bookmarkStart w:id="4" w:name="_Toc137554584"/>
      <w:bookmarkStart w:id="5" w:name="_Toc139856287"/>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98562871"/>
      <w:bookmarkStart w:id="7" w:name="_Toc1416967041"/>
      <w:bookmarkStart w:id="8" w:name="_Toc1375545841"/>
      <w:bookmarkStart w:id="9" w:name="_Toc1398562871"/>
      <w:bookmarkStart w:id="10" w:name="_Toc1416967041"/>
      <w:bookmarkStart w:id="11" w:name="_Toc137554584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pPr>
      <w:r>
        <w:rPr>
          <w:rStyle w:val="Style8"/>
          <w:rFonts w:eastAsia="Calibri" w:cs="Times New Roman"/>
          <w:bCs/>
          <w:i w:val="false"/>
          <w:color w:val="000000"/>
          <w:kern w:val="0"/>
          <w:sz w:val="26"/>
          <w:szCs w:val="26"/>
          <w:shd w:fill="auto" w:val="clear"/>
          <w:lang w:val="ru-RU" w:eastAsia="ru-RU" w:bidi="ar-SA"/>
        </w:rPr>
        <w:t>ОКПД2 26.51.70.190</w:t>
      </w:r>
    </w:p>
    <w:p>
      <w:pPr>
        <w:pStyle w:val="Normal"/>
        <w:widowControl w:val="false"/>
        <w:tabs>
          <w:tab w:val="clear" w:pos="708"/>
          <w:tab w:val="left" w:pos="426" w:leader="none"/>
        </w:tabs>
        <w:spacing w:before="120" w:after="120"/>
        <w:jc w:val="center"/>
        <w:rPr/>
      </w:pPr>
      <w:r>
        <w:rPr>
          <w:rStyle w:val="Style8"/>
          <w:rFonts w:eastAsia="Calibri"/>
          <w:bCs/>
          <w:i w:val="false"/>
          <w:sz w:val="26"/>
          <w:szCs w:val="26"/>
          <w:shd w:fill="auto" w:val="clear"/>
        </w:rPr>
        <w:t>Поставка</w:t>
      </w:r>
      <w:r>
        <w:rPr>
          <w:rStyle w:val="Style8"/>
          <w:rFonts w:eastAsia="Calibri" w:cs="Times New Roman"/>
          <w:bCs/>
          <w:i w:val="false"/>
          <w:color w:val="000000"/>
          <w:kern w:val="0"/>
          <w:sz w:val="26"/>
          <w:szCs w:val="26"/>
          <w:shd w:fill="auto" w:val="clear"/>
          <w:lang w:val="ru-RU" w:eastAsia="ru-RU" w:bidi="ar-SA"/>
        </w:rPr>
        <w:t xml:space="preserve"> Тиристорная система управления ABB  PST210-60070</w:t>
      </w:r>
    </w:p>
    <w:p>
      <w:pPr>
        <w:pStyle w:val="Normal"/>
        <w:widowControl w:val="false"/>
        <w:tabs>
          <w:tab w:val="clear" w:pos="708"/>
          <w:tab w:val="left" w:pos="426" w:leader="none"/>
        </w:tabs>
        <w:spacing w:before="120" w:after="120"/>
        <w:jc w:val="center"/>
        <w:rPr/>
      </w:pPr>
      <w:r>
        <w:rPr>
          <w:rStyle w:val="Style8"/>
          <w:rFonts w:eastAsia="Calibri" w:cs="Times New Roman"/>
          <w:bCs/>
          <w:i w:val="false"/>
          <w:color w:val="000000"/>
          <w:kern w:val="0"/>
          <w:sz w:val="26"/>
          <w:szCs w:val="26"/>
          <w:shd w:fill="auto" w:val="clear"/>
          <w:lang w:val="ru-RU" w:eastAsia="ru-RU" w:bidi="ar-SA"/>
        </w:rPr>
        <w:t xml:space="preserve"> </w:t>
      </w:r>
      <w:r>
        <w:rPr>
          <w:rStyle w:val="Style8"/>
          <w:rFonts w:eastAsia="Calibri" w:cs="Times New Roman"/>
          <w:bCs/>
          <w:i w:val="false"/>
          <w:color w:val="000000"/>
          <w:kern w:val="0"/>
          <w:sz w:val="26"/>
          <w:szCs w:val="26"/>
          <w:shd w:fill="auto" w:val="clear"/>
          <w:lang w:val="ru-RU" w:eastAsia="ru-RU" w:bidi="ar-SA"/>
        </w:rPr>
        <w:t>для нужд Волжского филиала</w:t>
      </w:r>
      <w:r>
        <w:rPr>
          <w:rStyle w:val="Style8"/>
          <w:rFonts w:eastAsia="Calibri" w:cs="Times New Roman"/>
          <w:b/>
          <w:bCs/>
          <w:i w:val="false"/>
          <w:color w:val="000000"/>
          <w:kern w:val="0"/>
          <w:sz w:val="26"/>
          <w:szCs w:val="26"/>
          <w:shd w:fill="auto" w:val="clear"/>
          <w:lang w:val="ru-RU" w:eastAsia="ru-RU" w:bidi="ar-SA"/>
        </w:rPr>
        <w:t xml:space="preserve"> </w:t>
      </w:r>
      <w:r>
        <w:rPr>
          <w:rStyle w:val="Style8"/>
          <w:rFonts w:eastAsia="Calibri" w:cs="Times New Roman"/>
          <w:b/>
          <w:bCs/>
          <w:i w:val="false"/>
          <w:color w:val="000000"/>
          <w:kern w:val="0"/>
          <w:sz w:val="26"/>
          <w:szCs w:val="26"/>
          <w:shd w:fill="auto" w:val="clear"/>
          <w:lang w:val="ru-RU" w:eastAsia="ru-RU" w:bidi="ar-SA"/>
        </w:rPr>
        <w:t>АО «Гидроремонт-ВКК»</w:t>
      </w:r>
    </w:p>
    <w:p>
      <w:pPr>
        <w:pStyle w:val="Normal"/>
        <w:widowControl w:val="false"/>
        <w:tabs>
          <w:tab w:val="clear" w:pos="708"/>
          <w:tab w:val="left" w:pos="426" w:leader="none"/>
        </w:tabs>
        <w:spacing w:before="120" w:after="120"/>
        <w:jc w:val="center"/>
        <w:rPr>
          <w:rStyle w:val="Style8"/>
          <w:rFonts w:ascii="Times New Roman" w:hAnsi="Times New Roman" w:eastAsia="Calibri" w:cs="Times New Roman"/>
          <w:bCs/>
          <w:i w:val="false"/>
          <w:i w:val="false"/>
          <w:color w:val="auto"/>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keepNext w:val="true"/>
        <w:keepLines/>
        <w:jc w:val="center"/>
        <w:rPr>
          <w:rStyle w:val="Style8"/>
          <w:rFonts w:eastAsia="Calibri"/>
          <w:bCs/>
          <w:i w:val="false"/>
          <w:i w:val="false"/>
          <w:color w:val="C9211E"/>
          <w:sz w:val="26"/>
          <w:szCs w:val="26"/>
          <w:shd w:fill="auto" w:val="clear"/>
        </w:rPr>
      </w:pPr>
      <w:r>
        <w:rPr>
          <w:rFonts w:eastAsia="Calibri"/>
          <w:bCs/>
          <w:i w:val="false"/>
          <w:color w:val="C9211E"/>
          <w:sz w:val="26"/>
          <w:szCs w:val="26"/>
          <w:shd w:fill="auto" w:val="clea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Heading4"/>
        <w:numPr>
          <w:ilvl w:val="0"/>
          <w:numId w:val="0"/>
        </w:numPr>
        <w:ind w:left="0" w:hanging="0"/>
        <w:rPr/>
      </w:pPr>
      <w:r>
        <w:rPr/>
      </w:r>
    </w:p>
    <w:p>
      <w:pPr>
        <w:pStyle w:val="Heading4"/>
        <w:numPr>
          <w:ilvl w:val="1"/>
          <w:numId w:val="3"/>
        </w:numPr>
        <w:rPr/>
      </w:pPr>
      <w:bookmarkStart w:id="12" w:name="_Toc184220612"/>
      <w:bookmarkStart w:id="13" w:name="_Toc46743506"/>
      <w:r>
        <w:rPr/>
        <w:t>Наименование закупаемой продукции</w:t>
      </w:r>
      <w:bookmarkEnd w:id="12"/>
      <w:bookmarkEnd w:id="13"/>
    </w:p>
    <w:p>
      <w:pPr>
        <w:pStyle w:val="Normal"/>
        <w:widowControl w:val="false"/>
        <w:tabs>
          <w:tab w:val="clear" w:pos="708"/>
          <w:tab w:val="left" w:pos="426" w:leader="none"/>
        </w:tabs>
        <w:spacing w:before="120" w:after="120"/>
        <w:rPr>
          <w:rStyle w:val="Style8"/>
          <w:b w:val="false"/>
          <w:bCs/>
          <w:sz w:val="24"/>
          <w:szCs w:val="24"/>
        </w:rPr>
      </w:pPr>
      <w:r>
        <w:rPr>
          <w:rFonts w:eastAsia="Calibri"/>
          <w:sz w:val="24"/>
          <w:szCs w:val="24"/>
          <w:lang w:eastAsia="x-none"/>
        </w:rPr>
        <w:t>«ОКПД2</w:t>
      </w:r>
      <w:r>
        <w:rPr>
          <w:rFonts w:eastAsia="Calibri"/>
          <w:color w:val="000000"/>
          <w:sz w:val="24"/>
          <w:szCs w:val="24"/>
          <w:lang w:eastAsia="x-none"/>
        </w:rPr>
        <w:t xml:space="preserve"> </w:t>
      </w:r>
      <w:r>
        <w:rPr>
          <w:rFonts w:eastAsia="Calibri"/>
          <w:b w:val="false"/>
          <w:bCs w:val="false"/>
          <w:color w:val="000000"/>
          <w:sz w:val="24"/>
          <w:szCs w:val="24"/>
          <w:lang w:eastAsia="x-none"/>
        </w:rPr>
        <w:t xml:space="preserve">26. 51. 70. 190 </w:t>
      </w:r>
      <w:r>
        <w:rPr>
          <w:rFonts w:eastAsia="Calibri"/>
          <w:color w:val="000000"/>
          <w:sz w:val="24"/>
          <w:szCs w:val="24"/>
          <w:lang w:eastAsia="x-none"/>
        </w:rPr>
        <w:t>Поставк</w:t>
      </w:r>
      <w:r>
        <w:rPr>
          <w:rFonts w:eastAsia="Calibri"/>
          <w:b w:val="false"/>
          <w:bCs w:val="false"/>
          <w:color w:val="000000"/>
          <w:sz w:val="24"/>
          <w:szCs w:val="24"/>
          <w:lang w:eastAsia="x-none"/>
        </w:rPr>
        <w:t xml:space="preserve">а </w:t>
      </w:r>
      <w:r>
        <w:rPr>
          <w:rStyle w:val="Style8"/>
          <w:rFonts w:eastAsia="Calibri" w:cs="Times New Roman"/>
          <w:b w:val="false"/>
          <w:bCs w:val="false"/>
          <w:i w:val="false"/>
          <w:color w:val="000000"/>
          <w:kern w:val="0"/>
          <w:sz w:val="26"/>
          <w:szCs w:val="26"/>
          <w:shd w:fill="auto" w:val="clear"/>
          <w:lang w:val="ru-RU" w:eastAsia="ru-RU" w:bidi="ar-SA"/>
        </w:rPr>
        <w:t>Тиристорная система управления ABB  PST210-60070</w:t>
      </w:r>
      <w:r>
        <w:rPr>
          <w:rFonts w:eastAsia="Calibri"/>
          <w:b w:val="false"/>
          <w:bCs w:val="false"/>
          <w:sz w:val="24"/>
          <w:szCs w:val="24"/>
          <w:lang w:eastAsia="x-none"/>
        </w:rPr>
        <w:t xml:space="preserve"> для </w:t>
      </w:r>
      <w:r>
        <w:rPr>
          <w:rFonts w:eastAsia="Calibri"/>
          <w:sz w:val="24"/>
          <w:szCs w:val="24"/>
          <w:lang w:eastAsia="x-none"/>
        </w:rPr>
        <w:t>нужд Волжского филиала»  (далее — Продукция)</w:t>
      </w:r>
    </w:p>
    <w:p>
      <w:pPr>
        <w:pStyle w:val="Heading4"/>
        <w:numPr>
          <w:ilvl w:val="1"/>
          <w:numId w:val="3"/>
        </w:numPr>
        <w:spacing w:before="240" w:after="60"/>
        <w:ind w:left="431" w:hanging="431"/>
        <w:rPr/>
      </w:pPr>
      <w:bookmarkStart w:id="14" w:name="_Toc184220613"/>
      <w:bookmarkStart w:id="15" w:name="_Toc46743507"/>
      <w:r>
        <w:rPr/>
        <w:t xml:space="preserve">Цель </w:t>
      </w:r>
      <w:bookmarkEnd w:id="15"/>
      <w:r>
        <w:rPr>
          <w:lang w:val="ru-RU"/>
        </w:rPr>
        <w:t>использования закупаемой продукции:</w:t>
      </w:r>
      <w:bookmarkEnd w:id="14"/>
      <w:r>
        <w:rPr>
          <w:lang w:val="ru-RU"/>
        </w:rPr>
        <w:t xml:space="preserve"> </w:t>
      </w:r>
    </w:p>
    <w:p>
      <w:pPr>
        <w:pStyle w:val="Heading4"/>
        <w:spacing w:before="240" w:after="60"/>
        <w:ind w:left="0" w:hanging="0"/>
        <w:jc w:val="both"/>
        <w:rPr/>
      </w:pPr>
      <w:bookmarkStart w:id="16" w:name="_Toc184220614_Копия_1"/>
      <w:r>
        <w:rPr>
          <w:rStyle w:val="Style8"/>
          <w:b w:val="false"/>
          <w:bCs w:val="false"/>
          <w:i w:val="false"/>
          <w:shd w:fill="auto" w:val="clear"/>
          <w:lang w:val="ru-RU"/>
        </w:rPr>
        <w:t xml:space="preserve">Закупаемая продукция предназначена для выполнения работ на Волжской ГЭС для исполнения </w:t>
      </w:r>
      <w:bookmarkEnd w:id="16"/>
      <w:r>
        <w:rPr>
          <w:rStyle w:val="Style8"/>
          <w:rFonts w:eastAsia="Calibri" w:cs="Times New Roman"/>
          <w:b w:val="false"/>
          <w:bCs w:val="false"/>
          <w:i w:val="false"/>
          <w:color w:val="000000"/>
          <w:kern w:val="0"/>
          <w:sz w:val="24"/>
          <w:szCs w:val="24"/>
          <w:shd w:fill="auto" w:val="clear"/>
          <w:lang w:val="ru-RU" w:eastAsia="x-none" w:bidi="ar-SA"/>
        </w:rPr>
        <w:t xml:space="preserve">Договора № </w:t>
      </w:r>
      <w:bookmarkStart w:id="17" w:name="_Hlk149052456"/>
      <w:r>
        <w:rPr>
          <w:rStyle w:val="Style8"/>
          <w:rFonts w:eastAsia="Calibri" w:cs="Times New Roman"/>
          <w:b w:val="false"/>
          <w:bCs w:val="false"/>
          <w:i w:val="false"/>
          <w:color w:val="000000"/>
          <w:kern w:val="0"/>
          <w:sz w:val="24"/>
          <w:szCs w:val="24"/>
          <w:shd w:fill="auto" w:val="clear"/>
          <w:lang w:val="ru-RU" w:eastAsia="x-none" w:bidi="ar-SA"/>
        </w:rPr>
        <w:t>1050-403-2023/1-ТО-БПД-2024-ВолГЭС</w:t>
      </w:r>
      <w:bookmarkEnd w:id="17"/>
      <w:r>
        <w:rPr>
          <w:rStyle w:val="Style8"/>
          <w:rFonts w:eastAsia="Calibri" w:cs="Times New Roman"/>
          <w:b w:val="false"/>
          <w:bCs w:val="false"/>
          <w:i w:val="false"/>
          <w:color w:val="000000"/>
          <w:kern w:val="0"/>
          <w:sz w:val="24"/>
          <w:szCs w:val="24"/>
          <w:shd w:fill="auto" w:val="clear"/>
          <w:lang w:val="ru-RU" w:eastAsia="x-none" w:bidi="ar-SA"/>
        </w:rPr>
        <w:t xml:space="preserve">  "техническое  обслуживание оборудования, зданий, сооружений филиала ПАО «РусГидро» - «Волжская ГЭС»" заключенный между филиалом ПАО «РусГидро» - Волжская ГЭС» и Волжским филиалом АО «Гидроремонт-ВКК».</w:t>
      </w:r>
    </w:p>
    <w:p>
      <w:pPr>
        <w:pStyle w:val="Heading4"/>
        <w:spacing w:before="240" w:after="60"/>
        <w:ind w:left="0" w:hanging="0"/>
        <w:jc w:val="both"/>
        <w:rPr>
          <w:rStyle w:val="Style8"/>
          <w:b w:val="false"/>
          <w:bCs w:val="false"/>
          <w:i w:val="false"/>
          <w:i w:val="false"/>
          <w:color w:val="000000"/>
          <w:shd w:fill="auto" w:val="clear"/>
          <w:lang w:val="ru-RU"/>
        </w:rPr>
      </w:pPr>
      <w:r>
        <w:rPr>
          <w:b w:val="false"/>
          <w:bCs w:val="false"/>
          <w:i w:val="false"/>
          <w:color w:val="000000"/>
          <w:shd w:fill="auto" w:val="clear"/>
          <w:lang w:val="ru-RU"/>
        </w:rPr>
      </w:r>
    </w:p>
    <w:p>
      <w:pPr>
        <w:pStyle w:val="Heading1"/>
        <w:keepLines/>
        <w:numPr>
          <w:ilvl w:val="0"/>
          <w:numId w:val="3"/>
        </w:numPr>
        <w:ind w:left="357" w:hanging="357"/>
        <w:jc w:val="center"/>
        <w:rPr>
          <w:color w:val="000000"/>
        </w:rPr>
      </w:pPr>
      <w:bookmarkStart w:id="18" w:name="_Toc51339693"/>
      <w:bookmarkStart w:id="19" w:name="_Toc184220615"/>
      <w:bookmarkStart w:id="20" w:name="_Toc46743510"/>
      <w:bookmarkStart w:id="21" w:name="_Toc50125126"/>
      <w:bookmarkEnd w:id="20"/>
      <w:bookmarkEnd w:id="21"/>
      <w:r>
        <w:rPr>
          <w:iCs/>
          <w:color w:val="000000"/>
        </w:rPr>
        <w:t>Требования к продукции</w:t>
      </w:r>
      <w:bookmarkEnd w:id="18"/>
      <w:bookmarkEnd w:id="19"/>
    </w:p>
    <w:p>
      <w:pPr>
        <w:pStyle w:val="Heading4"/>
        <w:numPr>
          <w:ilvl w:val="1"/>
          <w:numId w:val="3"/>
        </w:numPr>
        <w:rPr/>
      </w:pPr>
      <w:bookmarkStart w:id="22" w:name="_Toc184220616"/>
      <w:r>
        <w:rPr/>
        <w:t xml:space="preserve">Требования к объемам и срокам </w:t>
      </w:r>
      <w:r>
        <w:rPr>
          <w:lang w:val="ru-RU"/>
        </w:rPr>
        <w:t>поставки</w:t>
      </w:r>
      <w:bookmarkEnd w:id="22"/>
    </w:p>
    <w:p>
      <w:pPr>
        <w:pStyle w:val="Heading3"/>
        <w:numPr>
          <w:ilvl w:val="2"/>
          <w:numId w:val="3"/>
        </w:numPr>
        <w:rPr/>
      </w:pPr>
      <w:bookmarkStart w:id="23" w:name="_Toc184220617"/>
      <w:r>
        <w:rPr>
          <w:lang w:val="ru-RU"/>
        </w:rPr>
        <w:t>Перечень и объем закупаемой продукции</w:t>
      </w:r>
      <w:bookmarkEnd w:id="23"/>
    </w:p>
    <w:p>
      <w:pPr>
        <w:pStyle w:val="Heading1"/>
        <w:keepLines/>
        <w:tabs>
          <w:tab w:val="clear" w:pos="0"/>
        </w:tabs>
        <w:spacing w:before="240" w:after="60"/>
        <w:ind w:left="0" w:hanging="0"/>
        <w:rPr>
          <w:sz w:val="24"/>
          <w:szCs w:val="24"/>
          <w:lang w:val="ru-RU"/>
        </w:rPr>
      </w:pPr>
      <w:bookmarkStart w:id="24" w:name="_Toc184220618"/>
      <w:bookmarkStart w:id="25"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25"/>
      <w:r>
        <w:rPr>
          <w:sz w:val="24"/>
          <w:szCs w:val="24"/>
          <w:lang w:val="ru-RU"/>
        </w:rPr>
        <w:t>и объем закупаемой продукции</w:t>
      </w:r>
      <w:bookmarkEnd w:id="24"/>
    </w:p>
    <w:tbl>
      <w:tblPr>
        <w:tblW w:w="10007"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778"/>
        <w:gridCol w:w="6541"/>
        <w:gridCol w:w="1365"/>
        <w:gridCol w:w="1322"/>
      </w:tblGrid>
      <w:tr>
        <w:trPr/>
        <w:tc>
          <w:tcPr>
            <w:tcW w:w="77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w:t>
            </w:r>
          </w:p>
          <w:p>
            <w:pPr>
              <w:pStyle w:val="Normal"/>
              <w:keepNext w:val="true"/>
              <w:widowControl w:val="false"/>
              <w:jc w:val="center"/>
              <w:rPr>
                <w:sz w:val="20"/>
                <w:szCs w:val="20"/>
              </w:rPr>
            </w:pPr>
            <w:r>
              <w:rPr>
                <w:sz w:val="20"/>
                <w:szCs w:val="20"/>
              </w:rPr>
              <w:t>п/п</w:t>
            </w:r>
          </w:p>
        </w:tc>
        <w:tc>
          <w:tcPr>
            <w:tcW w:w="654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Наименование продукции</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Ед. изм.</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Кол-во</w:t>
            </w:r>
          </w:p>
        </w:tc>
      </w:tr>
      <w:tr>
        <w:trPr/>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1</w:t>
            </w:r>
          </w:p>
        </w:tc>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3</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4</w:t>
            </w:r>
          </w:p>
        </w:tc>
      </w:tr>
      <w:tr>
        <w:trPr/>
        <w:tc>
          <w:tcPr>
            <w:tcW w:w="778"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jc w:val="center"/>
              <w:rPr/>
            </w:pPr>
            <w:r>
              <w:rPr/>
              <w:t>1</w:t>
            </w:r>
          </w:p>
        </w:tc>
        <w:tc>
          <w:tcPr>
            <w:tcW w:w="65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120" w:after="120"/>
              <w:rPr>
                <w:rStyle w:val="Style8"/>
                <w:b w:val="false"/>
                <w:bCs/>
                <w:sz w:val="24"/>
                <w:szCs w:val="24"/>
              </w:rPr>
            </w:pPr>
            <w:r>
              <w:rPr>
                <w:rFonts w:eastAsia="Times New Roman" w:cs="Times New Roman"/>
                <w:b w:val="false"/>
                <w:i w:val="false"/>
                <w:strike w:val="false"/>
                <w:dstrike w:val="false"/>
                <w:outline w:val="false"/>
                <w:shadow w:val="false"/>
                <w:color w:val="000000"/>
                <w:kern w:val="0"/>
                <w:sz w:val="28"/>
                <w:szCs w:val="24"/>
                <w:u w:val="none"/>
                <w:em w:val="none"/>
                <w:lang w:val="ru-RU" w:eastAsia="ru-RU" w:bidi="ar-SA"/>
              </w:rPr>
              <w:t>Т</w:t>
            </w:r>
            <w:r>
              <w:rPr>
                <w:rFonts w:eastAsia="Calibri" w:cs="Times New Roman"/>
                <w:b w:val="false"/>
                <w:i w:val="false"/>
                <w:strike w:val="false"/>
                <w:dstrike w:val="false"/>
                <w:outline w:val="false"/>
                <w:shadow w:val="false"/>
                <w:color w:val="000000"/>
                <w:kern w:val="0"/>
                <w:sz w:val="28"/>
                <w:szCs w:val="24"/>
                <w:u w:val="none"/>
                <w:em w:val="none"/>
                <w:lang w:val="ru-RU" w:eastAsia="x-none" w:bidi="ar-SA"/>
              </w:rPr>
              <w:t>иристорная система управления ABB  PST210-60070,(либо возможная замена: Pstx210-600-70)</w:t>
            </w:r>
          </w:p>
        </w:tc>
        <w:tc>
          <w:tcPr>
            <w:tcW w:w="1365"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шт</w:t>
            </w:r>
          </w:p>
        </w:tc>
        <w:tc>
          <w:tcPr>
            <w:tcW w:w="1322"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1</w:t>
            </w:r>
          </w:p>
        </w:tc>
      </w:tr>
    </w:tbl>
    <w:p>
      <w:pPr>
        <w:pStyle w:val="Heading3"/>
        <w:numPr>
          <w:ilvl w:val="2"/>
          <w:numId w:val="3"/>
        </w:numPr>
        <w:rPr>
          <w:lang w:val="ru-RU"/>
        </w:rPr>
      </w:pPr>
      <w:bookmarkStart w:id="26" w:name="_Toc184220619"/>
      <w:bookmarkStart w:id="27" w:name="_Toc51339696"/>
      <w:bookmarkStart w:id="28" w:name="_Toc75446577"/>
      <w:bookmarkEnd w:id="28"/>
      <w:r>
        <w:rPr>
          <w:lang w:val="ru-RU"/>
        </w:rPr>
        <w:t xml:space="preserve">Требования </w:t>
      </w:r>
      <w:bookmarkEnd w:id="27"/>
      <w:r>
        <w:rPr>
          <w:lang w:val="ru-RU"/>
        </w:rPr>
        <w:t>к срокам поставки продукции и оказания сопутствующих услуг</w:t>
      </w:r>
      <w:bookmarkEnd w:id="26"/>
    </w:p>
    <w:p>
      <w:pPr>
        <w:pStyle w:val="Heading1"/>
        <w:keepLines/>
        <w:tabs>
          <w:tab w:val="clear" w:pos="0"/>
        </w:tabs>
        <w:spacing w:before="240" w:after="60"/>
        <w:ind w:left="0" w:hanging="0"/>
        <w:rPr>
          <w:sz w:val="24"/>
          <w:szCs w:val="24"/>
          <w:lang w:val="ru-RU"/>
        </w:rPr>
      </w:pPr>
      <w:bookmarkStart w:id="29" w:name="_Toc184220620"/>
      <w:bookmarkStart w:id="30" w:name="_Toc50125127"/>
      <w:bookmarkStart w:id="31" w:name="_Toc51339697"/>
      <w:bookmarkStart w:id="32" w:name="_Toc501251261"/>
      <w:bookmarkEnd w:id="32"/>
      <w:r>
        <w:rPr>
          <w:sz w:val="24"/>
          <w:szCs w:val="24"/>
        </w:rPr>
        <w:t xml:space="preserve">Таблица </w:t>
      </w:r>
      <w:r>
        <w:rPr>
          <w:sz w:val="24"/>
          <w:szCs w:val="24"/>
          <w:lang w:val="ru-RU"/>
        </w:rPr>
        <w:t>2</w:t>
      </w:r>
      <w:r>
        <w:rPr>
          <w:sz w:val="24"/>
          <w:szCs w:val="24"/>
        </w:rPr>
        <w:t>.</w:t>
      </w:r>
      <w:r>
        <w:rPr>
          <w:sz w:val="24"/>
          <w:szCs w:val="24"/>
          <w:lang w:val="ru-RU"/>
        </w:rPr>
        <w:t>1</w:t>
      </w:r>
      <w:r>
        <w:rPr>
          <w:sz w:val="24"/>
          <w:szCs w:val="24"/>
        </w:rPr>
        <w:t xml:space="preserve"> </w:t>
      </w:r>
      <w:bookmarkStart w:id="33" w:name="_Hlk50465284"/>
      <w:r>
        <w:rPr>
          <w:sz w:val="24"/>
          <w:szCs w:val="24"/>
        </w:rPr>
        <w:t xml:space="preserve">Требования по срокам </w:t>
      </w:r>
      <w:bookmarkEnd w:id="30"/>
      <w:bookmarkEnd w:id="31"/>
      <w:bookmarkEnd w:id="33"/>
      <w:r>
        <w:rPr>
          <w:sz w:val="24"/>
          <w:szCs w:val="24"/>
          <w:lang w:val="ru-RU"/>
        </w:rPr>
        <w:t>поставки продукции</w:t>
      </w:r>
      <w:bookmarkEnd w:id="29"/>
      <w:r>
        <w:rPr>
          <w:sz w:val="24"/>
          <w:szCs w:val="24"/>
          <w:lang w:val="ru-RU"/>
        </w:rPr>
        <w:t xml:space="preserve"> </w:t>
      </w:r>
    </w:p>
    <w:tbl>
      <w:tblPr>
        <w:tblW w:w="10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67"/>
        <w:gridCol w:w="5639"/>
        <w:gridCol w:w="1657"/>
        <w:gridCol w:w="1996"/>
      </w:tblGrid>
      <w:tr>
        <w:trPr/>
        <w:tc>
          <w:tcPr>
            <w:tcW w:w="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5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6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19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767"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5639" w:type="dxa"/>
            <w:tcBorders>
              <w:left w:val="single" w:sz="4" w:space="0" w:color="000000"/>
              <w:bottom w:val="single" w:sz="4" w:space="0" w:color="000000"/>
              <w:right w:val="single" w:sz="4" w:space="0" w:color="000000"/>
            </w:tcBorders>
            <w:shd w:color="auto" w:fill="auto" w:val="clear"/>
          </w:tcPr>
          <w:p>
            <w:pPr>
              <w:pStyle w:val="Normal"/>
              <w:widowControl w:val="false"/>
              <w:bidi w:val="0"/>
              <w:jc w:val="left"/>
              <w:rPr>
                <w:rFonts w:ascii="Times New Roman" w:hAnsi="Times New Roman"/>
                <w:b w:val="false"/>
                <w:i w:val="false"/>
                <w:i w:val="false"/>
                <w:strike w:val="false"/>
                <w:dstrike w:val="false"/>
                <w:outline w:val="false"/>
                <w:shadow w:val="false"/>
                <w:color w:val="000000"/>
                <w:sz w:val="19"/>
                <w:u w:val="none"/>
                <w:em w:val="none"/>
              </w:rPr>
            </w:pPr>
            <w:r>
              <w:rPr>
                <w:rFonts w:eastAsia="Times New Roman" w:cs="Times New Roman"/>
                <w:b w:val="false"/>
                <w:i w:val="false"/>
                <w:strike w:val="false"/>
                <w:dstrike w:val="false"/>
                <w:outline w:val="false"/>
                <w:shadow w:val="false"/>
                <w:color w:val="000000"/>
                <w:kern w:val="0"/>
                <w:sz w:val="28"/>
                <w:szCs w:val="24"/>
                <w:u w:val="none"/>
                <w:em w:val="none"/>
                <w:lang w:val="ru-RU" w:eastAsia="ru-RU" w:bidi="ar-SA"/>
              </w:rPr>
              <w:t>Т</w:t>
            </w:r>
            <w:r>
              <w:rPr>
                <w:b w:val="false"/>
                <w:i w:val="false"/>
                <w:strike w:val="false"/>
                <w:dstrike w:val="false"/>
                <w:outline w:val="false"/>
                <w:shadow w:val="false"/>
                <w:color w:val="000000"/>
                <w:sz w:val="28"/>
                <w:u w:val="none"/>
                <w:em w:val="none"/>
              </w:rPr>
              <w:t>иристорная система управления ABB  PST210-60070,(</w:t>
            </w:r>
            <w:r>
              <w:rPr>
                <w:b w:val="false"/>
                <w:i w:val="false"/>
                <w:strike w:val="false"/>
                <w:dstrike w:val="false"/>
                <w:outline w:val="false"/>
                <w:shadow w:val="false"/>
                <w:sz w:val="28"/>
                <w:u w:val="none"/>
                <w:em w:val="none"/>
              </w:rPr>
              <w:t>либо возможная замена: Pstx210-600-70)</w:t>
            </w:r>
          </w:p>
        </w:tc>
        <w:tc>
          <w:tcPr>
            <w:tcW w:w="165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1996"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Не позднее 31</w:t>
            </w:r>
            <w:r>
              <w:rPr>
                <w:color w:val="C9211E"/>
                <w:sz w:val="24"/>
                <w:szCs w:val="24"/>
              </w:rPr>
              <w:t>.</w:t>
            </w:r>
            <w:r>
              <w:rPr>
                <w:color w:val="000000"/>
                <w:sz w:val="24"/>
                <w:szCs w:val="24"/>
              </w:rPr>
              <w:t>10.2026г.</w:t>
            </w:r>
          </w:p>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r>
          </w:p>
        </w:tc>
      </w:tr>
      <w:tr>
        <w:trPr/>
        <w:tc>
          <w:tcPr>
            <w:tcW w:w="10059" w:type="dxa"/>
            <w:gridSpan w:val="4"/>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*сроки установлены согласно требованиям договора подряда указанного в п.1.3</w:t>
            </w:r>
          </w:p>
        </w:tc>
      </w:tr>
    </w:tbl>
    <w:p>
      <w:pPr>
        <w:pStyle w:val="Heading4"/>
        <w:numPr>
          <w:ilvl w:val="1"/>
          <w:numId w:val="3"/>
        </w:numPr>
        <w:rPr/>
      </w:pPr>
      <w:bookmarkStart w:id="34" w:name="_Toc184220621"/>
      <w:bookmarkStart w:id="35" w:name="_Toc46743511"/>
      <w:bookmarkStart w:id="36" w:name="_Toc75446580"/>
      <w:bookmarkEnd w:id="36"/>
      <w:r>
        <w:rPr/>
        <w:t xml:space="preserve">Требования к </w:t>
      </w:r>
      <w:bookmarkEnd w:id="35"/>
      <w:r>
        <w:rPr>
          <w:lang w:val="ru-RU"/>
        </w:rPr>
        <w:t>качеству продукции</w:t>
      </w:r>
      <w:bookmarkEnd w:id="34"/>
    </w:p>
    <w:p>
      <w:pPr>
        <w:pStyle w:val="Heading1"/>
        <w:keepLines/>
        <w:tabs>
          <w:tab w:val="clear" w:pos="0"/>
        </w:tabs>
        <w:spacing w:before="240" w:after="60"/>
        <w:ind w:left="0" w:hanging="0"/>
        <w:rPr>
          <w:sz w:val="24"/>
          <w:szCs w:val="24"/>
        </w:rPr>
      </w:pPr>
      <w:r>
        <w:rPr>
          <w:sz w:val="24"/>
          <w:szCs w:val="24"/>
        </w:rPr>
        <w:t xml:space="preserve"> </w:t>
      </w:r>
    </w:p>
    <w:p>
      <w:pPr>
        <w:pStyle w:val="Heading1"/>
        <w:tabs>
          <w:tab w:val="clear" w:pos="0"/>
        </w:tabs>
        <w:spacing w:before="240" w:after="60"/>
        <w:ind w:left="0" w:hanging="0"/>
        <w:rPr>
          <w:sz w:val="24"/>
          <w:szCs w:val="24"/>
        </w:rPr>
      </w:pPr>
      <w:r>
        <w:rPr>
          <w:sz w:val="24"/>
          <w:szCs w:val="24"/>
        </w:rPr>
      </w:r>
    </w:p>
    <w:p>
      <w:pPr>
        <w:pStyle w:val="Heading1"/>
        <w:tabs>
          <w:tab w:val="clear" w:pos="0"/>
        </w:tabs>
        <w:spacing w:before="240" w:after="60"/>
        <w:ind w:left="0" w:hanging="0"/>
        <w:rPr>
          <w:sz w:val="24"/>
          <w:szCs w:val="24"/>
        </w:rPr>
      </w:pPr>
      <w:r>
        <w:rPr>
          <w:sz w:val="24"/>
          <w:szCs w:val="24"/>
        </w:rPr>
      </w:r>
    </w:p>
    <w:p>
      <w:pPr>
        <w:pStyle w:val="Normal"/>
        <w:tabs>
          <w:tab w:val="clear" w:pos="708"/>
        </w:tabs>
        <w:spacing w:before="240" w:after="60"/>
        <w:ind w:left="0" w:hanging="0"/>
        <w:rPr>
          <w:sz w:val="24"/>
          <w:szCs w:val="24"/>
        </w:rPr>
      </w:pPr>
      <w:r>
        <w:rPr>
          <w:sz w:val="24"/>
          <w:szCs w:val="24"/>
        </w:rPr>
      </w:r>
    </w:p>
    <w:p>
      <w:pPr>
        <w:pStyle w:val="Normal"/>
        <w:tabs>
          <w:tab w:val="clear" w:pos="708"/>
        </w:tabs>
        <w:spacing w:before="240" w:after="60"/>
        <w:ind w:left="0" w:hanging="0"/>
        <w:rPr>
          <w:sz w:val="24"/>
          <w:szCs w:val="24"/>
        </w:rPr>
      </w:pPr>
      <w:r>
        <w:rPr>
          <w:sz w:val="24"/>
          <w:szCs w:val="24"/>
        </w:rPr>
      </w:r>
    </w:p>
    <w:p>
      <w:pPr>
        <w:pStyle w:val="Heading1"/>
        <w:tabs>
          <w:tab w:val="clear" w:pos="0"/>
        </w:tabs>
        <w:spacing w:before="240" w:after="60"/>
        <w:ind w:left="0" w:hanging="0"/>
        <w:rPr>
          <w:sz w:val="24"/>
          <w:szCs w:val="24"/>
        </w:rPr>
      </w:pPr>
      <w:bookmarkStart w:id="37" w:name="_Toc184220622"/>
      <w:r>
        <w:rPr>
          <w:sz w:val="24"/>
          <w:szCs w:val="24"/>
        </w:rPr>
        <w:t>Таблица </w:t>
      </w:r>
      <w:r>
        <w:rPr>
          <w:sz w:val="24"/>
          <w:szCs w:val="24"/>
          <w:lang w:val="ru-RU"/>
        </w:rPr>
        <w:t>3</w:t>
      </w:r>
      <w:r>
        <w:rPr>
          <w:sz w:val="24"/>
          <w:szCs w:val="24"/>
        </w:rPr>
        <w:t xml:space="preserve">. Требования к </w:t>
      </w:r>
      <w:r>
        <w:rPr>
          <w:sz w:val="24"/>
          <w:szCs w:val="24"/>
          <w:lang w:val="ru-RU"/>
        </w:rPr>
        <w:t>продукции</w:t>
      </w:r>
      <w:bookmarkEnd w:id="37"/>
      <w:r>
        <w:rPr>
          <w:sz w:val="24"/>
          <w:szCs w:val="24"/>
        </w:rPr>
        <w:t xml:space="preserve"> </w:t>
      </w:r>
    </w:p>
    <w:p>
      <w:pPr>
        <w:pStyle w:val="Normal"/>
        <w:jc w:val="both"/>
        <w:rPr>
          <w:sz w:val="24"/>
          <w:szCs w:val="24"/>
        </w:rPr>
      </w:pPr>
      <w:r>
        <w:rPr>
          <w:b/>
          <w:bCs/>
          <w:sz w:val="24"/>
          <w:szCs w:val="24"/>
        </w:rPr>
        <w:t>Наименование продукции: позиция №</w:t>
      </w:r>
      <w:r>
        <w:rPr>
          <w:rStyle w:val="Style8"/>
          <w:b w:val="false"/>
          <w:bCs/>
          <w:i w:val="false"/>
          <w:sz w:val="24"/>
          <w:szCs w:val="24"/>
          <w:shd w:fill="auto" w:val="clear"/>
        </w:rPr>
        <w:t xml:space="preserve"> </w:t>
      </w:r>
      <w:r>
        <w:rPr>
          <w:rStyle w:val="Style8"/>
          <w:bCs/>
          <w:i w:val="false"/>
          <w:sz w:val="24"/>
          <w:szCs w:val="24"/>
          <w:shd w:fill="auto" w:val="clear"/>
        </w:rPr>
        <w:t>1-3</w:t>
      </w:r>
      <w:r>
        <w:rPr>
          <w:rStyle w:val="Style8"/>
          <w:b w:val="false"/>
          <w:bCs/>
          <w:i w:val="false"/>
          <w:sz w:val="24"/>
          <w:szCs w:val="24"/>
          <w:shd w:fill="auto" w:val="clear"/>
        </w:rPr>
        <w:t xml:space="preserve"> </w:t>
      </w:r>
      <w:r>
        <w:rPr>
          <w:b/>
          <w:bCs/>
          <w:sz w:val="24"/>
          <w:szCs w:val="24"/>
        </w:rPr>
        <w:t xml:space="preserve">Таблицы 1.1: </w:t>
      </w:r>
      <w:bookmarkStart w:id="38" w:name="_GoBack"/>
      <w:bookmarkEnd w:id="38"/>
    </w:p>
    <w:tbl>
      <w:tblPr>
        <w:tblStyle w:val="affff6"/>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37"/>
        <w:gridCol w:w="5103"/>
        <w:gridCol w:w="4095"/>
      </w:tblGrid>
      <w:tr>
        <w:trPr/>
        <w:tc>
          <w:tcPr>
            <w:tcW w:w="837"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095"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37"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095"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35"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35" w:type="dxa"/>
            <w:gridSpan w:val="3"/>
            <w:tcBorders/>
            <w:vAlign w:val="center"/>
          </w:tcPr>
          <w:p>
            <w:pPr>
              <w:pStyle w:val="Normal"/>
              <w:widowControl w:val="false"/>
              <w:suppressAutoHyphens w:val="true"/>
              <w:spacing w:before="0" w:after="0"/>
              <w:jc w:val="both"/>
              <w:rPr>
                <w:b/>
                <w:sz w:val="24"/>
                <w:szCs w:val="24"/>
                <w:lang w:val="en-US"/>
              </w:rPr>
            </w:pPr>
            <w:r>
              <w:rPr>
                <w:rFonts w:eastAsia="Times New Roman" w:cs="Times New Roman"/>
                <w:b/>
                <w:kern w:val="0"/>
                <w:sz w:val="24"/>
                <w:szCs w:val="24"/>
                <w:lang w:val="en-US" w:eastAsia="ru-RU" w:bidi="ar-SA"/>
              </w:rPr>
              <w:t>1.</w:t>
            </w:r>
            <w:r>
              <w:rPr>
                <w:rFonts w:eastAsia="Times New Roman" w:cs="Times New Roman"/>
                <w:kern w:val="0"/>
                <w:lang w:val="en-US" w:eastAsia="ru-RU" w:bidi="ar-SA"/>
              </w:rPr>
              <w:t xml:space="preserve">  </w:t>
            </w:r>
            <w:r>
              <w:rPr>
                <w:rFonts w:eastAsia="Times New Roman" w:cs="Times New Roman"/>
                <w:b w:val="false"/>
                <w:i w:val="false"/>
                <w:strike w:val="false"/>
                <w:dstrike w:val="false"/>
                <w:outline w:val="false"/>
                <w:shadow w:val="false"/>
                <w:color w:val="000000"/>
                <w:kern w:val="0"/>
                <w:sz w:val="28"/>
                <w:szCs w:val="24"/>
                <w:u w:val="none"/>
                <w:em w:val="none"/>
                <w:lang w:val="ru-RU" w:eastAsia="ru-RU" w:bidi="ar-SA"/>
              </w:rPr>
              <w:t>Т</w:t>
            </w:r>
            <w:r>
              <w:rPr>
                <w:rFonts w:eastAsia="Times New Roman" w:cs="Times New Roman"/>
                <w:b w:val="false"/>
                <w:i w:val="false"/>
                <w:strike w:val="false"/>
                <w:dstrike w:val="false"/>
                <w:outline w:val="false"/>
                <w:shadow w:val="false"/>
                <w:color w:val="000000"/>
                <w:kern w:val="0"/>
                <w:sz w:val="28"/>
                <w:u w:val="none"/>
                <w:em w:val="none"/>
                <w:lang w:val="en-US" w:eastAsia="ru-RU" w:bidi="ar-SA"/>
              </w:rPr>
              <w:t>иристорная система управления ABB  PST210-60070, (</w:t>
            </w:r>
            <w:r>
              <w:rPr>
                <w:rFonts w:eastAsia="Times New Roman" w:cs="Times New Roman"/>
                <w:b w:val="false"/>
                <w:i w:val="false"/>
                <w:strike w:val="false"/>
                <w:dstrike w:val="false"/>
                <w:outline w:val="false"/>
                <w:shadow w:val="false"/>
                <w:kern w:val="0"/>
                <w:sz w:val="28"/>
                <w:u w:val="none"/>
                <w:em w:val="none"/>
                <w:lang w:val="en-US" w:eastAsia="ru-RU" w:bidi="ar-SA"/>
              </w:rPr>
              <w:t>либо возможная замена: Pstx210-600-70)</w:t>
            </w:r>
          </w:p>
        </w:tc>
      </w:tr>
      <w:tr>
        <w:trPr/>
        <w:tc>
          <w:tcPr>
            <w:tcW w:w="837" w:type="dxa"/>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w:t>
            </w:r>
          </w:p>
        </w:tc>
        <w:tc>
          <w:tcPr>
            <w:tcW w:w="5103" w:type="dxa"/>
            <w:tcBorders/>
            <w:shd w:color="auto" w:fill="auto" w:val="clear"/>
          </w:tcPr>
          <w:p>
            <w:pPr>
              <w:pStyle w:val="Style34"/>
              <w:widowControl w:val="false"/>
              <w:suppressAutoHyphens w:val="true"/>
              <w:spacing w:before="0" w:after="200"/>
              <w:jc w:val="left"/>
              <w:rPr>
                <w:rFonts w:ascii="Times New Roman" w:hAnsi="Times New Roman"/>
                <w:b w:val="false"/>
                <w:i w:val="false"/>
                <w:i w:val="false"/>
                <w:caps w:val="false"/>
                <w:smallCaps w:val="false"/>
                <w:color w:val="778296"/>
                <w:spacing w:val="0"/>
                <w:sz w:val="24"/>
                <w:szCs w:val="24"/>
              </w:rPr>
            </w:pPr>
            <w:r>
              <w:rPr>
                <w:rFonts w:eastAsia="Times New Roman" w:cs="Times New Roman"/>
                <w:b w:val="false"/>
                <w:bCs/>
                <w:i w:val="false"/>
                <w:caps w:val="false"/>
                <w:smallCaps w:val="false"/>
                <w:color w:val="auto"/>
                <w:spacing w:val="0"/>
                <w:kern w:val="0"/>
                <w:sz w:val="24"/>
                <w:szCs w:val="24"/>
                <w:lang w:val="ru-RU" w:eastAsia="ru-RU" w:bidi="ar-SA"/>
              </w:rPr>
              <w:t>Номинальная мощность электродвигателя, КВт</w:t>
            </w:r>
          </w:p>
        </w:tc>
        <w:tc>
          <w:tcPr>
            <w:tcW w:w="4095" w:type="dxa"/>
            <w:tcBorders/>
            <w:shd w:color="auto" w:fill="auto" w:val="clear"/>
          </w:tcPr>
          <w:p>
            <w:pPr>
              <w:pStyle w:val="Style34"/>
              <w:widowControl w:val="false"/>
              <w:suppressAutoHyphens w:val="true"/>
              <w:spacing w:before="0" w:after="200"/>
              <w:jc w:val="left"/>
              <w:rPr>
                <w:rFonts w:ascii="Times New Roman" w:hAnsi="Times New Roman"/>
                <w:sz w:val="24"/>
                <w:szCs w:val="24"/>
              </w:rPr>
            </w:pPr>
            <w:r>
              <w:rPr>
                <w:rFonts w:eastAsia="Times New Roman" w:cs="Times New Roman"/>
                <w:bCs/>
                <w:color w:val="auto"/>
                <w:kern w:val="0"/>
                <w:sz w:val="24"/>
                <w:szCs w:val="24"/>
                <w:lang w:val="ru-RU" w:eastAsia="ru-RU" w:bidi="ar-SA"/>
              </w:rPr>
              <w:t>110</w:t>
            </w:r>
          </w:p>
        </w:tc>
      </w:tr>
      <w:tr>
        <w:trPr/>
        <w:tc>
          <w:tcPr>
            <w:tcW w:w="837" w:type="dxa"/>
            <w:tcBorders>
              <w:top w:val="nil"/>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1.11</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b w:val="false"/>
                <w:i w:val="false"/>
                <w:i w:val="false"/>
                <w:caps w:val="false"/>
                <w:smallCaps w:val="false"/>
                <w:color w:val="778296"/>
                <w:spacing w:val="0"/>
                <w:sz w:val="24"/>
                <w:szCs w:val="24"/>
              </w:rPr>
            </w:pPr>
            <w:r>
              <w:rPr>
                <w:rFonts w:eastAsia="Times New Roman" w:cs="Times New Roman"/>
                <w:b w:val="false"/>
                <w:bCs/>
                <w:i w:val="false"/>
                <w:caps w:val="false"/>
                <w:smallCaps w:val="false"/>
                <w:color w:val="auto"/>
                <w:spacing w:val="0"/>
                <w:kern w:val="0"/>
                <w:sz w:val="24"/>
                <w:szCs w:val="24"/>
                <w:lang w:val="ru-RU" w:eastAsia="ru-RU" w:bidi="ar-SA"/>
              </w:rPr>
              <w:t>Количество фаз</w:t>
            </w:r>
          </w:p>
        </w:tc>
        <w:tc>
          <w:tcPr>
            <w:tcW w:w="4095" w:type="dxa"/>
            <w:tcBorders>
              <w:top w:val="nil"/>
            </w:tcBorders>
            <w:shd w:color="auto" w:fill="auto" w:val="clear"/>
          </w:tcPr>
          <w:p>
            <w:pPr>
              <w:pStyle w:val="Style34"/>
              <w:widowControl w:val="false"/>
              <w:suppressAutoHyphens w:val="true"/>
              <w:spacing w:before="0" w:after="200"/>
              <w:jc w:val="left"/>
              <w:rPr>
                <w:rFonts w:ascii="Times New Roman" w:hAnsi="Times New Roman"/>
                <w:sz w:val="24"/>
                <w:szCs w:val="24"/>
              </w:rPr>
            </w:pPr>
            <w:r>
              <w:rPr>
                <w:rFonts w:eastAsia="Times New Roman" w:cs="Times New Roman"/>
                <w:bCs/>
                <w:color w:val="auto"/>
                <w:kern w:val="0"/>
                <w:sz w:val="24"/>
                <w:szCs w:val="24"/>
                <w:lang w:val="ru-RU" w:eastAsia="ru-RU" w:bidi="ar-SA"/>
              </w:rPr>
              <w:t>3</w:t>
            </w:r>
          </w:p>
        </w:tc>
      </w:tr>
      <w:tr>
        <w:trPr/>
        <w:tc>
          <w:tcPr>
            <w:tcW w:w="837" w:type="dxa"/>
            <w:tcBorders>
              <w:top w:val="nil"/>
            </w:tcBorders>
            <w:vAlign w:val="center"/>
          </w:tcPr>
          <w:p>
            <w:pPr>
              <w:pStyle w:val="Normal"/>
              <w:widowControl w:val="false"/>
              <w:suppressAutoHyphens w:val="true"/>
              <w:spacing w:before="0" w:after="200"/>
              <w:jc w:val="both"/>
              <w:rPr>
                <w:rFonts w:ascii="Times New Roman" w:hAnsi="Times New Roman" w:eastAsia="Calibri" w:cs="Times New Roman"/>
                <w:color w:val="auto"/>
                <w:kern w:val="0"/>
                <w:sz w:val="24"/>
                <w:szCs w:val="24"/>
                <w:lang w:val="ru-RU" w:eastAsia="ru-RU" w:bidi="ar-SA"/>
              </w:rPr>
            </w:pPr>
            <w:r>
              <w:rPr>
                <w:rFonts w:eastAsia="Calibri" w:cs="Times New Roman"/>
                <w:color w:val="auto"/>
                <w:kern w:val="0"/>
                <w:sz w:val="24"/>
                <w:szCs w:val="24"/>
                <w:lang w:val="ru-RU" w:eastAsia="ru-RU" w:bidi="ar-SA"/>
              </w:rPr>
              <w:t>1.12</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b w:val="false"/>
                <w:i w:val="false"/>
                <w:i w:val="false"/>
                <w:caps w:val="false"/>
                <w:smallCaps w:val="false"/>
                <w:color w:val="778296"/>
                <w:spacing w:val="0"/>
                <w:sz w:val="24"/>
                <w:szCs w:val="24"/>
              </w:rPr>
            </w:pPr>
            <w:r>
              <w:rPr>
                <w:rFonts w:eastAsia="Times New Roman" w:cs="Times New Roman"/>
                <w:b w:val="false"/>
                <w:bCs/>
                <w:i w:val="false"/>
                <w:caps w:val="false"/>
                <w:smallCaps w:val="false"/>
                <w:color w:val="auto"/>
                <w:spacing w:val="0"/>
                <w:kern w:val="0"/>
                <w:sz w:val="24"/>
                <w:szCs w:val="24"/>
                <w:lang w:val="ru-RU" w:eastAsia="ru-RU" w:bidi="ar-SA"/>
              </w:rPr>
              <w:t>Напряжение, В</w:t>
            </w:r>
          </w:p>
        </w:tc>
        <w:tc>
          <w:tcPr>
            <w:tcW w:w="4095" w:type="dxa"/>
            <w:tcBorders>
              <w:top w:val="nil"/>
            </w:tcBorders>
            <w:shd w:color="auto" w:fill="auto" w:val="clear"/>
          </w:tcPr>
          <w:p>
            <w:pPr>
              <w:pStyle w:val="Style34"/>
              <w:widowControl w:val="false"/>
              <w:suppressAutoHyphens w:val="true"/>
              <w:spacing w:before="0" w:after="200"/>
              <w:jc w:val="left"/>
              <w:rPr>
                <w:rFonts w:ascii="Times New Roman" w:hAnsi="Times New Roman"/>
                <w:sz w:val="24"/>
                <w:szCs w:val="24"/>
              </w:rPr>
            </w:pPr>
            <w:r>
              <w:rPr>
                <w:rFonts w:eastAsia="Times New Roman" w:cs="Times New Roman"/>
                <w:bCs/>
                <w:color w:val="auto"/>
                <w:kern w:val="0"/>
                <w:sz w:val="24"/>
                <w:szCs w:val="24"/>
                <w:lang w:val="ru-RU" w:eastAsia="ru-RU" w:bidi="ar-SA"/>
              </w:rPr>
              <w:t>380</w:t>
            </w:r>
          </w:p>
        </w:tc>
      </w:tr>
      <w:tr>
        <w:trPr/>
        <w:tc>
          <w:tcPr>
            <w:tcW w:w="837" w:type="dxa"/>
            <w:tcBorders>
              <w:top w:val="nil"/>
            </w:tcBorders>
            <w:vAlign w:val="center"/>
          </w:tcPr>
          <w:p>
            <w:pPr>
              <w:pStyle w:val="Normal"/>
              <w:widowControl w:val="false"/>
              <w:suppressAutoHyphens w:val="true"/>
              <w:spacing w:before="0" w:after="200"/>
              <w:jc w:val="both"/>
              <w:rPr>
                <w:sz w:val="24"/>
                <w:szCs w:val="24"/>
              </w:rPr>
            </w:pPr>
            <w:r>
              <w:rPr>
                <w:sz w:val="24"/>
                <w:szCs w:val="24"/>
              </w:rPr>
              <w:t>1.13</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b w:val="false"/>
                <w:i w:val="false"/>
                <w:i w:val="false"/>
                <w:caps w:val="false"/>
                <w:smallCaps w:val="false"/>
                <w:color w:val="778296"/>
                <w:spacing w:val="0"/>
                <w:sz w:val="24"/>
                <w:szCs w:val="24"/>
              </w:rPr>
            </w:pPr>
            <w:r>
              <w:rPr>
                <w:rFonts w:eastAsia="Times New Roman" w:cs="Times New Roman"/>
                <w:b w:val="false"/>
                <w:bCs/>
                <w:i w:val="false"/>
                <w:caps w:val="false"/>
                <w:smallCaps w:val="false"/>
                <w:color w:val="auto"/>
                <w:spacing w:val="0"/>
                <w:kern w:val="0"/>
                <w:sz w:val="24"/>
                <w:szCs w:val="24"/>
                <w:lang w:val="ru-RU" w:eastAsia="ru-RU" w:bidi="ar-SA"/>
              </w:rPr>
              <w:t>Номинальный ток, А</w:t>
            </w:r>
          </w:p>
        </w:tc>
        <w:tc>
          <w:tcPr>
            <w:tcW w:w="4095" w:type="dxa"/>
            <w:tcBorders>
              <w:top w:val="nil"/>
            </w:tcBorders>
            <w:shd w:color="auto" w:fill="auto" w:val="clear"/>
          </w:tcPr>
          <w:p>
            <w:pPr>
              <w:pStyle w:val="Style34"/>
              <w:widowControl w:val="false"/>
              <w:suppressAutoHyphens w:val="true"/>
              <w:spacing w:before="0" w:after="200"/>
              <w:jc w:val="left"/>
              <w:rPr>
                <w:rFonts w:ascii="Times New Roman" w:hAnsi="Times New Roman"/>
                <w:sz w:val="24"/>
                <w:szCs w:val="24"/>
              </w:rPr>
            </w:pPr>
            <w:r>
              <w:rPr>
                <w:rFonts w:eastAsia="Times New Roman" w:cs="Times New Roman"/>
                <w:bCs/>
                <w:color w:val="auto"/>
                <w:kern w:val="0"/>
                <w:sz w:val="24"/>
                <w:szCs w:val="24"/>
                <w:lang w:val="ru-RU" w:eastAsia="ru-RU" w:bidi="ar-SA"/>
              </w:rPr>
              <w:t>210</w:t>
            </w:r>
          </w:p>
        </w:tc>
      </w:tr>
      <w:tr>
        <w:trPr/>
        <w:tc>
          <w:tcPr>
            <w:tcW w:w="837" w:type="dxa"/>
            <w:tcBorders>
              <w:top w:val="nil"/>
            </w:tcBorders>
            <w:vAlign w:val="center"/>
          </w:tcPr>
          <w:p>
            <w:pPr>
              <w:pStyle w:val="Normal"/>
              <w:widowControl w:val="false"/>
              <w:suppressAutoHyphens w:val="true"/>
              <w:spacing w:before="0" w:after="200"/>
              <w:jc w:val="both"/>
              <w:rPr>
                <w:sz w:val="24"/>
                <w:szCs w:val="24"/>
              </w:rPr>
            </w:pPr>
            <w:r>
              <w:rPr>
                <w:sz w:val="24"/>
                <w:szCs w:val="24"/>
              </w:rPr>
              <w:t>1.14</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eastAsia="Times New Roman" w:cs="Times New Roman"/>
                <w:b w:val="false"/>
                <w:bCs/>
                <w:i w:val="false"/>
                <w:i w:val="false"/>
                <w:caps w:val="false"/>
                <w:smallCaps w:val="false"/>
                <w:color w:val="auto"/>
                <w:spacing w:val="0"/>
                <w:kern w:val="0"/>
                <w:sz w:val="24"/>
                <w:szCs w:val="24"/>
                <w:lang w:val="ru-RU" w:eastAsia="ru-RU" w:bidi="ar-SA"/>
              </w:rPr>
            </w:pPr>
            <w:r>
              <w:rPr>
                <w:rFonts w:eastAsia="Times New Roman" w:cs="Times New Roman"/>
                <w:b w:val="false"/>
                <w:bCs/>
                <w:i w:val="false"/>
                <w:caps w:val="false"/>
                <w:smallCaps w:val="false"/>
                <w:color w:val="auto"/>
                <w:spacing w:val="0"/>
                <w:kern w:val="0"/>
                <w:sz w:val="24"/>
                <w:szCs w:val="24"/>
                <w:lang w:val="ru-RU" w:eastAsia="ru-RU" w:bidi="ar-SA"/>
              </w:rPr>
              <w:t>Степень защиты</w:t>
            </w:r>
          </w:p>
        </w:tc>
        <w:tc>
          <w:tcPr>
            <w:tcW w:w="4095" w:type="dxa"/>
            <w:tcBorders>
              <w:top w:val="nil"/>
            </w:tcBorders>
            <w:shd w:color="auto" w:fill="auto" w:val="clear"/>
          </w:tcPr>
          <w:p>
            <w:pPr>
              <w:pStyle w:val="Style34"/>
              <w:widowControl w:val="false"/>
              <w:suppressAutoHyphens w:val="true"/>
              <w:spacing w:before="0" w:after="200"/>
              <w:jc w:val="left"/>
              <w:rPr/>
            </w:pPr>
            <w:hyperlink r:id="rId2">
              <w:r>
                <w:rPr>
                  <w:rStyle w:val="Hyperlink"/>
                  <w:rFonts w:eastAsia="Times New Roman" w:cs="Times New Roman"/>
                  <w:b w:val="false"/>
                  <w:bCs/>
                  <w:i w:val="false"/>
                  <w:caps w:val="false"/>
                  <w:smallCaps w:val="false"/>
                  <w:color w:val="auto"/>
                  <w:spacing w:val="0"/>
                  <w:kern w:val="0"/>
                  <w:sz w:val="24"/>
                  <w:szCs w:val="24"/>
                  <w:lang w:val="ru-RU" w:eastAsia="ru-RU" w:bidi="ar-SA"/>
                </w:rPr>
                <w:t>IP00</w:t>
              </w:r>
            </w:hyperlink>
          </w:p>
        </w:tc>
      </w:tr>
      <w:tr>
        <w:trPr/>
        <w:tc>
          <w:tcPr>
            <w:tcW w:w="837" w:type="dxa"/>
            <w:tcBorders>
              <w:top w:val="nil"/>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1.15</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b w:val="false"/>
                <w:i w:val="false"/>
                <w:i w:val="false"/>
                <w:caps w:val="false"/>
                <w:smallCaps w:val="false"/>
                <w:color w:val="778296"/>
                <w:spacing w:val="0"/>
                <w:sz w:val="24"/>
                <w:szCs w:val="24"/>
              </w:rPr>
            </w:pPr>
            <w:r>
              <w:rPr>
                <w:rFonts w:eastAsia="Times New Roman" w:cs="Times New Roman"/>
                <w:b w:val="false"/>
                <w:bCs/>
                <w:i w:val="false"/>
                <w:caps w:val="false"/>
                <w:smallCaps w:val="false"/>
                <w:color w:val="auto"/>
                <w:spacing w:val="0"/>
                <w:kern w:val="0"/>
                <w:sz w:val="24"/>
                <w:szCs w:val="24"/>
                <w:lang w:val="ru-RU" w:eastAsia="ru-RU" w:bidi="ar-SA"/>
              </w:rPr>
              <w:t>Способ задания параметров</w:t>
            </w:r>
          </w:p>
        </w:tc>
        <w:tc>
          <w:tcPr>
            <w:tcW w:w="4095" w:type="dxa"/>
            <w:tcBorders>
              <w:top w:val="nil"/>
            </w:tcBorders>
            <w:shd w:color="auto" w:fill="auto" w:val="clear"/>
          </w:tcPr>
          <w:p>
            <w:pPr>
              <w:pStyle w:val="Style34"/>
              <w:widowControl w:val="false"/>
              <w:suppressAutoHyphens w:val="true"/>
              <w:spacing w:before="0" w:after="200"/>
              <w:jc w:val="left"/>
              <w:rPr>
                <w:rFonts w:ascii="Times New Roman" w:hAnsi="Times New Roman"/>
                <w:b w:val="false"/>
                <w:i w:val="false"/>
                <w:i w:val="false"/>
                <w:caps w:val="false"/>
                <w:smallCaps w:val="false"/>
                <w:color w:val="212731"/>
                <w:spacing w:val="0"/>
                <w:sz w:val="24"/>
                <w:szCs w:val="24"/>
              </w:rPr>
            </w:pPr>
            <w:r>
              <w:rPr>
                <w:rFonts w:eastAsia="Times New Roman" w:cs="Times New Roman"/>
                <w:b w:val="false"/>
                <w:bCs/>
                <w:i w:val="false"/>
                <w:caps w:val="false"/>
                <w:smallCaps w:val="false"/>
                <w:color w:val="auto"/>
                <w:spacing w:val="0"/>
                <w:kern w:val="0"/>
                <w:sz w:val="24"/>
                <w:szCs w:val="24"/>
                <w:lang w:val="ru-RU" w:eastAsia="ru-RU" w:bidi="ar-SA"/>
              </w:rPr>
              <w:t>Ручной, дистанционный, интерфейс</w:t>
            </w:r>
          </w:p>
        </w:tc>
      </w:tr>
      <w:tr>
        <w:trPr/>
        <w:tc>
          <w:tcPr>
            <w:tcW w:w="837" w:type="dxa"/>
            <w:tcBorders>
              <w:top w:val="nil"/>
            </w:tcBorders>
            <w:vAlign w:val="center"/>
          </w:tcPr>
          <w:p>
            <w:pPr>
              <w:pStyle w:val="Normal"/>
              <w:widowControl w:val="false"/>
              <w:suppressAutoHyphens w:val="true"/>
              <w:spacing w:before="0" w:after="200"/>
              <w:jc w:val="both"/>
              <w:rPr>
                <w:sz w:val="24"/>
                <w:szCs w:val="24"/>
              </w:rPr>
            </w:pPr>
            <w:r>
              <w:rPr>
                <w:sz w:val="24"/>
                <w:szCs w:val="24"/>
              </w:rPr>
              <w:t>1.16</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b w:val="false"/>
                <w:i w:val="false"/>
                <w:i w:val="false"/>
                <w:caps w:val="false"/>
                <w:smallCaps w:val="false"/>
                <w:color w:val="778296"/>
                <w:spacing w:val="0"/>
                <w:sz w:val="24"/>
                <w:szCs w:val="24"/>
              </w:rPr>
            </w:pPr>
            <w:r>
              <w:rPr>
                <w:rFonts w:eastAsia="Times New Roman" w:cs="Times New Roman"/>
                <w:b w:val="false"/>
                <w:bCs/>
                <w:i w:val="false"/>
                <w:caps w:val="false"/>
                <w:smallCaps w:val="false"/>
                <w:color w:val="auto"/>
                <w:spacing w:val="0"/>
                <w:kern w:val="0"/>
                <w:sz w:val="24"/>
                <w:szCs w:val="24"/>
                <w:lang w:val="ru-RU" w:eastAsia="ru-RU" w:bidi="ar-SA"/>
              </w:rPr>
              <w:t>Номинальное напряжение управления, В</w:t>
            </w:r>
          </w:p>
        </w:tc>
        <w:tc>
          <w:tcPr>
            <w:tcW w:w="4095" w:type="dxa"/>
            <w:tcBorders>
              <w:top w:val="nil"/>
            </w:tcBorders>
            <w:shd w:color="auto" w:fill="auto" w:val="clear"/>
          </w:tcPr>
          <w:p>
            <w:pPr>
              <w:pStyle w:val="Style34"/>
              <w:widowControl w:val="false"/>
              <w:suppressAutoHyphens w:val="true"/>
              <w:spacing w:before="0" w:after="200"/>
              <w:jc w:val="left"/>
              <w:rPr/>
            </w:pPr>
            <w:hyperlink r:id="rId3">
              <w:r>
                <w:rPr>
                  <w:rStyle w:val="Hyperlink"/>
                  <w:rFonts w:eastAsia="Times New Roman" w:cs="Times New Roman"/>
                  <w:b w:val="false"/>
                  <w:bCs/>
                  <w:i w:val="false"/>
                  <w:caps w:val="false"/>
                  <w:smallCaps w:val="false"/>
                  <w:color w:val="auto"/>
                  <w:spacing w:val="0"/>
                  <w:kern w:val="0"/>
                  <w:sz w:val="24"/>
                  <w:szCs w:val="24"/>
                  <w:lang w:val="ru-RU" w:eastAsia="ru-RU" w:bidi="ar-SA"/>
                </w:rPr>
                <w:t>100-250</w:t>
              </w:r>
            </w:hyperlink>
          </w:p>
        </w:tc>
      </w:tr>
      <w:tr>
        <w:trPr/>
        <w:tc>
          <w:tcPr>
            <w:tcW w:w="837" w:type="dxa"/>
            <w:tcBorders>
              <w:top w:val="nil"/>
            </w:tcBorders>
            <w:vAlign w:val="center"/>
          </w:tcPr>
          <w:p>
            <w:pPr>
              <w:pStyle w:val="Normal"/>
              <w:widowControl w:val="false"/>
              <w:suppressAutoHyphens w:val="true"/>
              <w:spacing w:before="0" w:after="200"/>
              <w:jc w:val="both"/>
              <w:rPr>
                <w:sz w:val="24"/>
                <w:szCs w:val="24"/>
              </w:rPr>
            </w:pPr>
            <w:r>
              <w:rPr>
                <w:sz w:val="24"/>
                <w:szCs w:val="24"/>
              </w:rPr>
              <w:t>1.17</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eastAsia="Times New Roman" w:cs="Times New Roman"/>
                <w:b w:val="false"/>
                <w:bCs/>
                <w:i w:val="false"/>
                <w:i w:val="false"/>
                <w:caps w:val="false"/>
                <w:smallCaps w:val="false"/>
                <w:color w:val="auto"/>
                <w:spacing w:val="0"/>
                <w:kern w:val="0"/>
                <w:sz w:val="24"/>
                <w:szCs w:val="24"/>
                <w:lang w:val="ru-RU" w:eastAsia="ru-RU" w:bidi="ar-SA"/>
              </w:rPr>
            </w:pPr>
            <w:r>
              <w:rPr>
                <w:rFonts w:eastAsia="Times New Roman" w:cs="Times New Roman"/>
                <w:b w:val="false"/>
                <w:bCs/>
                <w:i w:val="false"/>
                <w:caps w:val="false"/>
                <w:smallCaps w:val="false"/>
                <w:color w:val="auto"/>
                <w:spacing w:val="0"/>
                <w:kern w:val="0"/>
                <w:sz w:val="24"/>
                <w:szCs w:val="24"/>
                <w:lang w:val="ru-RU" w:eastAsia="ru-RU" w:bidi="ar-SA"/>
              </w:rPr>
              <w:t>Наличие дисплея</w:t>
            </w:r>
          </w:p>
        </w:tc>
        <w:tc>
          <w:tcPr>
            <w:tcW w:w="4095" w:type="dxa"/>
            <w:tcBorders>
              <w:top w:val="nil"/>
            </w:tcBorders>
            <w:shd w:color="auto" w:fill="auto" w:val="clear"/>
          </w:tcPr>
          <w:p>
            <w:pPr>
              <w:pStyle w:val="Style34"/>
              <w:widowControl w:val="false"/>
              <w:suppressAutoHyphens w:val="true"/>
              <w:spacing w:before="0" w:after="200"/>
              <w:jc w:val="left"/>
              <w:rPr>
                <w:rFonts w:ascii="Times New Roman" w:hAnsi="Times New Roman"/>
                <w:sz w:val="24"/>
                <w:szCs w:val="24"/>
              </w:rPr>
            </w:pPr>
            <w:r>
              <w:rPr>
                <w:rFonts w:eastAsia="Times New Roman" w:cs="Times New Roman"/>
                <w:kern w:val="0"/>
                <w:sz w:val="24"/>
                <w:szCs w:val="24"/>
                <w:lang w:val="ru-RU" w:eastAsia="ru-RU" w:bidi="ar-SA"/>
              </w:rPr>
              <w:t>да</w:t>
            </w:r>
          </w:p>
        </w:tc>
      </w:tr>
      <w:tr>
        <w:trPr/>
        <w:tc>
          <w:tcPr>
            <w:tcW w:w="837" w:type="dxa"/>
            <w:tcBorders>
              <w:top w:val="nil"/>
            </w:tcBorders>
            <w:vAlign w:val="center"/>
          </w:tcPr>
          <w:p>
            <w:pPr>
              <w:pStyle w:val="Normal"/>
              <w:widowControl w:val="false"/>
              <w:suppressAutoHyphens w:val="true"/>
              <w:spacing w:before="0" w:after="200"/>
              <w:jc w:val="both"/>
              <w:rPr>
                <w:sz w:val="24"/>
                <w:szCs w:val="24"/>
              </w:rPr>
            </w:pPr>
            <w:r>
              <w:rPr>
                <w:sz w:val="24"/>
                <w:szCs w:val="24"/>
              </w:rPr>
              <w:t>1.18</w:t>
            </w:r>
          </w:p>
        </w:tc>
        <w:tc>
          <w:tcPr>
            <w:tcW w:w="5103" w:type="dxa"/>
            <w:tcBorders>
              <w:top w:val="nil"/>
            </w:tcBorders>
            <w:shd w:color="auto" w:fill="auto" w:val="clear"/>
          </w:tcPr>
          <w:p>
            <w:pPr>
              <w:pStyle w:val="Style34"/>
              <w:widowControl w:val="false"/>
              <w:suppressAutoHyphens w:val="true"/>
              <w:spacing w:before="0" w:after="200"/>
              <w:jc w:val="left"/>
              <w:rPr>
                <w:rFonts w:ascii="Times New Roman" w:hAnsi="Times New Roman" w:eastAsia="Times New Roman" w:cs="Times New Roman"/>
                <w:b w:val="false"/>
                <w:bCs/>
                <w:i w:val="false"/>
                <w:i w:val="false"/>
                <w:caps w:val="false"/>
                <w:smallCaps w:val="false"/>
                <w:color w:val="auto"/>
                <w:spacing w:val="0"/>
                <w:kern w:val="0"/>
                <w:sz w:val="24"/>
                <w:szCs w:val="24"/>
                <w:lang w:val="ru-RU" w:eastAsia="ru-RU" w:bidi="ar-SA"/>
              </w:rPr>
            </w:pPr>
            <w:r>
              <w:rPr>
                <w:rFonts w:eastAsia="Times New Roman" w:cs="Times New Roman"/>
                <w:b w:val="false"/>
                <w:bCs/>
                <w:i w:val="false"/>
                <w:caps w:val="false"/>
                <w:smallCaps w:val="false"/>
                <w:color w:val="auto"/>
                <w:spacing w:val="0"/>
                <w:kern w:val="0"/>
                <w:sz w:val="24"/>
                <w:szCs w:val="24"/>
                <w:lang w:val="ru-RU" w:eastAsia="ru-RU" w:bidi="ar-SA"/>
              </w:rPr>
              <w:t>Наличие интерфейса связи</w:t>
            </w:r>
          </w:p>
        </w:tc>
        <w:tc>
          <w:tcPr>
            <w:tcW w:w="4095" w:type="dxa"/>
            <w:tcBorders>
              <w:top w:val="nil"/>
            </w:tcBorders>
            <w:shd w:color="auto" w:fill="auto" w:val="clear"/>
          </w:tcPr>
          <w:p>
            <w:pPr>
              <w:pStyle w:val="Style34"/>
              <w:widowControl w:val="false"/>
              <w:suppressAutoHyphens w:val="true"/>
              <w:spacing w:before="0" w:after="200"/>
              <w:jc w:val="left"/>
              <w:rPr>
                <w:rFonts w:ascii="Times New Roman" w:hAnsi="Times New Roman"/>
                <w:sz w:val="24"/>
                <w:szCs w:val="24"/>
              </w:rPr>
            </w:pPr>
            <w:r>
              <w:rPr>
                <w:rFonts w:eastAsia="Times New Roman" w:cs="Times New Roman"/>
                <w:kern w:val="0"/>
                <w:sz w:val="24"/>
                <w:szCs w:val="24"/>
                <w:lang w:val="ru-RU" w:eastAsia="ru-RU" w:bidi="ar-SA"/>
              </w:rPr>
              <w:t>FieldBus</w:t>
            </w:r>
          </w:p>
        </w:tc>
      </w:tr>
      <w:tr>
        <w:trPr/>
        <w:tc>
          <w:tcPr>
            <w:tcW w:w="837"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9198"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37"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4.1</w:t>
            </w:r>
          </w:p>
        </w:tc>
        <w:tc>
          <w:tcPr>
            <w:tcW w:w="5103"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095"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 xml:space="preserve">Поставщик обязан установить на продукцию гарантийный срок не менее </w:t>
            </w:r>
            <w:r>
              <w:rPr>
                <w:rFonts w:eastAsia="Calibri" w:cs="Times New Roman"/>
                <w:color w:val="000000"/>
                <w:kern w:val="0"/>
                <w:sz w:val="24"/>
                <w:szCs w:val="24"/>
                <w:lang w:val="ru-RU" w:eastAsia="ru-RU" w:bidi="ar-SA"/>
              </w:rPr>
              <w:t xml:space="preserve">36 (тридцати шести)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37"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5</w:t>
            </w:r>
            <w:r>
              <w:rPr>
                <w:rFonts w:cs="Times New Roman"/>
                <w:b/>
                <w:bCs/>
                <w:kern w:val="0"/>
                <w:lang w:val="en-US" w:eastAsia="ru-RU" w:bidi="ar-SA"/>
              </w:rPr>
              <w:t>.</w:t>
            </w:r>
          </w:p>
        </w:tc>
        <w:tc>
          <w:tcPr>
            <w:tcW w:w="9198"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37"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5.1</w:t>
            </w:r>
          </w:p>
        </w:tc>
        <w:tc>
          <w:tcPr>
            <w:tcW w:w="5103"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095"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37"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6</w:t>
            </w:r>
            <w:r>
              <w:rPr>
                <w:rFonts w:eastAsia="Times New Roman" w:cs="Times New Roman"/>
                <w:b/>
                <w:bCs/>
                <w:kern w:val="0"/>
                <w:sz w:val="24"/>
                <w:szCs w:val="24"/>
                <w:lang w:val="en-US" w:eastAsia="x-none" w:bidi="ar-SA"/>
              </w:rPr>
              <w:t>.</w:t>
            </w:r>
          </w:p>
        </w:tc>
        <w:tc>
          <w:tcPr>
            <w:tcW w:w="91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37"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6.1</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095"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37"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6.2</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095"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37" w:type="dxa"/>
            <w:tcBorders/>
            <w:vAlign w:val="center"/>
          </w:tcPr>
          <w:p>
            <w:pPr>
              <w:pStyle w:val="Normal"/>
              <w:widowControl w:val="false"/>
              <w:suppressAutoHyphens w:val="true"/>
              <w:spacing w:before="60" w:after="60"/>
              <w:jc w:val="center"/>
              <w:rPr>
                <w:sz w:val="24"/>
                <w:szCs w:val="24"/>
              </w:rPr>
            </w:pPr>
            <w:r>
              <w:rPr>
                <w:rFonts w:eastAsia="Times New Roman" w:cs="Times New Roman"/>
                <w:kern w:val="0"/>
                <w:sz w:val="24"/>
                <w:szCs w:val="24"/>
                <w:lang w:val="ru-RU" w:eastAsia="ru-RU" w:bidi="ar-SA"/>
              </w:rPr>
              <w:t>6.3</w:t>
            </w:r>
          </w:p>
        </w:tc>
        <w:tc>
          <w:tcPr>
            <w:tcW w:w="9198"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37"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7</w:t>
            </w:r>
            <w:r>
              <w:rPr>
                <w:rFonts w:eastAsia="Times New Roman" w:cs="Times New Roman"/>
                <w:b/>
                <w:bCs/>
                <w:kern w:val="0"/>
                <w:sz w:val="24"/>
                <w:szCs w:val="24"/>
                <w:lang w:val="en-US" w:eastAsia="x-none" w:bidi="ar-SA"/>
              </w:rPr>
              <w:t>.</w:t>
            </w:r>
          </w:p>
        </w:tc>
        <w:tc>
          <w:tcPr>
            <w:tcW w:w="9198"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37"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7.1</w:t>
            </w:r>
          </w:p>
        </w:tc>
        <w:tc>
          <w:tcPr>
            <w:tcW w:w="9198"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bl>
    <w:p>
      <w:pPr>
        <w:pStyle w:val="Heading1"/>
        <w:spacing w:before="120" w:after="60"/>
        <w:ind w:left="1224" w:hanging="0"/>
        <w:rPr/>
      </w:pPr>
      <w:r>
        <w:rPr/>
      </w:r>
    </w:p>
    <w:p>
      <w:pPr>
        <w:pStyle w:val="Normal"/>
        <w:spacing w:before="120" w:after="60"/>
        <w:ind w:hanging="0"/>
        <w:rPr/>
      </w:pPr>
      <w:r>
        <w:rPr/>
      </w:r>
    </w:p>
    <w:p>
      <w:pPr>
        <w:pStyle w:val="Normal"/>
        <w:spacing w:before="120" w:after="60"/>
        <w:ind w:left="1224" w:hanging="0"/>
        <w:rPr/>
      </w:pPr>
      <w:r>
        <w:rPr/>
      </w:r>
    </w:p>
    <w:tbl>
      <w:tblPr>
        <w:tblW w:w="1119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49"/>
        <w:gridCol w:w="6546"/>
      </w:tblGrid>
      <w:tr>
        <w:trPr/>
        <w:tc>
          <w:tcPr>
            <w:tcW w:w="4649" w:type="dxa"/>
            <w:tcBorders/>
            <w:shd w:color="auto" w:fill="auto" w:val="clear"/>
          </w:tcPr>
          <w:p>
            <w:pPr>
              <w:pStyle w:val="Normal"/>
              <w:widowControl w:val="false"/>
              <w:tabs>
                <w:tab w:val="clear" w:pos="708"/>
                <w:tab w:val="left" w:pos="1125" w:leader="none"/>
              </w:tabs>
              <w:spacing w:before="0" w:after="0"/>
              <w:contextualSpacing/>
              <w:rPr>
                <w:rFonts w:ascii="Times New Roman" w:hAnsi="Times New Roman"/>
                <w:bCs/>
              </w:rPr>
            </w:pPr>
            <w:r>
              <w:rPr>
                <w:bCs/>
              </w:rPr>
              <w:t xml:space="preserve">               </w:t>
            </w:r>
            <w:r>
              <w:rPr>
                <w:bCs/>
              </w:rPr>
              <w:t>Согласовано: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Ведущий инженер цеха ЭТО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________________/</w:t>
            </w:r>
          </w:p>
        </w:tc>
        <w:tc>
          <w:tcPr>
            <w:tcW w:w="6546" w:type="dxa"/>
            <w:tcBorders/>
            <w:shd w:color="auto" w:fill="auto" w:val="clear"/>
          </w:tcPr>
          <w:p>
            <w:pPr>
              <w:pStyle w:val="Normal"/>
              <w:widowControl w:val="false"/>
              <w:tabs>
                <w:tab w:val="clear" w:pos="708"/>
                <w:tab w:val="left" w:pos="1125" w:leader="none"/>
              </w:tabs>
              <w:spacing w:before="0" w:after="0"/>
              <w:contextualSpacing/>
              <w:jc w:val="center"/>
              <w:rPr>
                <w:rFonts w:ascii="Times New Roman" w:hAnsi="Times New Roman"/>
                <w:bCs/>
              </w:rPr>
            </w:pPr>
            <w:r>
              <w:rPr>
                <w:bCs/>
              </w:rPr>
              <w:t>Согласовано: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Начальник цеха ЭТО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________________/</w:t>
            </w:r>
          </w:p>
        </w:tc>
      </w:tr>
    </w:tbl>
    <w:p>
      <w:pPr>
        <w:pStyle w:val="Normal"/>
        <w:rPr/>
      </w:pPr>
      <w:r>
        <w:rPr/>
      </w:r>
    </w:p>
    <w:sectPr>
      <w:headerReference w:type="default" r:id="rId4"/>
      <w:headerReference w:type="first" r:id="rId5"/>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etm.ru/catalog/503510_ustroystva_plavnogo_puska?conf=21$52|&amp;rows=12&amp;page=1" TargetMode="External"/><Relationship Id="rId3" Type="http://schemas.openxmlformats.org/officeDocument/2006/relationships/hyperlink" Target="https://www.etm.ru/catalog/503510_ustroystva_plavnogo_puska?conf=195$73951|&amp;rows=12&amp;page=1"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Application>AlterOffice/3.4.0.9$Linux_X86_64 LibreOffice_project/b8daf9e823b1a5463a2f48435ddc2e8696e7d4fc</Application>
  <AppVersion>15.0000</AppVersion>
  <DocSecurity>4</DocSecurity>
  <Pages>4</Pages>
  <Words>537</Words>
  <Characters>3739</Characters>
  <CharactersWithSpaces>4226</CharactersWithSpaces>
  <Paragraphs>116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filatovasm@corp.gidroogk.com</cp:lastModifiedBy>
  <dcterms:modified xsi:type="dcterms:W3CDTF">2026-08-17T11:28:45Z</dcterms:modified>
  <cp:revision>29</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