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4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</w:rPr>
      </w:pPr>
      <w:r>
        <w:rPr>
          <w:b/>
          <w:bCs/>
          <w:szCs w:val="24"/>
          <w:shd w:fill="auto" w:val="clear"/>
        </w:rPr>
        <w:t>ТЕХНИЧЕСКИЕ ТРЕБОВАНИЯ</w:t>
      </w:r>
    </w:p>
    <w:p>
      <w:pPr>
        <w:pStyle w:val="Heading2"/>
        <w:ind w:left="432" w:hanging="0"/>
        <w:jc w:val="center"/>
        <w:rPr>
          <w:b w:val="false"/>
          <w:bCs w:val="false"/>
        </w:rPr>
      </w:pPr>
      <w:r>
        <w:rPr>
          <w:rFonts w:eastAsia="Calibri" w:cs="" w:cstheme="minorBidi" w:eastAsiaTheme="minorHAnsi"/>
          <w:b w:val="false"/>
          <w:bCs w:val="false"/>
          <w:kern w:val="0"/>
          <w:sz w:val="22"/>
          <w:szCs w:val="22"/>
          <w:shd w:fill="auto" w:val="clear"/>
          <w:lang w:val="ru-RU" w:eastAsia="en-US" w:bidi="ar-SA"/>
        </w:rPr>
        <w:t>ОКПД2 25.11.23.110 Поставка винтовых свай для нужд Производственного участка АО "Гидроремонт-ВКК" в г.Партизанск</w:t>
      </w:r>
      <w:r>
        <w:rPr>
          <w:rFonts w:eastAsia="Calibri" w:cs="" w:cstheme="minorBidi" w:eastAsiaTheme="minorHAnsi"/>
          <w:b w:val="false"/>
          <w:bCs w:val="false"/>
          <w:shd w:fill="auto" w:val="clear"/>
          <w:lang w:val="ru-RU"/>
        </w:rPr>
        <w:t xml:space="preserve"> </w:t>
      </w:r>
    </w:p>
    <w:p>
      <w:pPr>
        <w:pStyle w:val="Heading2"/>
        <w:ind w:left="432" w:hanging="0"/>
        <w:jc w:val="center"/>
        <w:rPr>
          <w:b w:val="false"/>
          <w:bCs w:val="false"/>
        </w:rPr>
      </w:pPr>
      <w:r>
        <w:rPr>
          <w:b w:val="false"/>
          <w:bCs w:val="false"/>
        </w:rPr>
        <w:t xml:space="preserve">Лот №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  <w:lang w:val="x-none"/>
        </w:rPr>
      </w:pPr>
      <w:r>
        <w:rPr>
          <w:szCs w:val="24"/>
          <w:lang w:val="x-none"/>
        </w:rPr>
      </w:r>
    </w:p>
    <w:p>
      <w:pPr>
        <w:pStyle w:val="Normal"/>
        <w:rPr>
          <w:szCs w:val="24"/>
          <w:lang w:val="x-none"/>
        </w:rPr>
      </w:pPr>
      <w:r>
        <w:rPr>
          <w:szCs w:val="24"/>
          <w:lang w:val="x-none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  <w:tab/>
        <w:t>Общие сведения</w:t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jc w:val="both"/>
        <w:rPr>
          <w:b w:val="false"/>
          <w:bCs w:val="false"/>
        </w:rPr>
      </w:pPr>
      <w:r>
        <w:rPr>
          <w:rFonts w:eastAsia="Calibri" w:cs="" w:cstheme="minorBidi" w:eastAsiaTheme="minorHAnsi"/>
          <w:b w:val="false"/>
          <w:bCs w:val="false"/>
          <w:kern w:val="0"/>
          <w:sz w:val="22"/>
          <w:szCs w:val="22"/>
          <w:shd w:fill="auto" w:val="clear"/>
          <w:lang w:val="ru-RU" w:eastAsia="en-US" w:bidi="ar-SA"/>
        </w:rPr>
        <w:t>ОКПД2 25.11.23.110 Поставка винтовых свай для нужд Производственного участка АО "Гидроремонт-ВКК" в г.Партизанск</w:t>
      </w:r>
      <w:r>
        <w:rPr>
          <w:b w:val="false"/>
          <w:bCs w:val="false"/>
        </w:rPr>
        <w:t xml:space="preserve"> </w:t>
      </w:r>
      <w:r>
        <w:rPr>
          <w:rFonts w:cs="Times New Roman"/>
          <w:b w:val="false"/>
          <w:bCs w:val="false"/>
          <w:color w:val="000000"/>
          <w:szCs w:val="24"/>
        </w:rPr>
        <w:t>(далее – продукция)</w:t>
      </w:r>
      <w:r>
        <w:rPr>
          <w:b w:val="false"/>
          <w:bCs w:val="false"/>
        </w:rPr>
        <w:t xml:space="preserve">. 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2" w:name="_Toc75446569"/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widowControl w:val="false"/>
        <w:shd w:val="clear" w:color="auto" w:fill="FFFFFF" w:themeFill="background1"/>
        <w:tabs>
          <w:tab w:val="clear" w:pos="709"/>
          <w:tab w:val="left" w:pos="426" w:leader="none"/>
        </w:tabs>
        <w:jc w:val="both"/>
        <w:rPr/>
      </w:pPr>
      <w:r>
        <w:rPr>
          <w:rStyle w:val="Style"/>
          <w:b w:val="false"/>
          <w:bCs/>
          <w:i w:val="false"/>
          <w:szCs w:val="24"/>
          <w:shd w:fill="auto" w:val="clear"/>
        </w:rPr>
        <w:t>Исполнение обязательств по Договору подряда</w:t>
      </w:r>
      <w:r>
        <w:rPr>
          <w:szCs w:val="24"/>
          <w:shd w:fill="auto" w:val="clear"/>
        </w:rPr>
        <w:t xml:space="preserve"> № 1520-51-2023 от 28.04.2023 «Выполнение работ по строительству временных и проектных инженерно-технических средств охраны (ИТСО) для реализации проекта «Расширение Партизанской ГРЭС», заключенного между АО </w:t>
      </w:r>
      <w:r>
        <w:rPr>
          <w:sz w:val="22"/>
          <w:szCs w:val="24"/>
          <w:shd w:fill="auto" w:val="clear"/>
        </w:rPr>
        <w:t>У</w:t>
      </w:r>
      <w:r>
        <w:rPr>
          <w:sz w:val="22"/>
          <w:shd w:fill="auto" w:val="clear"/>
        </w:rPr>
        <w:t xml:space="preserve">К «ГИДРООГК» </w:t>
      </w:r>
      <w:r>
        <w:rPr>
          <w:szCs w:val="24"/>
          <w:shd w:fill="auto" w:val="clear"/>
        </w:rPr>
        <w:t>и АО «Гидроремонт-ВКК».</w:t>
      </w:r>
    </w:p>
    <w:p>
      <w:pPr>
        <w:pStyle w:val="Normal"/>
        <w:widowControl w:val="false"/>
        <w:suppressLineNumbers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numPr>
          <w:ilvl w:val="0"/>
          <w:numId w:val="1"/>
        </w:numPr>
        <w:ind w:left="426" w:hanging="426"/>
        <w:jc w:val="center"/>
        <w:rPr>
          <w:sz w:val="24"/>
          <w:szCs w:val="24"/>
        </w:rPr>
      </w:pPr>
      <w:bookmarkStart w:id="4" w:name="_Toc51339693"/>
      <w:bookmarkStart w:id="5" w:name="_Toc75446573"/>
      <w:r>
        <w:rPr>
          <w:sz w:val="24"/>
          <w:szCs w:val="24"/>
        </w:rPr>
        <w:t>Требования к продукции</w:t>
      </w:r>
      <w:bookmarkEnd w:id="4"/>
      <w:bookmarkEnd w:id="5"/>
    </w:p>
    <w:p>
      <w:pPr>
        <w:pStyle w:val="Normal"/>
        <w:rPr>
          <w:sz w:val="12"/>
          <w:szCs w:val="12"/>
          <w:lang w:val="x-none" w:eastAsia="x-none"/>
        </w:rPr>
      </w:pPr>
      <w:r>
        <w:rPr>
          <w:sz w:val="12"/>
          <w:szCs w:val="12"/>
          <w:lang w:val="x-none" w:eastAsia="x-none"/>
        </w:rPr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hanging="0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rPr>
          <w:szCs w:val="24"/>
          <w:lang w:val="x-none" w:eastAsia="x-none"/>
        </w:rPr>
      </w:pPr>
      <w:r>
        <w:rPr>
          <w:szCs w:val="24"/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tbl>
      <w:tblPr>
        <w:tblStyle w:val="afffff0"/>
        <w:tblW w:w="96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3"/>
        <w:gridCol w:w="5599"/>
        <w:gridCol w:w="1441"/>
        <w:gridCol w:w="1799"/>
      </w:tblGrid>
      <w:tr>
        <w:trPr>
          <w:trHeight w:val="570" w:hRule="atLeast"/>
        </w:trPr>
        <w:tc>
          <w:tcPr>
            <w:tcW w:w="8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7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Кол-во</w:t>
            </w:r>
          </w:p>
        </w:tc>
      </w:tr>
      <w:tr>
        <w:trPr>
          <w:trHeight w:val="300" w:hRule="atLeast"/>
        </w:trPr>
        <w:tc>
          <w:tcPr>
            <w:tcW w:w="8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1</w:t>
            </w:r>
          </w:p>
        </w:tc>
        <w:tc>
          <w:tcPr>
            <w:tcW w:w="5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2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3</w:t>
            </w:r>
          </w:p>
        </w:tc>
        <w:tc>
          <w:tcPr>
            <w:tcW w:w="17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99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Сваи винтовые</w:t>
            </w:r>
          </w:p>
        </w:tc>
        <w:tc>
          <w:tcPr>
            <w:tcW w:w="1441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99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1.1</w:t>
            </w:r>
          </w:p>
        </w:tc>
        <w:tc>
          <w:tcPr>
            <w:tcW w:w="5599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Свая СВЛ 219х8х4500мм</w:t>
            </w:r>
          </w:p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лопасть 500мм ст.20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шт.</w:t>
            </w:r>
          </w:p>
        </w:tc>
        <w:tc>
          <w:tcPr>
            <w:tcW w:w="1799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99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Опорные пластины</w:t>
            </w:r>
          </w:p>
        </w:tc>
        <w:tc>
          <w:tcPr>
            <w:tcW w:w="1441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99" w:type="dxa"/>
            <w:tcBorders>
              <w:top w:val="nil"/>
            </w:tcBorders>
            <w:shd w:color="auto" w:fill="B2B2B2" w:val="clear"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5599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Опорная пластина 450х400х20,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ст.</w:t>
            </w:r>
            <w:r>
              <w:rPr>
                <w:rFonts w:eastAsia="Calibri" w:cs="" w:ascii="Times New Roman" w:hAnsi="Times New Roman" w:cstheme="minorBidi" w:eastAsiaTheme="minorHAnsi"/>
                <w:i w:val="false"/>
                <w:iCs w:val="false"/>
                <w:color w:val="FF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09Г2С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шт.</w:t>
            </w:r>
          </w:p>
        </w:tc>
        <w:tc>
          <w:tcPr>
            <w:tcW w:w="1799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2.2</w:t>
            </w:r>
          </w:p>
        </w:tc>
        <w:tc>
          <w:tcPr>
            <w:tcW w:w="5599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Опорная пластина 615х450х20,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ст.</w:t>
            </w:r>
            <w:r>
              <w:rPr>
                <w:rFonts w:eastAsia="Calibri" w:cs="" w:ascii="Times New Roman" w:hAnsi="Times New Roman" w:cstheme="minorBidi" w:eastAsiaTheme="minorHAnsi"/>
                <w:i w:val="false"/>
                <w:iCs w:val="false"/>
                <w:color w:val="FF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09Г2С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шт.</w:t>
            </w:r>
          </w:p>
        </w:tc>
        <w:tc>
          <w:tcPr>
            <w:tcW w:w="1799" w:type="dxa"/>
            <w:tcBorders>
              <w:top w:val="nil"/>
            </w:tcBorders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2</w:t>
            </w:r>
          </w:p>
        </w:tc>
      </w:tr>
    </w:tbl>
    <w:p>
      <w:pPr>
        <w:pStyle w:val="Normal"/>
        <w:spacing w:lineRule="auto" w:line="288"/>
        <w:jc w:val="both"/>
        <w:rPr>
          <w:lang w:eastAsia="x-none"/>
        </w:rPr>
      </w:pPr>
      <w:r>
        <w:rPr>
          <w:b/>
          <w:lang w:eastAsia="x-none"/>
        </w:rPr>
        <w:tab/>
      </w:r>
    </w:p>
    <w:p>
      <w:pPr>
        <w:pStyle w:val="Heading1"/>
        <w:tabs>
          <w:tab w:val="clear" w:pos="0"/>
        </w:tabs>
        <w:rPr>
          <w:sz w:val="24"/>
          <w:szCs w:val="24"/>
        </w:rPr>
      </w:pPr>
      <w:bookmarkStart w:id="10" w:name="_Toc75446579"/>
      <w:bookmarkStart w:id="11" w:name="_Toc50125127"/>
      <w:bookmarkStart w:id="12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bookmarkStart w:id="13" w:name="_Hlk50465284"/>
      <w:r>
        <w:rPr>
          <w:sz w:val="24"/>
          <w:szCs w:val="24"/>
        </w:rPr>
        <w:t xml:space="preserve">Требования по срокам </w:t>
      </w:r>
      <w:bookmarkEnd w:id="11"/>
      <w:bookmarkEnd w:id="12"/>
      <w:bookmarkEnd w:id="13"/>
      <w:r>
        <w:rPr>
          <w:sz w:val="24"/>
          <w:szCs w:val="24"/>
          <w:lang w:val="ru-RU"/>
        </w:rPr>
        <w:t>поставки продукции</w:t>
      </w:r>
      <w:bookmarkEnd w:id="10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  <w:t>Таблица 2.2 Требования по срокам поставки продукции:</w:t>
      </w:r>
    </w:p>
    <w:tbl>
      <w:tblPr>
        <w:tblStyle w:val="afffff0"/>
        <w:tblW w:w="9641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01"/>
        <w:gridCol w:w="4861"/>
        <w:gridCol w:w="2099"/>
        <w:gridCol w:w="1879"/>
      </w:tblGrid>
      <w:tr>
        <w:trPr>
          <w:trHeight w:val="570" w:hRule="atLeast"/>
        </w:trPr>
        <w:tc>
          <w:tcPr>
            <w:tcW w:w="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Cs w:val="24"/>
              </w:rPr>
            </w:pPr>
            <w:r>
              <w:rPr>
                <w:rFonts w:eastAsia="Calibri" w:cs=""/>
                <w:bCs/>
                <w:kern w:val="0"/>
                <w:sz w:val="22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bCs/>
                <w:kern w:val="0"/>
                <w:sz w:val="22"/>
                <w:szCs w:val="24"/>
                <w:lang w:val="ru-RU" w:eastAsia="en-US" w:bidi="ar-SA"/>
              </w:rPr>
              <w:t>п/п</w:t>
            </w:r>
          </w:p>
        </w:tc>
        <w:tc>
          <w:tcPr>
            <w:tcW w:w="48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Cs w:val="24"/>
              </w:rPr>
            </w:pPr>
            <w:r>
              <w:rPr>
                <w:rFonts w:eastAsia="Calibri" w:cs=""/>
                <w:bCs/>
                <w:kern w:val="0"/>
                <w:sz w:val="22"/>
                <w:szCs w:val="24"/>
                <w:lang w:val="ru-RU" w:eastAsia="en-US" w:bidi="ar-SA"/>
              </w:rPr>
              <w:t>Наименование продукции / партии продукции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Cs w:val="24"/>
              </w:rPr>
            </w:pPr>
            <w:r>
              <w:rPr>
                <w:rFonts w:eastAsia="Calibri" w:cs=""/>
                <w:bCs/>
                <w:kern w:val="0"/>
                <w:sz w:val="22"/>
                <w:szCs w:val="24"/>
                <w:lang w:val="ru-RU" w:eastAsia="en-US" w:bidi="ar-SA"/>
              </w:rPr>
              <w:t>Требования к началу срока поставки продукции</w:t>
            </w:r>
          </w:p>
        </w:tc>
        <w:tc>
          <w:tcPr>
            <w:tcW w:w="18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Cs w:val="24"/>
              </w:rPr>
            </w:pPr>
            <w:r>
              <w:rPr>
                <w:rFonts w:eastAsia="Calibri" w:cs=""/>
                <w:bCs/>
                <w:kern w:val="0"/>
                <w:sz w:val="22"/>
                <w:szCs w:val="24"/>
                <w:lang w:val="ru-RU" w:eastAsia="en-US" w:bidi="ar-SA"/>
              </w:rPr>
              <w:t>Требования к окончанию срока поставки продукции</w:t>
            </w:r>
          </w:p>
        </w:tc>
      </w:tr>
      <w:tr>
        <w:trPr>
          <w:trHeight w:val="300" w:hRule="atLeast"/>
        </w:trPr>
        <w:tc>
          <w:tcPr>
            <w:tcW w:w="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1</w:t>
            </w:r>
          </w:p>
        </w:tc>
        <w:tc>
          <w:tcPr>
            <w:tcW w:w="48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4"/>
                <w:lang w:val="ru-RU" w:eastAsia="en-US" w:bidi="ar-SA"/>
              </w:rPr>
              <w:t>2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3</w:t>
            </w:r>
          </w:p>
        </w:tc>
        <w:tc>
          <w:tcPr>
            <w:tcW w:w="18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80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1.</w:t>
            </w:r>
            <w:r>
              <w:rPr>
                <w:kern w:val="0"/>
                <w:lang w:val="ru-RU" w:bidi="ar-SA"/>
              </w:rPr>
              <w:t>1-2.2</w:t>
            </w:r>
          </w:p>
        </w:tc>
        <w:tc>
          <w:tcPr>
            <w:tcW w:w="4861" w:type="dxa"/>
            <w:tcBorders/>
            <w:shd w:color="auto" w:fill="auto" w:val="clear"/>
            <w:vAlign w:val="bottom"/>
          </w:tcPr>
          <w:p>
            <w:pPr>
              <w:pStyle w:val="Heading2"/>
              <w:widowControl w:val="false"/>
              <w:ind w:left="432" w:hanging="0"/>
              <w:jc w:val="center"/>
              <w:rPr>
                <w:rFonts w:eastAsia="Calibri" w:cs="" w:cstheme="minorBidi" w:eastAsiaTheme="minorHAnsi"/>
                <w:b w:val="false"/>
                <w:bCs w:val="false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ОКПД2 25.11.23.110 Поставка винтовых свай для нужд Производственного участка АО "Гидроремонт-ВКК" в г.Партизанск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1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  <w:t>В течении 60 рабочих дней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560" w:right="851" w:gutter="0" w:header="0" w:top="907" w:footer="340" w:bottom="896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rPr/>
      </w:pPr>
      <w:bookmarkStart w:id="14" w:name="_Toc54785622"/>
      <w:bookmarkEnd w:id="14"/>
      <w:r>
        <w:rPr/>
        <w:t xml:space="preserve">             </w:t>
      </w:r>
      <w:r>
        <w:rPr/>
        <w:t>Таблица 2.3. Требования к продукции</w:t>
      </w:r>
    </w:p>
    <w:tbl>
      <w:tblPr>
        <w:tblStyle w:val="afffff0"/>
        <w:tblW w:w="14965" w:type="dxa"/>
        <w:jc w:val="left"/>
        <w:tblInd w:w="7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01"/>
        <w:gridCol w:w="3427"/>
        <w:gridCol w:w="916"/>
        <w:gridCol w:w="2514"/>
        <w:gridCol w:w="3165"/>
        <w:gridCol w:w="3842"/>
      </w:tblGrid>
      <w:tr>
        <w:trPr>
          <w:trHeight w:val="424" w:hRule="atLeast"/>
        </w:trPr>
        <w:tc>
          <w:tcPr>
            <w:tcW w:w="14965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Наименование продукции (позиции № 1.1 – 2.2 Таблицы 2.1):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" w:cstheme="minorBidi" w:eastAsiaTheme="minorHAnsi"/>
                <w:b w:val="false"/>
                <w:bCs w:val="false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ОКПД2 25.11.23.110 Поставка винтовых свай для нужд Производственного участка АО "Гидроремонт-ВКК" в г.Партизанск</w:t>
            </w:r>
          </w:p>
        </w:tc>
      </w:tr>
      <w:tr>
        <w:trPr>
          <w:trHeight w:val="544" w:hRule="atLeast"/>
        </w:trPr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43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1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</w:t>
            </w:r>
          </w:p>
        </w:tc>
        <w:tc>
          <w:tcPr>
            <w:tcW w:w="3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Соответствие стандартам</w:t>
            </w:r>
          </w:p>
        </w:tc>
      </w:tr>
      <w:tr>
        <w:trPr>
          <w:trHeight w:val="315" w:hRule="atLeast"/>
        </w:trPr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3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1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10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346" w:right="3578" w:hanging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86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I</w:t>
            </w:r>
          </w:p>
        </w:tc>
        <w:tc>
          <w:tcPr>
            <w:tcW w:w="13864" w:type="dxa"/>
            <w:gridSpan w:val="5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Сваи винтовые:</w:t>
            </w:r>
          </w:p>
        </w:tc>
      </w:tr>
      <w:tr>
        <w:trPr>
          <w:trHeight w:val="142" w:hRule="atLeast"/>
        </w:trPr>
        <w:tc>
          <w:tcPr>
            <w:tcW w:w="1101" w:type="dxa"/>
            <w:vMerge w:val="restart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4343" w:type="dxa"/>
            <w:gridSpan w:val="2"/>
            <w:vMerge w:val="restart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Свая СВЛ </w:t>
            </w:r>
          </w:p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Лопасть ст.20</w:t>
            </w:r>
          </w:p>
        </w:tc>
        <w:tc>
          <w:tcPr>
            <w:tcW w:w="251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Габаритные размеры, мм</w:t>
            </w:r>
          </w:p>
        </w:tc>
        <w:tc>
          <w:tcPr>
            <w:tcW w:w="316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Труба диаметр 219, стенка 8, длина 4500, </w:t>
            </w:r>
            <w:r>
              <w:rPr>
                <w:rFonts w:eastAsia="Calibri" w:cs="" w:ascii="Calibri" w:hAnsi="Calibri"/>
                <w:color w:val="FF0000"/>
                <w:kern w:val="0"/>
                <w:sz w:val="22"/>
                <w:szCs w:val="22"/>
                <w:lang w:val="ru-RU" w:eastAsia="en-US" w:bidi="ar-SA"/>
              </w:rPr>
              <w:t>т</w:t>
            </w:r>
            <w:r>
              <w:rPr>
                <w:rFonts w:eastAsia="Calibri" w:cs="" w:ascii="Calibri" w:hAnsi="Calibri"/>
                <w:b w:val="false"/>
                <w:i w:val="false"/>
                <w:caps w:val="false"/>
                <w:smallCaps w:val="false"/>
                <w:color w:val="FF0000"/>
                <w:spacing w:val="0"/>
                <w:kern w:val="0"/>
                <w:sz w:val="22"/>
                <w:szCs w:val="22"/>
                <w:lang w:val="ru-RU" w:eastAsia="en-US" w:bidi="ar-SA"/>
              </w:rPr>
              <w:t>ехнологические отверстия в сваях, 200мм от верха, д.30мм.</w:t>
            </w:r>
          </w:p>
        </w:tc>
        <w:tc>
          <w:tcPr>
            <w:tcW w:w="3842" w:type="dxa"/>
            <w:vMerge w:val="restart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ГОСТ 1050-2013 </w:t>
            </w:r>
          </w:p>
        </w:tc>
      </w:tr>
      <w:tr>
        <w:trPr>
          <w:trHeight w:val="71" w:hRule="atLeast"/>
        </w:trPr>
        <w:tc>
          <w:tcPr>
            <w:tcW w:w="1101" w:type="dxa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43" w:type="dxa"/>
            <w:gridSpan w:val="2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51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Марка стали </w:t>
            </w:r>
          </w:p>
        </w:tc>
        <w:tc>
          <w:tcPr>
            <w:tcW w:w="316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Ст.20</w:t>
            </w:r>
          </w:p>
        </w:tc>
        <w:tc>
          <w:tcPr>
            <w:tcW w:w="3842" w:type="dxa"/>
            <w:vMerge w:val="continue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1" w:hRule="atLeast"/>
        </w:trPr>
        <w:tc>
          <w:tcPr>
            <w:tcW w:w="1101" w:type="dxa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43" w:type="dxa"/>
            <w:gridSpan w:val="2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51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  <w:t>Габаритные размеры, мм</w:t>
            </w:r>
          </w:p>
        </w:tc>
        <w:tc>
          <w:tcPr>
            <w:tcW w:w="316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500мм</w:t>
            </w:r>
          </w:p>
        </w:tc>
        <w:tc>
          <w:tcPr>
            <w:tcW w:w="3842" w:type="dxa"/>
            <w:vMerge w:val="continue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II</w:t>
            </w:r>
          </w:p>
        </w:tc>
        <w:tc>
          <w:tcPr>
            <w:tcW w:w="13864" w:type="dxa"/>
            <w:gridSpan w:val="5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Опорные пластины: </w:t>
            </w:r>
          </w:p>
        </w:tc>
      </w:tr>
      <w:tr>
        <w:trPr>
          <w:trHeight w:val="285" w:hRule="atLeast"/>
        </w:trPr>
        <w:tc>
          <w:tcPr>
            <w:tcW w:w="1101" w:type="dxa"/>
            <w:vMerge w:val="restart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4343" w:type="dxa"/>
            <w:gridSpan w:val="2"/>
            <w:vMerge w:val="restart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Опорная пластина СВ-1</w:t>
            </w:r>
          </w:p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51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Габаритные размеры, мм</w:t>
            </w:r>
          </w:p>
        </w:tc>
        <w:tc>
          <w:tcPr>
            <w:tcW w:w="316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450х400х20</w:t>
            </w:r>
          </w:p>
        </w:tc>
        <w:tc>
          <w:tcPr>
            <w:tcW w:w="3842" w:type="dxa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" w:cstheme="minorBidi" w:eastAsiaTheme="minorHAnsi"/>
                <w:i w:val="false"/>
                <w:iCs w:val="false"/>
                <w:color w:val="FF0000"/>
                <w:kern w:val="0"/>
                <w:sz w:val="22"/>
                <w:szCs w:val="22"/>
                <w:lang w:val="ru-RU" w:eastAsia="en-US" w:bidi="ar-SA"/>
              </w:rPr>
              <w:t xml:space="preserve">ГОСТ </w:t>
            </w:r>
            <w:r>
              <w:rPr>
                <w:rStyle w:val="Strong"/>
                <w:rFonts w:eastAsia="Calibri" w:cs="" w:cstheme="minorBidi" w:eastAsiaTheme="minorHAnsi"/>
                <w:b w:val="false"/>
                <w:i w:val="false"/>
                <w:iCs w:val="false"/>
                <w:caps w:val="false"/>
                <w:smallCaps w:val="false"/>
                <w:color w:val="FF0000"/>
                <w:spacing w:val="0"/>
                <w:kern w:val="0"/>
                <w:sz w:val="22"/>
                <w:szCs w:val="22"/>
                <w:lang w:val="ru-RU" w:eastAsia="en-US" w:bidi="ar-SA"/>
              </w:rPr>
              <w:t>19281-2014 </w:t>
            </w:r>
          </w:p>
        </w:tc>
      </w:tr>
      <w:tr>
        <w:trPr>
          <w:trHeight w:val="285" w:hRule="atLeast"/>
        </w:trPr>
        <w:tc>
          <w:tcPr>
            <w:tcW w:w="1101" w:type="dxa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43" w:type="dxa"/>
            <w:gridSpan w:val="2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51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Марка стали </w:t>
            </w:r>
          </w:p>
        </w:tc>
        <w:tc>
          <w:tcPr>
            <w:tcW w:w="316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09Г2С</w:t>
            </w:r>
          </w:p>
        </w:tc>
        <w:tc>
          <w:tcPr>
            <w:tcW w:w="3842" w:type="dxa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FF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FF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1101" w:type="dxa"/>
            <w:vMerge w:val="restart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2.2</w:t>
            </w:r>
          </w:p>
        </w:tc>
        <w:tc>
          <w:tcPr>
            <w:tcW w:w="4343" w:type="dxa"/>
            <w:gridSpan w:val="2"/>
            <w:vMerge w:val="restart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Опорная пластина СВ-2</w:t>
            </w:r>
          </w:p>
        </w:tc>
        <w:tc>
          <w:tcPr>
            <w:tcW w:w="251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Габаритные размеры, мм</w:t>
            </w:r>
          </w:p>
        </w:tc>
        <w:tc>
          <w:tcPr>
            <w:tcW w:w="316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615х450х20</w:t>
            </w:r>
          </w:p>
        </w:tc>
        <w:tc>
          <w:tcPr>
            <w:tcW w:w="3842" w:type="dxa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" w:cstheme="minorBidi" w:eastAsiaTheme="minorHAnsi"/>
                <w:i w:val="false"/>
                <w:iCs w:val="false"/>
                <w:color w:val="FF0000"/>
                <w:kern w:val="0"/>
                <w:sz w:val="22"/>
                <w:szCs w:val="22"/>
                <w:lang w:val="ru-RU" w:eastAsia="en-US" w:bidi="ar-SA"/>
              </w:rPr>
              <w:t xml:space="preserve">ГОСТ </w:t>
            </w:r>
            <w:r>
              <w:rPr>
                <w:rStyle w:val="Strong"/>
                <w:rFonts w:eastAsia="Calibri" w:cs="" w:cstheme="minorBidi" w:eastAsiaTheme="minorHAnsi"/>
                <w:b w:val="false"/>
                <w:i w:val="false"/>
                <w:iCs w:val="false"/>
                <w:caps w:val="false"/>
                <w:smallCaps w:val="false"/>
                <w:color w:val="FF0000"/>
                <w:spacing w:val="0"/>
                <w:kern w:val="0"/>
                <w:sz w:val="22"/>
                <w:szCs w:val="22"/>
                <w:lang w:val="ru-RU" w:eastAsia="en-US" w:bidi="ar-SA"/>
              </w:rPr>
              <w:t>19281-2014 </w:t>
            </w:r>
          </w:p>
        </w:tc>
      </w:tr>
      <w:tr>
        <w:trPr>
          <w:trHeight w:val="285" w:hRule="atLeast"/>
        </w:trPr>
        <w:tc>
          <w:tcPr>
            <w:tcW w:w="1101" w:type="dxa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43" w:type="dxa"/>
            <w:gridSpan w:val="2"/>
            <w:vMerge w:val="continue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51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Марка стали </w:t>
            </w:r>
          </w:p>
        </w:tc>
        <w:tc>
          <w:tcPr>
            <w:tcW w:w="316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41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09Г2С</w:t>
            </w:r>
          </w:p>
        </w:tc>
        <w:tc>
          <w:tcPr>
            <w:tcW w:w="3842" w:type="dxa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rFonts w:ascii="Times New Roman" w:hAnsi="Times New Roman" w:eastAsia="Calibri" w:cs="" w:cstheme="minorBidi" w:eastAsiaTheme="minorHAnsi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Style41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 w:ascii="Calibri" w:hAnsi="Calibri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3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1043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692860, Российская Федерация, Приморский край, г. Партизанск, улица Свердлова, 5А, площадка Партизанской ГРЭС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Производственный участок АО «Гидроремонт-ВКК» на Партизанской ГРЭС.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3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Приемка продукции</w:t>
            </w:r>
          </w:p>
        </w:tc>
        <w:tc>
          <w:tcPr>
            <w:tcW w:w="1043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Осуществляется только в рабочие дни с 9-00 до 12-00 и с 13-00 до 17-00.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2.2</w:t>
            </w:r>
          </w:p>
        </w:tc>
        <w:tc>
          <w:tcPr>
            <w:tcW w:w="1386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rFonts w:eastAsia="Calibri" w:cs=""/>
                <w:b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по тел. 8-962-845-49-60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b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13864" w:type="dxa"/>
            <w:gridSpan w:val="5"/>
            <w:tcBorders/>
            <w:shd w:color="auto" w:fill="FFFFFF" w:val="clear"/>
            <w:vAlign w:val="center"/>
          </w:tcPr>
          <w:p>
            <w:pPr>
              <w:pStyle w:val="Standard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color w:val="000000"/>
                <w:kern w:val="0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3.1</w:t>
            </w:r>
          </w:p>
        </w:tc>
        <w:tc>
          <w:tcPr>
            <w:tcW w:w="3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Сроки гарантии</w:t>
            </w:r>
          </w:p>
        </w:tc>
        <w:tc>
          <w:tcPr>
            <w:tcW w:w="1043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60" w:leader="none"/>
              </w:tabs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i w:val="false"/>
                <w:iCs w:val="false"/>
                <w:color w:val="000000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"/>
                <w:i w:val="false"/>
                <w:iCs w:val="false"/>
                <w:color w:val="FF0000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 xml:space="preserve">12 </w:t>
            </w:r>
            <w:r>
              <w:rPr>
                <w:rFonts w:eastAsia="Calibri" w:cs=""/>
                <w:i w:val="false"/>
                <w:iCs w:val="false"/>
                <w:color w:val="000000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месяцев с даты подписания сторонами ТОРГ-12 (УПД)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b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1386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b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4.1</w:t>
            </w:r>
          </w:p>
        </w:tc>
        <w:tc>
          <w:tcPr>
            <w:tcW w:w="3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1043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4"/>
                <w:lang w:val="ru-RU" w:eastAsia="en-US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 </w:t>
            </w: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со штампом отдела технического контроля (ОТК) изготовителя.</w:t>
            </w:r>
            <w:r>
              <w:rPr>
                <w:rFonts w:eastAsia="Calibri" w:cs=""/>
                <w:i w:val="false"/>
                <w:iCs w:val="false"/>
                <w:kern w:val="0"/>
                <w:sz w:val="22"/>
                <w:szCs w:val="24"/>
                <w:lang w:val="ru-RU" w:eastAsia="en-US" w:bidi="ar-SA"/>
              </w:rPr>
              <w:t>; товарную накладную унифицированной формы ТОРГ-12(УПД) в 2 экз.</w:t>
            </w:r>
            <w:r>
              <w:rPr>
                <w:rFonts w:eastAsia="Calibri" w:cs=""/>
                <w:bCs/>
                <w:i w:val="false"/>
                <w:iCs w:val="false"/>
                <w:kern w:val="0"/>
                <w:sz w:val="22"/>
                <w:szCs w:val="24"/>
                <w:lang w:val="ru-RU" w:eastAsia="en-US" w:bidi="ar-SA"/>
              </w:rPr>
              <w:t>, транспортную накладную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4.2</w:t>
            </w:r>
          </w:p>
        </w:tc>
        <w:tc>
          <w:tcPr>
            <w:tcW w:w="3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4"/>
                <w:lang w:val="ru-RU" w:eastAsia="x-none" w:bidi="ar-SA"/>
              </w:rPr>
              <w:t>Конструкторская документация серии КМД на шумозащитные экраны.</w:t>
            </w:r>
          </w:p>
        </w:tc>
        <w:tc>
          <w:tcPr>
            <w:tcW w:w="1043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4"/>
                <w:lang w:val="ru-RU" w:eastAsia="x-none" w:bidi="ar-SA"/>
              </w:rPr>
              <w:t>До начала производства шумозащитных экранов, разработать чертежи КМД, согласовать с Заказчиком. При этом крепежные элементы и комплекты метизов могут быть изменены производителем.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b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1386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b/>
                <w:i w:val="false"/>
                <w:iCs w:val="false"/>
                <w:color w:val="000000"/>
                <w:kern w:val="0"/>
                <w:sz w:val="22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11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5.1</w:t>
            </w:r>
          </w:p>
        </w:tc>
        <w:tc>
          <w:tcPr>
            <w:tcW w:w="1386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Продукция должна быть новой, ранее не использовавшейся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/>
                <w:bCs/>
                <w:i w:val="false"/>
                <w:iCs w:val="false"/>
                <w:color w:val="000000"/>
                <w:kern w:val="0"/>
                <w:sz w:val="22"/>
                <w:szCs w:val="22"/>
                <w:lang w:val="ru-RU" w:eastAsia="x-none" w:bidi="ar-SA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/>
                <w:bCs/>
                <w:i w:val="false"/>
                <w:iCs w:val="false"/>
                <w:color w:val="000000"/>
                <w:kern w:val="0"/>
                <w:sz w:val="22"/>
                <w:szCs w:val="22"/>
                <w:lang w:val="ru-RU" w:eastAsia="x-none" w:bidi="ar-SA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sectPr>
          <w:headerReference w:type="default" r:id="rId3"/>
          <w:footerReference w:type="default" r:id="rId4"/>
          <w:footerReference w:type="first" r:id="rId5"/>
          <w:type w:val="nextPage"/>
          <w:pgSz w:orient="landscape" w:w="16838" w:h="11906"/>
          <w:pgMar w:left="680" w:right="907" w:gutter="0" w:header="0" w:top="709" w:footer="852" w:bottom="122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tabs>
          <w:tab w:val="clear" w:pos="0"/>
        </w:tabs>
        <w:spacing w:before="120" w:after="60"/>
        <w:jc w:val="center"/>
        <w:rPr/>
      </w:pPr>
      <w:r>
        <w:rPr/>
        <w:t>3.</w:t>
        <w:tab/>
        <w:t>Требования к документации по ценообразованию на этапе закупки</w:t>
      </w:r>
    </w:p>
    <w:p>
      <w:pPr>
        <w:pStyle w:val="Normal"/>
        <w:tabs>
          <w:tab w:val="clear" w:pos="709"/>
        </w:tabs>
        <w:spacing w:before="120" w:after="60"/>
        <w:jc w:val="left"/>
        <w:rPr/>
      </w:pPr>
      <w:r>
        <w:rPr/>
        <w:t>3.1.  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tabs>
          <w:tab w:val="clear" w:pos="709"/>
        </w:tabs>
        <w:spacing w:before="120" w:after="60"/>
        <w:jc w:val="left"/>
        <w:rPr/>
      </w:pPr>
      <w:r>
        <w:rPr/>
        <w:t>3.2.   Дополнительные документы по ценообразованию в состав заявки не включаются</w:t>
      </w:r>
    </w:p>
    <w:p>
      <w:pPr>
        <w:pStyle w:val="Normal"/>
        <w:keepNext w:val="true"/>
        <w:numPr>
          <w:ilvl w:val="0"/>
          <w:numId w:val="0"/>
        </w:numPr>
        <w:ind w:left="142" w:hanging="0"/>
        <w:jc w:val="both"/>
        <w:outlineLvl w:val="0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ind w:left="142" w:hanging="0"/>
        <w:jc w:val="both"/>
        <w:outlineLvl w:val="0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ind w:left="142" w:hanging="0"/>
        <w:jc w:val="both"/>
        <w:outlineLvl w:val="0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ind w:left="142" w:hanging="0"/>
        <w:jc w:val="both"/>
        <w:outlineLvl w:val="0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ind w:left="142" w:hanging="0"/>
        <w:jc w:val="both"/>
        <w:outlineLvl w:val="0"/>
        <w:rPr/>
      </w:pPr>
      <w:r>
        <w:rPr/>
      </w:r>
    </w:p>
    <w:p>
      <w:pPr>
        <w:pStyle w:val="Normal"/>
        <w:ind w:left="142" w:hanging="0"/>
        <w:rPr/>
      </w:pPr>
      <w:r>
        <w:rPr/>
      </w:r>
    </w:p>
    <w:p>
      <w:pPr>
        <w:pStyle w:val="Normal"/>
        <w:ind w:left="142" w:hanging="0"/>
        <w:rPr>
          <w:lang w:val="x-none"/>
        </w:rPr>
      </w:pPr>
      <w:r>
        <w:rPr>
          <w:lang w:val="x-none"/>
        </w:rPr>
      </w:r>
    </w:p>
    <w:p>
      <w:pPr>
        <w:pStyle w:val="Normal"/>
        <w:ind w:left="142" w:hanging="0"/>
        <w:rPr/>
      </w:pPr>
      <w:r>
        <w:rPr/>
      </w:r>
    </w:p>
    <w:p>
      <w:pPr>
        <w:pStyle w:val="Normal"/>
        <w:ind w:left="142" w:hanging="0"/>
        <w:rPr>
          <w:lang w:val="x-none"/>
        </w:rPr>
      </w:pPr>
      <w:r>
        <w:rPr>
          <w:lang w:val="x-none"/>
        </w:rPr>
      </w:r>
    </w:p>
    <w:p>
      <w:pPr>
        <w:pStyle w:val="Normal"/>
        <w:ind w:left="142" w:hanging="0"/>
        <w:rPr/>
      </w:pPr>
      <w:r>
        <w:rPr/>
      </w:r>
    </w:p>
    <w:p>
      <w:pPr>
        <w:pStyle w:val="Normal"/>
        <w:rPr>
          <w:lang w:val="x-none"/>
        </w:rPr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701" w:right="850" w:gutter="0" w:header="0" w:top="1134" w:footer="1134" w:bottom="1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70450984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2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73372983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78649407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</w:rPr>
    </w:pPr>
    <w:r>
      <w:rPr>
        <w:b/>
        <w:bCs/>
      </w:rPr>
      <w:tab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</w:rPr>
    </w:pPr>
    <w:r>
      <w:rPr>
        <w:b/>
        <w:bCs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3905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567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933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37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941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3445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949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4453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5029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3905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color w:val="000000"/>
      </w:rPr>
    </w:lvl>
    <w:lvl w:ilvl="1">
      <w:start w:val="1"/>
      <w:numFmt w:val="decimal"/>
      <w:lvlText w:val="%1.%2."/>
      <w:lvlJc w:val="center"/>
      <w:pPr>
        <w:tabs>
          <w:tab w:val="num" w:pos="1135"/>
        </w:tabs>
        <w:ind w:left="1567" w:hanging="1340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933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37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941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3445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949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4453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5029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47fa9"/>
    <w:pPr>
      <w:keepNext w:val="true"/>
      <w:tabs>
        <w:tab w:val="clear" w:pos="709"/>
        <w:tab w:val="left" w:pos="0" w:leader="none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447fa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link w:val="Footnote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sid w:val="00cd6e4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link w:val="Textbodyinde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link w:val="Textbody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Hyperlink">
    <w:name w:val="Hyperlink"/>
    <w:uiPriority w:val="99"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6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99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link w:val="Endnote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sid w:val="00cd6e4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4" w:customStyle="1">
    <w:name w:val="Пункт2 Знак"/>
    <w:link w:val="27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10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Style18" w:customStyle="1">
    <w:name w:val="Текст Знак"/>
    <w:basedOn w:val="DefaultParagraphFont"/>
    <w:link w:val="PlainText"/>
    <w:uiPriority w:val="99"/>
    <w:semiHidden/>
    <w:qFormat/>
    <w:rsid w:val="004f1ff6"/>
    <w:rPr>
      <w:rFonts w:ascii="Consolas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9f7047"/>
    <w:rPr>
      <w:color w:val="954F72"/>
      <w:u w:val="single"/>
    </w:rPr>
  </w:style>
  <w:style w:type="character" w:styleId="25" w:customStyle="1">
    <w:name w:val="Гиперссылка2"/>
    <w:qFormat/>
    <w:rPr>
      <w:color w:val="000080"/>
      <w:u w:val="single"/>
    </w:rPr>
  </w:style>
  <w:style w:type="character" w:styleId="Value" w:customStyle="1">
    <w:name w:val="value"/>
    <w:qFormat/>
    <w:rPr/>
  </w:style>
  <w:style w:type="character" w:styleId="Text" w:customStyle="1">
    <w:name w:val="text"/>
    <w:qFormat/>
    <w:rPr/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14" w:customStyle="1">
    <w:name w:val="Гиперссылка1"/>
    <w:qFormat/>
    <w:rPr>
      <w:color w:val="0000FF"/>
      <w:u w:val="single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rsid w:val="00734d42"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5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6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6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9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9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rsid w:val="00cd6e45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7" w:customStyle="1">
    <w:name w:val="Пункт2"/>
    <w:basedOn w:val="Normal"/>
    <w:link w:val="24"/>
    <w:qFormat/>
    <w:rsid w:val="00cd6e45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8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Caption1111111" w:customStyle="1">
    <w:name w:val="caption1111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41" w:customStyle="1">
    <w:name w:val="Маркированный список 41"/>
    <w:basedOn w:val="Normal"/>
    <w:qFormat/>
    <w:rsid w:val="00cd6e45"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9" w:customStyle="1">
    <w:name w:val="Нумерованный список ур2"/>
    <w:basedOn w:val="Normal"/>
    <w:qFormat/>
    <w:rsid w:val="00cd6e45"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rsid w:val="00cd6e45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8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cd6e45"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 w:customStyle="1">
    <w:name w:val="УРОВЕНЬ_Абзац_тип2"/>
    <w:basedOn w:val="ListParagraph"/>
    <w:qFormat/>
    <w:rsid w:val="00cd6e45"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cd6e45"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1" w:customStyle="1">
    <w:name w:val="Заголовок 2 КВВ"/>
    <w:basedOn w:val="Normal"/>
    <w:qFormat/>
    <w:rsid w:val="00cd6e4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0" w:customStyle="1">
    <w:name w:val="УРОВЕНЬ_1."/>
    <w:basedOn w:val="ListParagraph"/>
    <w:link w:val="12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9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9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1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rsid w:val="00cd6e45"/>
    <w:pPr>
      <w:tabs>
        <w:tab w:val="clear" w:pos="709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PlainText">
    <w:name w:val="Plain Text"/>
    <w:basedOn w:val="Normal"/>
    <w:link w:val="Style18"/>
    <w:uiPriority w:val="99"/>
    <w:semiHidden/>
    <w:unhideWhenUsed/>
    <w:qFormat/>
    <w:rsid w:val="004f1ff6"/>
    <w:pPr/>
    <w:rPr>
      <w:rFonts w:ascii="Consolas" w:hAnsi="Consolas"/>
      <w:sz w:val="21"/>
      <w:szCs w:val="21"/>
    </w:rPr>
  </w:style>
  <w:style w:type="paragraph" w:styleId="Standard" w:customStyle="1">
    <w:name w:val="Standard"/>
    <w:qFormat/>
    <w:rsid w:val="003f0f24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Msonormal" w:customStyle="1">
    <w:name w:val="msonormal"/>
    <w:basedOn w:val="Normal"/>
    <w:qFormat/>
    <w:rsid w:val="009f7047"/>
    <w:pP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Font5" w:customStyle="1">
    <w:name w:val="font5"/>
    <w:basedOn w:val="Normal"/>
    <w:qFormat/>
    <w:rsid w:val="009f7047"/>
    <w:pPr>
      <w:suppressAutoHyphens w:val="false"/>
      <w:spacing w:beforeAutospacing="1" w:afterAutospacing="1"/>
    </w:pPr>
    <w:rPr>
      <w:rFonts w:eastAsia="Times New Roman" w:cs="Times New Roman"/>
      <w:color w:val="000000"/>
      <w:szCs w:val="24"/>
      <w:lang w:eastAsia="ru-RU"/>
    </w:rPr>
  </w:style>
  <w:style w:type="paragraph" w:styleId="Font6" w:customStyle="1">
    <w:name w:val="font6"/>
    <w:basedOn w:val="Normal"/>
    <w:qFormat/>
    <w:rsid w:val="009f7047"/>
    <w:pPr>
      <w:suppressAutoHyphens w:val="false"/>
      <w:spacing w:beforeAutospacing="1" w:afterAutospacing="1"/>
    </w:pPr>
    <w:rPr>
      <w:rFonts w:eastAsia="Times New Roman" w:cs="Times New Roman"/>
      <w:b/>
      <w:bCs/>
      <w:color w:val="000000"/>
      <w:szCs w:val="24"/>
      <w:lang w:eastAsia="ru-RU"/>
    </w:rPr>
  </w:style>
  <w:style w:type="paragraph" w:styleId="Xl65" w:customStyle="1">
    <w:name w:val="xl65"/>
    <w:basedOn w:val="Normal"/>
    <w:qFormat/>
    <w:rsid w:val="009f7047"/>
    <w:pPr>
      <w:suppressAutoHyphens w:val="false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Xl66" w:customStyle="1">
    <w:name w:val="xl66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styleId="Xl67" w:customStyle="1">
    <w:name w:val="xl67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styleId="Xl68" w:customStyle="1">
    <w:name w:val="xl68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Xl69" w:customStyle="1">
    <w:name w:val="xl69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styleId="Xl70" w:customStyle="1">
    <w:name w:val="xl70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Xl71" w:customStyle="1">
    <w:name w:val="xl71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Xl72" w:customStyle="1">
    <w:name w:val="xl72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styleId="Xl73" w:customStyle="1">
    <w:name w:val="xl73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Xl74" w:customStyle="1">
    <w:name w:val="xl74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styleId="Xl75" w:customStyle="1">
    <w:name w:val="xl75"/>
    <w:basedOn w:val="Normal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styleId="Xl76" w:customStyle="1">
    <w:name w:val="xl76"/>
    <w:basedOn w:val="Normal"/>
    <w:qFormat/>
    <w:rsid w:val="009f7047"/>
    <w:pPr>
      <w:pBdr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styleId="Xl77" w:customStyle="1">
    <w:name w:val="xl77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styleId="Xl78" w:customStyle="1">
    <w:name w:val="xl78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styleId="Xl79" w:customStyle="1">
    <w:name w:val="xl79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Xl80" w:customStyle="1">
    <w:name w:val="xl80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styleId="Xl81" w:customStyle="1">
    <w:name w:val="xl81"/>
    <w:basedOn w:val="Normal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styleId="Xl82" w:customStyle="1">
    <w:name w:val="xl82"/>
    <w:basedOn w:val="Normal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styleId="Xl83" w:customStyle="1">
    <w:name w:val="xl83"/>
    <w:basedOn w:val="Normal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styleId="Xl84" w:customStyle="1">
    <w:name w:val="xl84"/>
    <w:basedOn w:val="Normal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styleId="Xl85" w:customStyle="1">
    <w:name w:val="xl85"/>
    <w:basedOn w:val="Normal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Xl86" w:customStyle="1">
    <w:name w:val="xl86"/>
    <w:basedOn w:val="Normal"/>
    <w:qFormat/>
    <w:rsid w:val="009f7047"/>
    <w:pPr>
      <w:pBdr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Xl87" w:customStyle="1">
    <w:name w:val="xl87"/>
    <w:basedOn w:val="Normal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212" w:customStyle="1">
    <w:name w:val="Обычный2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12" w:customStyle="1">
    <w:name w:val="Знак Знак Знак Знак1"/>
    <w:basedOn w:val="Standard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tents8" w:customStyle="1">
    <w:name w:val="Contents 8"/>
    <w:basedOn w:val="Standard"/>
    <w:next w:val="Standard"/>
    <w:qFormat/>
    <w:pPr>
      <w:ind w:left="1680" w:hanging="0"/>
    </w:pPr>
    <w:rPr>
      <w:rFonts w:ascii="Calibri" w:hAnsi="Calibri" w:eastAsia="Calibri" w:cs="Calibri"/>
      <w:sz w:val="20"/>
      <w:szCs w:val="20"/>
      <w:lang w:eastAsia="ru-RU"/>
    </w:rPr>
  </w:style>
  <w:style w:type="paragraph" w:styleId="Contents7" w:customStyle="1">
    <w:name w:val="Contents 7"/>
    <w:basedOn w:val="Standard"/>
    <w:next w:val="Standard"/>
    <w:qFormat/>
    <w:pPr>
      <w:ind w:left="1400" w:hanging="0"/>
    </w:pPr>
    <w:rPr>
      <w:rFonts w:ascii="Calibri" w:hAnsi="Calibri" w:eastAsia="Calibri" w:cs="Calibri"/>
      <w:sz w:val="20"/>
      <w:szCs w:val="20"/>
      <w:lang w:eastAsia="ru-RU"/>
    </w:rPr>
  </w:style>
  <w:style w:type="paragraph" w:styleId="Contents6" w:customStyle="1">
    <w:name w:val="Contents 6"/>
    <w:basedOn w:val="Standard"/>
    <w:next w:val="Standard"/>
    <w:qFormat/>
    <w:pPr>
      <w:ind w:left="1120" w:hanging="0"/>
    </w:pPr>
    <w:rPr>
      <w:rFonts w:ascii="Calibri" w:hAnsi="Calibri" w:eastAsia="Calibri" w:cs="Calibri"/>
      <w:sz w:val="20"/>
      <w:szCs w:val="20"/>
      <w:lang w:eastAsia="ru-RU"/>
    </w:rPr>
  </w:style>
  <w:style w:type="paragraph" w:styleId="Endnote" w:customStyle="1">
    <w:name w:val="Endnote"/>
    <w:basedOn w:val="Standard"/>
    <w:link w:val="Style16"/>
    <w:qFormat/>
    <w:pPr/>
    <w:rPr>
      <w:sz w:val="20"/>
      <w:szCs w:val="20"/>
      <w:lang w:eastAsia="ru-RU"/>
    </w:rPr>
  </w:style>
  <w:style w:type="paragraph" w:styleId="311" w:customStyle="1">
    <w:name w:val="Список 31"/>
    <w:basedOn w:val="Standard"/>
    <w:qFormat/>
    <w:pPr>
      <w:spacing w:before="120" w:after="0"/>
      <w:jc w:val="both"/>
    </w:pPr>
    <w:rPr>
      <w:rFonts w:ascii="Garamond" w:hAnsi="Garamond" w:eastAsia="Garamond" w:cs="Garamond"/>
      <w:szCs w:val="20"/>
      <w:lang w:eastAsia="ru-RU"/>
    </w:rPr>
  </w:style>
  <w:style w:type="paragraph" w:styleId="ContentsHeading" w:customStyle="1">
    <w:name w:val="Contents Heading"/>
    <w:basedOn w:val="Heading1"/>
    <w:next w:val="Standard"/>
    <w:qFormat/>
    <w:pPr>
      <w:keepLines/>
      <w:tabs>
        <w:tab w:val="clear" w:pos="0"/>
        <w:tab w:val="left" w:pos="3905" w:leader="none"/>
      </w:tabs>
      <w:spacing w:before="480" w:after="120"/>
      <w:ind w:left="3196" w:hanging="360"/>
    </w:pPr>
    <w:rPr>
      <w:rFonts w:ascii="Cambria" w:hAnsi="Cambria" w:eastAsia="Cambria" w:cs="Cambria"/>
      <w:bCs/>
      <w:color w:val="365F91"/>
    </w:rPr>
  </w:style>
  <w:style w:type="paragraph" w:styleId="Contents4" w:customStyle="1">
    <w:name w:val="Contents 4"/>
    <w:basedOn w:val="Standard"/>
    <w:next w:val="Standard"/>
    <w:qFormat/>
    <w:pPr>
      <w:ind w:left="560" w:hanging="0"/>
    </w:pPr>
    <w:rPr>
      <w:rFonts w:cs="Calibri"/>
      <w:sz w:val="20"/>
      <w:szCs w:val="20"/>
      <w:lang w:eastAsia="ru-RU"/>
    </w:rPr>
  </w:style>
  <w:style w:type="paragraph" w:styleId="Contents5" w:customStyle="1">
    <w:name w:val="Contents 5"/>
    <w:basedOn w:val="Standard"/>
    <w:next w:val="Standard"/>
    <w:qFormat/>
    <w:pPr>
      <w:ind w:left="840" w:hanging="0"/>
    </w:pPr>
    <w:rPr>
      <w:rFonts w:ascii="Calibri" w:hAnsi="Calibri" w:eastAsia="Calibri" w:cs="Calibri"/>
      <w:sz w:val="20"/>
      <w:szCs w:val="20"/>
      <w:lang w:eastAsia="ru-RU"/>
    </w:rPr>
  </w:style>
  <w:style w:type="paragraph" w:styleId="Contents9" w:customStyle="1">
    <w:name w:val="Contents 9"/>
    <w:basedOn w:val="Standard"/>
    <w:next w:val="Standard"/>
    <w:qFormat/>
    <w:pPr>
      <w:ind w:left="1960" w:hanging="0"/>
    </w:pPr>
    <w:rPr>
      <w:rFonts w:ascii="Calibri" w:hAnsi="Calibri" w:eastAsia="Calibri" w:cs="Calibri"/>
      <w:sz w:val="20"/>
      <w:szCs w:val="20"/>
      <w:lang w:eastAsia="ru-RU"/>
    </w:rPr>
  </w:style>
  <w:style w:type="paragraph" w:styleId="Contents2" w:customStyle="1">
    <w:name w:val="Contents 2"/>
    <w:basedOn w:val="Standard"/>
    <w:next w:val="Standard"/>
    <w:qFormat/>
    <w:pPr>
      <w:spacing w:before="240" w:after="0"/>
    </w:pPr>
    <w:rPr>
      <w:rFonts w:cs="Calibri"/>
      <w:b/>
      <w:bCs/>
      <w:sz w:val="20"/>
      <w:szCs w:val="20"/>
      <w:lang w:eastAsia="ru-RU"/>
    </w:rPr>
  </w:style>
  <w:style w:type="paragraph" w:styleId="Contents3" w:customStyle="1">
    <w:name w:val="Contents 3"/>
    <w:basedOn w:val="Standard"/>
    <w:next w:val="Standard"/>
    <w:qFormat/>
    <w:pPr>
      <w:ind w:left="280" w:hanging="0"/>
    </w:pPr>
    <w:rPr>
      <w:rFonts w:cs="Calibri"/>
      <w:sz w:val="20"/>
      <w:szCs w:val="20"/>
      <w:lang w:eastAsia="ru-RU"/>
    </w:rPr>
  </w:style>
  <w:style w:type="paragraph" w:styleId="Contents1" w:customStyle="1">
    <w:name w:val="Contents 1"/>
    <w:basedOn w:val="Standard"/>
    <w:next w:val="Standard"/>
    <w:qFormat/>
    <w:pPr>
      <w:spacing w:before="120" w:after="0"/>
    </w:pPr>
    <w:rPr>
      <w:rFonts w:cs="Calibri Light (Заголовки)"/>
      <w:b/>
      <w:bCs/>
      <w:szCs w:val="24"/>
      <w:lang w:eastAsia="ru-RU"/>
    </w:rPr>
  </w:style>
  <w:style w:type="paragraph" w:styleId="Textbodyindent" w:customStyle="1">
    <w:name w:val="Text body indent"/>
    <w:basedOn w:val="Standard"/>
    <w:link w:val="Style4"/>
    <w:qFormat/>
    <w:pPr>
      <w:ind w:left="360" w:hanging="0"/>
    </w:pPr>
    <w:rPr>
      <w:szCs w:val="24"/>
      <w:lang w:eastAsia="ru-RU"/>
    </w:rPr>
  </w:style>
  <w:style w:type="paragraph" w:styleId="Footnote" w:customStyle="1">
    <w:name w:val="Footnote"/>
    <w:basedOn w:val="Standard"/>
    <w:link w:val="Style1"/>
    <w:qFormat/>
    <w:pPr/>
    <w:rPr>
      <w:sz w:val="20"/>
      <w:szCs w:val="20"/>
      <w:lang w:eastAsia="ru-RU"/>
    </w:rPr>
  </w:style>
  <w:style w:type="paragraph" w:styleId="Textbody" w:customStyle="1">
    <w:name w:val="Text body"/>
    <w:basedOn w:val="Standard"/>
    <w:link w:val="Style6"/>
    <w:qFormat/>
    <w:pPr>
      <w:spacing w:before="0" w:after="120"/>
    </w:pPr>
    <w:rPr>
      <w:sz w:val="28"/>
      <w:szCs w:val="28"/>
      <w:lang w:eastAsia="ru-RU"/>
    </w:rPr>
  </w:style>
  <w:style w:type="paragraph" w:styleId="113" w:customStyle="1">
    <w:name w:val="Указатель1"/>
    <w:basedOn w:val="114"/>
    <w:qFormat/>
    <w:pPr/>
    <w:rPr/>
  </w:style>
  <w:style w:type="paragraph" w:styleId="114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2" w:customStyle="1">
    <w:name w:val="index heading2"/>
    <w:basedOn w:val="114"/>
    <w:qFormat/>
    <w:pPr>
      <w:suppressLineNumbers/>
    </w:pPr>
    <w:rPr>
      <w:b/>
      <w:bCs/>
      <w:sz w:val="32"/>
      <w:szCs w:val="32"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i/>
      <w:iCs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5" w:customStyle="1">
    <w:name w:val="Стиль1"/>
    <w:uiPriority w:val="99"/>
    <w:qFormat/>
    <w:rsid w:val="00cd6e45"/>
  </w:style>
  <w:style w:type="numbering" w:styleId="213" w:customStyle="1">
    <w:name w:val="Стиль2"/>
    <w:uiPriority w:val="99"/>
    <w:qFormat/>
    <w:rsid w:val="00cd6e45"/>
  </w:style>
  <w:style w:type="numbering" w:styleId="116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2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EFD2B-1007-44A4-9B2C-D43078C7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AlterOffice/3.4.0.9$Linux_X86_64 LibreOffice_project/b8daf9e823b1a5463a2f48435ddc2e8696e7d4fc</Application>
  <AppVersion>15.0000</AppVersion>
  <Pages>5</Pages>
  <Words>595</Words>
  <Characters>4036</Characters>
  <CharactersWithSpaces>4534</CharactersWithSpaces>
  <Paragraphs>129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2026-07-16T06:12:00Z</dcterms:created>
  <dc:creator>Егоров Виктор Викторович</dc:creator>
  <dc:description/>
  <dc:language>ru-RU</dc:language>
  <cp:lastModifiedBy>savilovoa@corp.gidroogk.com</cp:lastModifiedBy>
  <cp:lastPrinted>2024-02-06T07:29:00Z</cp:lastPrinted>
  <dcterms:modified xsi:type="dcterms:W3CDTF">2026-08-17T17:19:51Z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