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lineRule="auto" w:line="276"/>
        <w:ind w:left="5954" w:right="0" w:hanging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righ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keepNext w:val="true"/>
        <w:widowControl/>
        <w:numPr>
          <w:ilvl w:val="0"/>
          <w:numId w:val="0"/>
        </w:numPr>
        <w:tabs>
          <w:tab w:val="clear" w:pos="708"/>
          <w:tab w:val="left" w:pos="900" w:leader="none"/>
        </w:tabs>
        <w:suppressAutoHyphens w:val="true"/>
        <w:bidi w:val="0"/>
        <w:spacing w:lineRule="auto" w:line="276" w:before="0" w:after="0"/>
        <w:ind w:left="-397" w:right="0" w:hanging="0"/>
        <w:jc w:val="center"/>
        <w:outlineLvl w:val="0"/>
        <w:rPr/>
      </w:pPr>
      <w:r>
        <w:rPr>
          <w:rFonts w:eastAsia="Calibri" w:ascii="Times New Roman" w:hAnsi="Times New Roman"/>
          <w:szCs w:val="24"/>
          <w:shd w:fill="auto" w:val="clear"/>
        </w:rPr>
        <w:t xml:space="preserve">ОКПД2 </w:t>
      </w:r>
      <w:r>
        <w:rPr>
          <w:rStyle w:val="Strong"/>
          <w:rFonts w:eastAsia="Calibri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 xml:space="preserve">20.30.12.120 </w:t>
      </w:r>
      <w:r>
        <w:rPr>
          <w:rFonts w:ascii="Times New Roman" w:hAnsi="Times New Roman"/>
          <w:szCs w:val="24"/>
        </w:rPr>
        <w:t xml:space="preserve">Поставка </w:t>
      </w:r>
      <w:r>
        <w:rPr>
          <w:rFonts w:ascii="Times New Roman" w:hAnsi="Times New Roman"/>
          <w:szCs w:val="24"/>
        </w:rPr>
        <w:t>лакокрасочных</w:t>
      </w:r>
      <w:r>
        <w:rPr>
          <w:rFonts w:ascii="Times New Roman" w:hAnsi="Times New Roman"/>
          <w:szCs w:val="24"/>
        </w:rPr>
        <w:t xml:space="preserve"> материалов для выполнения работ на Саяно-Шушенской ГЭС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right="0" w:hanging="0"/>
        <w:jc w:val="center"/>
        <w:outlineLvl w:val="0"/>
        <w:rPr>
          <w:szCs w:val="24"/>
        </w:rPr>
      </w:pPr>
      <w:r>
        <w:rPr>
          <w:szCs w:val="24"/>
        </w:rPr>
        <w:t>(Лот №_______________________________</w:t>
      </w:r>
      <w:r>
        <w:rPr>
          <w:color w:val="auto"/>
          <w:szCs w:val="24"/>
        </w:rPr>
        <w:t>)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right="0" w:hanging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ind w:left="-340" w:right="0" w:hanging="0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Cs w:val="24"/>
        </w:rPr>
      </w:pPr>
      <w:r>
        <w:rPr>
          <w:rFonts w:eastAsia="Calibri"/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numPr>
          <w:ilvl w:val="0"/>
        </w:numPr>
        <w:tabs>
          <w:tab w:val="clear" w:pos="0"/>
          <w:tab w:val="left" w:pos="709" w:leader="none"/>
        </w:tabs>
        <w:ind w:left="432" w:right="0" w:hanging="0"/>
        <w:rPr/>
      </w:pPr>
      <w:r>
        <w:rPr>
          <w:lang w:val="ru-RU"/>
        </w:rPr>
        <w:t xml:space="preserve">    </w:t>
      </w: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right="0" w:firstLine="709"/>
        <w:rPr/>
      </w:pPr>
      <w:bookmarkStart w:id="0" w:name="_Toc75446568"/>
      <w:bookmarkStart w:id="1" w:name="_Toc46743506"/>
      <w:r>
        <w:rPr/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right="0" w:hanging="0"/>
        <w:jc w:val="left"/>
        <w:outlineLvl w:val="0"/>
        <w:rPr>
          <w:szCs w:val="24"/>
        </w:rPr>
      </w:pPr>
      <w:r>
        <w:rPr>
          <w:szCs w:val="24"/>
        </w:rPr>
        <w:tab/>
      </w:r>
      <w:r>
        <w:rPr>
          <w:rFonts w:eastAsia="Calibri" w:ascii="Times New Roman" w:hAnsi="Times New Roman"/>
          <w:szCs w:val="24"/>
          <w:shd w:fill="auto" w:val="clear"/>
        </w:rPr>
        <w:t xml:space="preserve">ОКПД2 </w:t>
      </w:r>
      <w:r>
        <w:rPr>
          <w:rStyle w:val="Strong"/>
          <w:rFonts w:eastAsia="Calibri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 xml:space="preserve">20.30.12.120 </w:t>
      </w:r>
      <w:r>
        <w:rPr>
          <w:rFonts w:ascii="Times New Roman" w:hAnsi="Times New Roman"/>
          <w:szCs w:val="24"/>
        </w:rPr>
        <w:t xml:space="preserve">Поставка </w:t>
      </w:r>
      <w:r>
        <w:rPr>
          <w:rFonts w:ascii="Times New Roman" w:hAnsi="Times New Roman"/>
          <w:szCs w:val="24"/>
        </w:rPr>
        <w:t>лакокрасочных</w:t>
      </w:r>
      <w:r>
        <w:rPr>
          <w:rFonts w:ascii="Times New Roman" w:hAnsi="Times New Roman"/>
          <w:szCs w:val="24"/>
        </w:rPr>
        <w:t xml:space="preserve"> материалов для выполнения работ на Саяно-Шушенской ГЭС</w:t>
      </w:r>
      <w:r>
        <w:rPr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(Далее продукция)</w:t>
      </w:r>
      <w:r>
        <w:rPr>
          <w:color w:val="auto"/>
          <w:szCs w:val="24"/>
        </w:rPr>
        <w:t>.</w:t>
      </w:r>
      <w:bookmarkStart w:id="2" w:name="_Toc75446569"/>
    </w:p>
    <w:p>
      <w:pPr>
        <w:pStyle w:val="Normal"/>
        <w:rPr/>
      </w:pPr>
      <w:r>
        <w:rPr/>
      </w:r>
    </w:p>
    <w:p>
      <w:pPr>
        <w:pStyle w:val="Heading4"/>
        <w:numPr>
          <w:ilvl w:val="1"/>
          <w:numId w:val="1"/>
        </w:numPr>
        <w:ind w:left="0" w:right="0" w:firstLine="709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  <w:bookmarkEnd w:id="2"/>
      <w:r>
        <w:rPr/>
        <w:t xml:space="preserve"> </w:t>
      </w:r>
    </w:p>
    <w:p>
      <w:pPr>
        <w:pStyle w:val="Normal"/>
        <w:ind w:left="0" w:right="0" w:firstLine="432"/>
        <w:jc w:val="both"/>
        <w:rPr>
          <w:rFonts w:eastAsia="Times New Roman" w:cs="Times New Roman"/>
          <w:bCs/>
          <w:szCs w:val="24"/>
          <w:shd w:fill="FFFFFF" w:val="clear"/>
          <w:lang w:eastAsia="ru-RU"/>
        </w:rPr>
      </w:pPr>
      <w:r>
        <w:rPr>
          <w:rFonts w:eastAsia="Times New Roman" w:cs="Times New Roman"/>
          <w:bCs/>
          <w:szCs w:val="24"/>
          <w:shd w:fill="FFFFFF" w:val="clear"/>
          <w:lang w:eastAsia="ru-RU"/>
        </w:rPr>
        <w:tab/>
        <w:t>Исполнение доходного договора:</w:t>
      </w:r>
    </w:p>
    <w:p>
      <w:pPr>
        <w:pStyle w:val="Normal"/>
        <w:ind w:left="0" w:right="0" w:firstLine="432"/>
        <w:jc w:val="both"/>
        <w:rPr>
          <w:szCs w:val="24"/>
        </w:rPr>
      </w:pPr>
      <w:r>
        <w:rPr>
          <w:szCs w:val="24"/>
        </w:rPr>
        <w:t xml:space="preserve">- </w:t>
      </w: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en-US"/>
        </w:rPr>
        <w:t>ВЗЛ ТПИР_ПРОЕКТ_ ЦОД СШГЭС «Строительство Центра обработки данных в производственном помещении филиала ПАО «РусГидро» – «СШГЭС»»</w:t>
      </w: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x-none"/>
        </w:rPr>
        <w:t>, заключенный между ПАО «РусГидро» и АО «Гидроремонт-ВКК».</w:t>
      </w:r>
    </w:p>
    <w:p>
      <w:pPr>
        <w:pStyle w:val="Normal"/>
        <w:ind w:left="0" w:right="0" w:firstLine="432"/>
        <w:jc w:val="both"/>
        <w:rPr>
          <w:szCs w:val="24"/>
        </w:rPr>
      </w:pP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x-none"/>
        </w:rPr>
        <w:t xml:space="preserve">- </w:t>
      </w: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eastAsia="ru-RU"/>
        </w:rPr>
        <w:t xml:space="preserve">Лот 0026-ТПиР БЕЗОП-2026-СШГЭС </w:t>
      </w: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ru-RU"/>
        </w:rPr>
        <w:t xml:space="preserve">Модернизация комплекса инженерно-технических средств физической защиты Саяно-Шушенской ГЭС в районе берегового водосброса, левобережного примыкания плотины,Карлового лога и Майнской ГЭС в районе трансформаторной площадки, правобережной части плотины в рамках инвестиционного проекта Q_0117-8ОКПД2 27.90.1 (Обоснование закупки </w:t>
      </w: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2C2D2E"/>
          <w:spacing w:val="0"/>
          <w:sz w:val="24"/>
          <w:szCs w:val="24"/>
          <w:shd w:fill="auto" w:val="clear"/>
          <w:lang w:eastAsia="ru-RU"/>
        </w:rPr>
        <w:t xml:space="preserve">ВЗЛ между </w:t>
      </w:r>
      <w:r>
        <w:rPr>
          <w:rStyle w:val="Style"/>
          <w:rFonts w:eastAsia="Calibri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2C2D2E"/>
          <w:spacing w:val="0"/>
          <w:sz w:val="24"/>
          <w:szCs w:val="24"/>
          <w:shd w:fill="auto" w:val="clear"/>
          <w:lang w:eastAsia="en-US"/>
        </w:rPr>
        <w:t>ПАО “РусГидро” и АО “Гидроремонт-ВКК”)</w:t>
      </w:r>
    </w:p>
    <w:p>
      <w:pPr>
        <w:pStyle w:val="Normal"/>
        <w:ind w:left="0" w:right="0" w:firstLine="432"/>
        <w:jc w:val="both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1"/>
        </w:numPr>
        <w:ind w:left="0" w:right="0" w:firstLine="709"/>
        <w:rPr>
          <w:caps/>
          <w:lang w:val="ru-RU"/>
        </w:rPr>
      </w:pPr>
      <w:bookmarkStart w:id="4" w:name="_Toc51339693"/>
      <w:bookmarkStart w:id="5" w:name="_Toc75446573"/>
      <w:r>
        <w:rPr/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1"/>
        </w:numPr>
        <w:ind w:left="0" w:right="0" w:firstLine="709"/>
        <w:rPr/>
      </w:pPr>
      <w:bookmarkStart w:id="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right="0" w:firstLine="709"/>
        <w:rPr/>
      </w:pPr>
      <w:bookmarkStart w:id="7" w:name="_Toc75446575"/>
      <w:r>
        <w:rPr/>
        <w:t>Перечень и объем закупаемой продукции</w:t>
      </w:r>
      <w:bookmarkEnd w:id="7"/>
    </w:p>
    <w:p>
      <w:pPr>
        <w:pStyle w:val="Normal"/>
        <w:ind w:left="0" w:right="0" w:firstLine="709"/>
        <w:rPr/>
      </w:pPr>
      <w:r>
        <w:rPr/>
      </w:r>
    </w:p>
    <w:p>
      <w:pPr>
        <w:pStyle w:val="Normal"/>
        <w:jc w:val="both"/>
        <w:rPr>
          <w:szCs w:val="24"/>
        </w:rPr>
      </w:pPr>
      <w:bookmarkStart w:id="8" w:name="_Toc75446576"/>
      <w:bookmarkStart w:id="9" w:name="_Toc51339695"/>
      <w:r>
        <w:rPr>
          <w:szCs w:val="24"/>
        </w:rPr>
        <w:t xml:space="preserve">Таблица 2.1 Перечень </w:t>
      </w:r>
      <w:bookmarkEnd w:id="9"/>
      <w:r>
        <w:rPr>
          <w:szCs w:val="24"/>
        </w:rPr>
        <w:t>и объем закупаемой продукци</w:t>
      </w:r>
      <w:bookmarkEnd w:id="8"/>
      <w:r>
        <w:rPr>
          <w:szCs w:val="24"/>
        </w:rPr>
        <w:t>и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tbl>
      <w:tblPr>
        <w:tblW w:w="946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5974"/>
        <w:gridCol w:w="1304"/>
        <w:gridCol w:w="1409"/>
      </w:tblGrid>
      <w:tr>
        <w:trPr>
          <w:trHeight w:val="567" w:hRule="atLeast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олисилоксановая композиция Армакот V500 чёрный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кг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96,5</w:t>
            </w:r>
          </w:p>
        </w:tc>
      </w:tr>
      <w:tr>
        <w:trPr>
          <w:trHeight w:val="287" w:hRule="atLeast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олисилоксановая композиция Армакот V500 желтый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кг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5,35</w:t>
            </w:r>
          </w:p>
        </w:tc>
      </w:tr>
      <w:tr>
        <w:trPr>
          <w:trHeight w:val="28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5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олисилоксановая композиция Армакот V500 зеленый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кг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5,35</w:t>
            </w:r>
          </w:p>
        </w:tc>
      </w:tr>
      <w:tr>
        <w:trPr>
          <w:trHeight w:val="28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5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Армокот V500 (RAL 9002)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кг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309,41</w:t>
            </w:r>
          </w:p>
        </w:tc>
      </w:tr>
      <w:tr>
        <w:trPr>
          <w:trHeight w:val="288" w:hRule="atLeast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5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Э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маль Армакот V500 (Ral: 7035)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кг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3"/>
        <w:numPr>
          <w:ilvl w:val="2"/>
          <w:numId w:val="1"/>
        </w:numPr>
        <w:ind w:left="0" w:right="0" w:firstLine="709"/>
        <w:rPr>
          <w:color w:val="auto"/>
        </w:rPr>
      </w:pPr>
      <w:r>
        <w:rPr>
          <w:color w:val="auto"/>
        </w:rPr>
        <w:t xml:space="preserve">Требования к срокам поставки продукции </w:t>
      </w:r>
    </w:p>
    <w:p>
      <w:pPr>
        <w:pStyle w:val="Normal"/>
        <w:rPr>
          <w:color w:val="auto"/>
        </w:rPr>
      </w:pPr>
      <w:bookmarkStart w:id="10" w:name="_Toc75446579"/>
      <w:bookmarkStart w:id="11" w:name="_Toc51339697"/>
      <w:bookmarkStart w:id="12" w:name="_Toc50125127"/>
      <w:r>
        <w:rPr>
          <w:rFonts w:eastAsia="Calibri"/>
          <w:color w:val="auto"/>
          <w:szCs w:val="24"/>
          <w:lang w:eastAsia="x-none"/>
        </w:rPr>
        <w:t xml:space="preserve">Таблица 2.2 </w:t>
      </w:r>
      <w:bookmarkStart w:id="13" w:name="_Hlk50465284"/>
      <w:r>
        <w:rPr>
          <w:rFonts w:eastAsia="Calibri"/>
          <w:color w:val="auto"/>
          <w:szCs w:val="24"/>
          <w:lang w:eastAsia="x-none"/>
        </w:rPr>
        <w:t xml:space="preserve">Требования по срокам </w:t>
      </w:r>
      <w:bookmarkEnd w:id="11"/>
      <w:bookmarkEnd w:id="12"/>
      <w:bookmarkEnd w:id="13"/>
      <w:r>
        <w:rPr>
          <w:rFonts w:eastAsia="Calibri"/>
          <w:color w:val="auto"/>
          <w:szCs w:val="24"/>
          <w:lang w:eastAsia="x-none"/>
        </w:rPr>
        <w:t>поставки продукции</w:t>
      </w:r>
      <w:bookmarkEnd w:id="10"/>
    </w:p>
    <w:p>
      <w:pPr>
        <w:pStyle w:val="Normal"/>
        <w:rPr>
          <w:color w:val="auto"/>
        </w:rPr>
      </w:pPr>
      <w:r>
        <w:rPr>
          <w:rFonts w:eastAsia="Calibri"/>
          <w:color w:val="auto"/>
          <w:szCs w:val="24"/>
          <w:lang w:eastAsia="x-none"/>
        </w:rPr>
        <w:t xml:space="preserve"> </w:t>
      </w:r>
    </w:p>
    <w:tbl>
      <w:tblPr>
        <w:tblW w:w="952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137"/>
        <w:gridCol w:w="2386"/>
        <w:gridCol w:w="2326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№ </w:t>
            </w:r>
            <w:r>
              <w:rPr>
                <w:color w:val="auto"/>
                <w:szCs w:val="24"/>
              </w:rPr>
              <w:t>п/п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продукции / партии продукции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  <w:tr>
        <w:trPr>
          <w:trHeight w:val="1426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uppressAutoHyphens w:val="true"/>
              <w:bidi w:val="0"/>
              <w:spacing w:lineRule="auto" w:line="276" w:before="0" w:after="0"/>
              <w:ind w:left="-397" w:right="0" w:hanging="0"/>
              <w:jc w:val="center"/>
              <w:outlineLvl w:val="0"/>
              <w:rPr/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ОКПД2 </w:t>
            </w:r>
            <w:r>
              <w:rPr>
                <w:rStyle w:val="Strong"/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shd w:fill="auto" w:val="clear"/>
              </w:rPr>
              <w:t xml:space="preserve">20.30.12.120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лакокрасочных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материалов для выполнения работ на Саяно-Шушенской ГЭС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 течении </w:t>
            </w:r>
            <w:r>
              <w:rPr>
                <w:color w:val="000000"/>
                <w:sz w:val="24"/>
                <w:szCs w:val="24"/>
                <w:shd w:fill="FFFF00" w:val="clear"/>
              </w:rPr>
              <w:t>30</w:t>
            </w:r>
            <w:r>
              <w:rPr>
                <w:color w:val="auto"/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rFonts w:eastAsia="Calibri"/>
          <w:szCs w:val="24"/>
          <w:lang w:eastAsia="x-none"/>
        </w:rPr>
      </w:pPr>
      <w:bookmarkStart w:id="14" w:name="_Toc75446582"/>
      <w:bookmarkStart w:id="15" w:name="_Toc54785622"/>
      <w:bookmarkEnd w:id="15"/>
      <w:r>
        <w:rPr>
          <w:rFonts w:eastAsia="Calibri"/>
          <w:szCs w:val="24"/>
          <w:lang w:eastAsia="x-none"/>
        </w:rPr>
        <w:t xml:space="preserve">          </w:t>
      </w:r>
      <w:r>
        <w:rPr>
          <w:rFonts w:eastAsia="Calibri"/>
          <w:szCs w:val="24"/>
          <w:lang w:eastAsia="x-none"/>
        </w:rPr>
        <w:t>Таблица 2.3. Требования к продукции</w:t>
      </w:r>
      <w:bookmarkEnd w:id="14"/>
    </w:p>
    <w:tbl>
      <w:tblPr>
        <w:tblW w:w="151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5454"/>
        <w:gridCol w:w="3174"/>
        <w:gridCol w:w="2950"/>
        <w:gridCol w:w="2889"/>
      </w:tblGrid>
      <w:tr>
        <w:trPr>
          <w:trHeight w:val="20" w:hRule="atLeast"/>
        </w:trPr>
        <w:tc>
          <w:tcPr>
            <w:tcW w:w="15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Наименование продукции (позиции № 1.1.-1.106. Таблицы 2.1):</w:t>
            </w:r>
            <w:r>
              <w:rPr>
                <w:rFonts w:eastAsia="Calibri" w:ascii="Times New Roman" w:hAnsi="Times New Roman"/>
                <w:b/>
                <w:bCs/>
                <w:szCs w:val="24"/>
                <w:shd w:fill="auto" w:val="clear"/>
              </w:rPr>
              <w:t xml:space="preserve">ОКПД2 </w:t>
            </w:r>
            <w:r>
              <w:rPr>
                <w:rStyle w:val="Strong"/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shd w:fill="auto" w:val="clear"/>
              </w:rPr>
              <w:t xml:space="preserve">20.30.12.120 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Поставка </w:t>
            </w:r>
            <w:r>
              <w:rPr>
                <w:rFonts w:ascii="Times New Roman" w:hAnsi="Times New Roman"/>
                <w:b/>
                <w:bCs/>
                <w:szCs w:val="24"/>
              </w:rPr>
              <w:t>лакокрасочных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материалов для выполнения работ на Саяно-Шушенской ГЭС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right="0" w:hanging="0"/>
              <w:jc w:val="center"/>
              <w:outlineLvl w:val="0"/>
              <w:rPr>
                <w:szCs w:val="24"/>
              </w:rPr>
            </w:pPr>
            <w:r>
              <w:rPr>
                <w:rFonts w:eastAsia="Calibri"/>
                <w:b/>
                <w:bCs/>
                <w:szCs w:val="24"/>
                <w:shd w:fill="auto" w:val="clear"/>
              </w:rPr>
              <w:t>Строительные материалы</w:t>
            </w:r>
            <w:r>
              <w:rPr>
                <w:b/>
                <w:bCs/>
                <w:color w:val="000000"/>
                <w:szCs w:val="24"/>
                <w:shd w:fill="auto" w:val="clear"/>
              </w:rPr>
              <w:t xml:space="preserve"> </w:t>
            </w:r>
            <w:r>
              <w:rPr>
                <w:b/>
                <w:bCs/>
                <w:color w:val="auto"/>
                <w:szCs w:val="24"/>
              </w:rPr>
              <w:t>для выполнения работ на Саяно-Шушенской  ГЭС</w:t>
            </w:r>
          </w:p>
        </w:tc>
      </w:tr>
      <w:tr>
        <w:trPr>
          <w:trHeight w:val="10" w:hRule="atLeast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продукции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Соответствие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стандартам</w:t>
            </w:r>
          </w:p>
        </w:tc>
      </w:tr>
      <w:tr>
        <w:trPr>
          <w:trHeight w:val="20" w:hRule="atLeast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4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5</w:t>
            </w:r>
          </w:p>
        </w:tc>
      </w:tr>
      <w:tr>
        <w:trPr>
          <w:trHeight w:val="20" w:hRule="atLeast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1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173" w:hRule="atLeast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олисилоксановая композиция Армакот V500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Марка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Армакот V500</w:t>
            </w:r>
          </w:p>
        </w:tc>
        <w:tc>
          <w:tcPr>
            <w:tcW w:w="2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ТУ 2312-009-23354769-2008</w:t>
            </w:r>
          </w:p>
        </w:tc>
      </w:tr>
      <w:tr>
        <w:trPr>
          <w:trHeight w:val="173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основы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E1E1E"/>
                <w:spacing w:val="0"/>
                <w:sz w:val="24"/>
                <w:szCs w:val="24"/>
              </w:rPr>
              <w:t>полисилоксановые Армокот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3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3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Назначение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Универсальный, 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защита  металлических и бетонных поверхностей</w:t>
            </w:r>
          </w:p>
        </w:tc>
        <w:tc>
          <w:tcPr>
            <w:tcW w:w="2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50" w:hRule="atLeast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en-US" w:bidi="ar-SA"/>
              </w:rPr>
              <w:t>Полисилоксановая композиция Армакот V500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Марка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Армакот V500</w:t>
            </w:r>
          </w:p>
        </w:tc>
        <w:tc>
          <w:tcPr>
            <w:tcW w:w="2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ТУ 2312-009-23354769-2008</w:t>
            </w:r>
          </w:p>
        </w:tc>
      </w:tr>
      <w:tr>
        <w:trPr>
          <w:trHeight w:val="37" w:hRule="atLeast"/>
        </w:trPr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основы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E1E1E"/>
                <w:spacing w:val="0"/>
                <w:sz w:val="24"/>
                <w:szCs w:val="24"/>
              </w:rPr>
              <w:t>полисилоксановые Армокот</w:t>
            </w:r>
          </w:p>
        </w:tc>
        <w:tc>
          <w:tcPr>
            <w:tcW w:w="2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ТУ 2312-009-23354769-2008</w:t>
            </w:r>
          </w:p>
        </w:tc>
      </w:tr>
      <w:tr>
        <w:trPr>
          <w:trHeight w:val="37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желтый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ТУ 2312-009-23354769-2008</w:t>
            </w:r>
          </w:p>
        </w:tc>
      </w:tr>
      <w:tr>
        <w:trPr>
          <w:trHeight w:val="37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Назначение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Универсальный, 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защита  металлических и бетонных поверхностей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ТУ 2312-009-23354769-2008</w:t>
            </w:r>
          </w:p>
        </w:tc>
      </w:tr>
      <w:tr>
        <w:trPr>
          <w:trHeight w:val="248" w:hRule="atLeast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олисилоксановая композиция Армакот V500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Марка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Армакот V500</w:t>
            </w:r>
          </w:p>
        </w:tc>
        <w:tc>
          <w:tcPr>
            <w:tcW w:w="2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ТУ 2312-009-23354769-2008</w:t>
            </w:r>
          </w:p>
        </w:tc>
      </w:tr>
      <w:tr>
        <w:trPr>
          <w:trHeight w:val="61" w:hRule="atLeast"/>
        </w:trPr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основы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E1E1E"/>
                <w:spacing w:val="0"/>
                <w:sz w:val="24"/>
                <w:szCs w:val="24"/>
              </w:rPr>
              <w:t>полисилоксановые Армокот</w:t>
            </w:r>
          </w:p>
        </w:tc>
        <w:tc>
          <w:tcPr>
            <w:tcW w:w="2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1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1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Назначение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Универсальный, 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защита  металлических и бетонных поверхностей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Армакот V500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Марка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Армакот V500</w:t>
            </w:r>
          </w:p>
        </w:tc>
        <w:tc>
          <w:tcPr>
            <w:tcW w:w="2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47" w:hRule="atLeast"/>
        </w:trPr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основы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E1E1E"/>
                <w:spacing w:val="0"/>
                <w:sz w:val="24"/>
                <w:szCs w:val="24"/>
              </w:rPr>
              <w:t>полисилоксановые Армокот</w:t>
            </w:r>
          </w:p>
        </w:tc>
        <w:tc>
          <w:tcPr>
            <w:tcW w:w="2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8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RAL9002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Назначение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Универсальный, 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защита  металлических и бетонных поверхностей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" w:hRule="atLeast"/>
        </w:trPr>
        <w:tc>
          <w:tcPr>
            <w:tcW w:w="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5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Эмаль Армакот V500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Марка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Армакот V500</w:t>
            </w:r>
          </w:p>
        </w:tc>
        <w:tc>
          <w:tcPr>
            <w:tcW w:w="28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4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основы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E1E1E"/>
                <w:spacing w:val="0"/>
                <w:sz w:val="24"/>
                <w:szCs w:val="24"/>
              </w:rPr>
              <w:t>полисилоксановые Армокот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RAL7035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Назначение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Универсальный, 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защита  металлических и бетонных поверхностей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2.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2.1</w:t>
            </w: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Место поставки</w:t>
            </w:r>
          </w:p>
        </w:tc>
        <w:tc>
          <w:tcPr>
            <w:tcW w:w="90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Саяно-Шушенский филиал АО «Гидроремонт-ВКК» в п. Черёмушки. 655619, Российская Федерация, Республика Хакасия, г. Саяногорск, рп. Черемушки, дом 103.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2.2</w:t>
            </w: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Приемка продукции</w:t>
            </w:r>
          </w:p>
        </w:tc>
        <w:tc>
          <w:tcPr>
            <w:tcW w:w="90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sz w:val="22"/>
                <w:szCs w:val="24"/>
              </w:rPr>
              <w:t>Приемка продукции осуществляется только в рабочие дни с 9-00 до 11-00 и с 13-00 до 16-00.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2.3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/>
                <w:iCs w:val="false"/>
                <w:sz w:val="24"/>
                <w:szCs w:val="24"/>
                <w:shd w:fill="auto" w:val="clear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3.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3.1</w:t>
            </w: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Сроки гарантии</w:t>
            </w:r>
          </w:p>
        </w:tc>
        <w:tc>
          <w:tcPr>
            <w:tcW w:w="90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Не менее 12 месяцев с даты подписания сторонами ТОРГ-12 (УПД)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4.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4.1</w:t>
            </w: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Документы, передаваемые вместе с продукцией</w:t>
            </w:r>
          </w:p>
        </w:tc>
        <w:tc>
          <w:tcPr>
            <w:tcW w:w="90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счет-фактуру; товарную накладную унифицированной формы ТОРГ-12 (УПД) в 2 экз., транспортную накладную.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5.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5.1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Продукция должна быть новой, ранее не использовавшейся</w:t>
            </w:r>
          </w:p>
        </w:tc>
      </w:tr>
    </w:tbl>
    <w:p>
      <w:pPr>
        <w:pStyle w:val="Normal"/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</w:r>
    </w:p>
    <w:p>
      <w:pPr>
        <w:pStyle w:val="Normal"/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</w:r>
      <w:bookmarkStart w:id="16" w:name="_Toc46743519"/>
      <w:bookmarkStart w:id="17" w:name="_Toc46743519"/>
      <w:bookmarkEnd w:id="17"/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spacing w:before="120" w:after="60"/>
        <w:ind w:left="357" w:right="0" w:hanging="357"/>
        <w:jc w:val="center"/>
        <w:rPr>
          <w:i w:val="false"/>
          <w:i w:val="false"/>
          <w:iCs w:val="false"/>
        </w:rPr>
      </w:pPr>
      <w:r>
        <w:rPr>
          <w:i w:val="false"/>
          <w:iCs w:val="false"/>
          <w:lang w:val="ru-RU"/>
        </w:rPr>
        <w:t>Т</w:t>
      </w:r>
      <w:bookmarkStart w:id="18" w:name="_Toc46743519_Копия_1"/>
      <w:bookmarkStart w:id="19" w:name="_Toc51339699"/>
      <w:bookmarkStart w:id="20" w:name="_Toc75446583"/>
      <w:bookmarkStart w:id="21" w:name="_Toc53393312"/>
      <w:r>
        <w:rPr>
          <w:i w:val="false"/>
          <w:iCs w:val="false"/>
          <w:lang w:val="ru-RU"/>
        </w:rPr>
        <w:t>ребования к документации по ценообразованию</w:t>
      </w:r>
      <w:bookmarkEnd w:id="21"/>
      <w:r>
        <w:rPr>
          <w:i w:val="false"/>
          <w:iCs w:val="false"/>
          <w:lang w:val="ru-RU"/>
        </w:rPr>
        <w:t xml:space="preserve"> на этапе закупки</w:t>
      </w:r>
      <w:bookmarkEnd w:id="20"/>
    </w:p>
    <w:p>
      <w:pPr>
        <w:pStyle w:val="Normal"/>
        <w:numPr>
          <w:ilvl w:val="1"/>
          <w:numId w:val="9"/>
        </w:numPr>
        <w:ind w:left="0" w:right="0" w:hanging="0"/>
        <w:jc w:val="both"/>
        <w:rPr>
          <w:i w:val="false"/>
          <w:i w:val="false"/>
          <w:iCs w:val="false"/>
        </w:rPr>
      </w:pPr>
      <w:r>
        <w:rPr>
          <w:rFonts w:eastAsia="Times New Roman" w:cs="Times New Roman"/>
          <w:i w:val="false"/>
          <w:iCs w:val="false"/>
          <w:szCs w:val="24"/>
          <w:lang w:eastAsia="ru-RU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2" w:name="_Hlk88325985"/>
      <w:r>
        <w:rPr>
          <w:rFonts w:eastAsia="Times New Roman" w:cs="Times New Roman"/>
          <w:i w:val="false"/>
          <w:iCs w:val="false"/>
          <w:szCs w:val="24"/>
          <w:lang w:eastAsia="ru-RU"/>
        </w:rPr>
        <w:t>(с учетом прилагаемой к ней инструкции по заполнению)</w:t>
      </w:r>
      <w:bookmarkEnd w:id="22"/>
      <w:r>
        <w:rPr>
          <w:rFonts w:eastAsia="Times New Roman" w:cs="Times New Roman"/>
          <w:i w:val="false"/>
          <w:iCs w:val="false"/>
          <w:szCs w:val="24"/>
          <w:lang w:eastAsia="ru-RU"/>
        </w:rPr>
        <w:t>, приведенной в Документации о закупке.</w:t>
      </w:r>
    </w:p>
    <w:p>
      <w:pPr>
        <w:pStyle w:val="Normal"/>
        <w:numPr>
          <w:ilvl w:val="1"/>
          <w:numId w:val="10"/>
        </w:numPr>
        <w:ind w:left="0" w:right="0" w:hanging="0"/>
        <w:jc w:val="both"/>
        <w:rPr>
          <w:i w:val="false"/>
          <w:i w:val="false"/>
          <w:iCs w:val="false"/>
        </w:rPr>
      </w:pPr>
      <w:bookmarkStart w:id="23" w:name="_Hlk88327292"/>
      <w:r>
        <w:rPr>
          <w:rFonts w:eastAsia="Times New Roman" w:cs="Times New Roman"/>
          <w:i w:val="false"/>
          <w:iCs w:val="false"/>
          <w:szCs w:val="24"/>
          <w:lang w:eastAsia="ru-RU"/>
        </w:rPr>
        <w:t>Дополнительные документы по ценообразованию</w:t>
      </w:r>
      <w:bookmarkEnd w:id="23"/>
      <w:r>
        <w:rPr>
          <w:rFonts w:eastAsia="Times New Roman" w:cs="Times New Roman"/>
          <w:i w:val="false"/>
          <w:iCs w:val="false"/>
          <w:szCs w:val="24"/>
          <w:lang w:eastAsia="ru-RU"/>
        </w:rPr>
        <w:t xml:space="preserve"> в состав заявки не включаются.</w:t>
      </w:r>
      <w:bookmarkEnd w:id="18"/>
      <w:bookmarkEnd w:id="19"/>
    </w:p>
    <w:sectPr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426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6"/>
    <w:lvlOverride w:ilvl="0">
      <w:startOverride w:val="3"/>
    </w:lvlOverride>
    <w:lvlOverride w:ilvl="1">
      <w:startOverride w:val="1"/>
    </w:lvlOverride>
  </w:num>
  <w:num w:numId="10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  <w:numId w:val="0"/>
      </w:numPr>
      <w:ind w:left="0" w:right="0" w:firstLine="709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numPr>
        <w:ilvl w:val="0"/>
        <w:numId w:val="0"/>
      </w:numPr>
      <w:tabs>
        <w:tab w:val="clear" w:pos="0"/>
        <w:tab w:val="clear" w:pos="709"/>
      </w:tabs>
      <w:ind w:left="432" w:right="0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0"/>
        <w:numId w:val="0"/>
      </w:numPr>
      <w:tabs>
        <w:tab w:val="clear" w:pos="708"/>
        <w:tab w:val="left" w:pos="0" w:leader="none"/>
        <w:tab w:val="left" w:pos="709" w:leader="none"/>
      </w:tabs>
      <w:ind w:left="0" w:right="0"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0" w:right="0" w:firstLine="709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>
    <w:name w:val="комментарий"/>
    <w:qFormat/>
    <w:rPr>
      <w:b/>
      <w:i/>
      <w:shd w:fill="FFFF99" w:val="clear"/>
    </w:rPr>
  </w:style>
  <w:style w:type="character" w:styleId="2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3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Style7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qFormat/>
    <w:rPr>
      <w:b/>
      <w:bCs/>
    </w:rPr>
  </w:style>
  <w:style w:type="character" w:styleId="Style10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>
    <w:name w:val="Подпункт Знак1"/>
    <w:link w:val="Style27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>
    <w:name w:val="blk"/>
    <w:qFormat/>
    <w:rPr/>
  </w:style>
  <w:style w:type="character" w:styleId="Style14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>
    <w:name w:val="Подподпункт Знак"/>
    <w:link w:val="Style34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>
    <w:name w:val="УРОВЕНЬ_Абзац_тип3 Знак"/>
    <w:link w:val="37"/>
    <w:qFormat/>
    <w:rPr>
      <w:rFonts w:ascii="Times New Roman" w:hAnsi="Times New Roman" w:eastAsia="Calibri" w:cs="Times New Roman"/>
      <w:sz w:val="26"/>
      <w:szCs w:val="28"/>
    </w:rPr>
  </w:style>
  <w:style w:type="character" w:styleId="Style16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4">
    <w:name w:val="Пункт2 Знак"/>
    <w:link w:val="26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>
    <w:name w:val="text"/>
    <w:qFormat/>
    <w:rPr/>
  </w:style>
  <w:style w:type="character" w:styleId="Value">
    <w:name w:val="value"/>
    <w:qFormat/>
    <w:rPr/>
  </w:style>
  <w:style w:type="character" w:styleId="Style18">
    <w:name w:val="Текст Знак"/>
    <w:basedOn w:val="DefaultParagraphFont"/>
    <w:link w:val="PlainText"/>
    <w:qFormat/>
    <w:rPr>
      <w:rFonts w:ascii="Calibri" w:hAnsi="Calibri" w:eastAsia="Calibri" w:cs="Times New Roman"/>
      <w:szCs w:val="21"/>
      <w:lang w:val="x-none"/>
    </w:rPr>
  </w:style>
  <w:style w:type="character" w:styleId="Name">
    <w:name w:val="name"/>
    <w:qFormat/>
    <w:rPr/>
  </w:style>
  <w:style w:type="character" w:styleId="Extended-textshort">
    <w:name w:val="extended-text__shor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Productcode">
    <w:name w:val="product_code"/>
    <w:qFormat/>
    <w:rPr/>
  </w:style>
  <w:style w:type="character" w:styleId="Add-data-value">
    <w:name w:val="add-data-value"/>
    <w:basedOn w:val="DefaultParagraphFont"/>
    <w:qFormat/>
    <w:rPr/>
  </w:style>
  <w:style w:type="character" w:styleId="Extendedtext-short">
    <w:name w:val="extendedtext-short"/>
    <w:qFormat/>
    <w:rPr/>
  </w:style>
  <w:style w:type="character" w:styleId="Strong2">
    <w:name w:val="Strong2"/>
    <w:qFormat/>
    <w:rPr>
      <w:b/>
      <w:bCs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next w:val="Normal"/>
    <w:qFormat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">
    <w:name w:val="index heading1"/>
    <w:basedOn w:val="Title"/>
    <w:qFormat/>
    <w:pPr/>
    <w:rPr/>
  </w:style>
  <w:style w:type="paragraph" w:styleId="Style22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3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4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5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6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right="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right="0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7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>
    <w:name w:val="Пункт2"/>
    <w:basedOn w:val="Normal"/>
    <w:link w:val="24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eastAsia="Times New Roman" w:cs="Calibri"/>
      <w:sz w:val="20"/>
      <w:szCs w:val="20"/>
      <w:lang w:eastAsia="ru-RU"/>
    </w:rPr>
  </w:style>
  <w:style w:type="paragraph" w:styleId="Style28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29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eastAsia="Times New Roman" w:cs="Calibri"/>
      <w:sz w:val="20"/>
      <w:szCs w:val="20"/>
      <w:lang w:eastAsia="ru-RU"/>
    </w:rPr>
  </w:style>
  <w:style w:type="paragraph" w:styleId="27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30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right="0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spacing w:before="0" w:after="0"/>
      <w:ind w:left="720" w:right="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qFormat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right="0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eastAsia="Calibri" w:cs="Times New Roman"/>
      <w:szCs w:val="24"/>
      <w:lang w:val="x-none" w:eastAsia="x-none"/>
    </w:rPr>
  </w:style>
  <w:style w:type="paragraph" w:styleId="Style3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2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Times New Roman" w:cs="Times New Roman"/>
      <w:sz w:val="22"/>
    </w:rPr>
  </w:style>
  <w:style w:type="paragraph" w:styleId="Style33">
    <w:name w:val="Таблица"/>
    <w:basedOn w:val="Normal"/>
    <w:qFormat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4">
    <w:name w:val="Подподпункт"/>
    <w:basedOn w:val="Style27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5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ind w:left="1728" w:right="0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ind w:left="2232" w:right="0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ind w:left="3240" w:right="0" w:hanging="1080"/>
      <w:contextualSpacing w:val="false"/>
      <w:jc w:val="both"/>
    </w:pPr>
    <w:rPr>
      <w:sz w:val="26"/>
      <w:szCs w:val="28"/>
      <w:lang w:eastAsia="en-US"/>
    </w:rPr>
  </w:style>
  <w:style w:type="paragraph" w:styleId="37">
    <w:name w:val="УРОВЕНЬ_Абзац_тип3"/>
    <w:basedOn w:val="ListParagraph"/>
    <w:link w:val="33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ind w:left="2736" w:right="0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0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7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38">
    <w:name w:val="Знак Знак Знак 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>
    <w:name w:val="Контракт-раздел"/>
    <w:basedOn w:val="Normal"/>
    <w:qFormat/>
    <w:pPr>
      <w:keepNext w:val="true"/>
      <w:keepLines/>
      <w:numPr>
        <w:ilvl w:val="0"/>
        <w:numId w:val="0"/>
      </w:numPr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>
    <w:name w:val="Контракт-пункт"/>
    <w:basedOn w:val="Normal"/>
    <w:qFormat/>
    <w:pPr>
      <w:tabs>
        <w:tab w:val="clear" w:pos="708"/>
        <w:tab w:val="left" w:pos="1391" w:leader="none"/>
      </w:tabs>
      <w:ind w:left="1391" w:right="0" w:hanging="851"/>
    </w:pPr>
    <w:rPr>
      <w:rFonts w:eastAsia="Times New Roman" w:cs="Times New Roman"/>
      <w:szCs w:val="28"/>
      <w:lang w:eastAsia="ru-RU"/>
    </w:rPr>
  </w:style>
  <w:style w:type="paragraph" w:styleId="110">
    <w:name w:val="Обычный1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9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40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>
    <w:name w:val="Body Text 21"/>
    <w:basedOn w:val="Normal"/>
    <w:qFormat/>
    <w:pPr>
      <w:ind w:left="0" w:right="0" w:firstLine="709"/>
      <w:jc w:val="both"/>
    </w:pPr>
    <w:rPr>
      <w:rFonts w:eastAsia="Times New Roman" w:cs="Times New Roman"/>
      <w:szCs w:val="20"/>
      <w:lang w:eastAsia="ru-RU"/>
    </w:rPr>
  </w:style>
  <w:style w:type="paragraph" w:styleId="Style4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1">
    <w:name w:val="Обычный2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qFormat/>
    <w:pPr/>
    <w:rPr>
      <w:rFonts w:ascii="Calibri" w:hAnsi="Calibri" w:eastAsia="Calibri" w:cs="Times New Roman"/>
      <w:sz w:val="22"/>
      <w:szCs w:val="21"/>
      <w:lang w:val="x-none"/>
    </w:rPr>
  </w:style>
  <w:style w:type="paragraph" w:styleId="Txt1">
    <w:name w:val="txt1"/>
    <w:basedOn w:val="Normal"/>
    <w:qFormat/>
    <w:pPr/>
    <w:rPr>
      <w:rFonts w:ascii="Calibri" w:hAnsi="Calibri" w:eastAsia="Times New Roman" w:cs="Times New Roman"/>
      <w:szCs w:val="24"/>
      <w:lang w:eastAsia="ru-RU"/>
    </w:rPr>
  </w:style>
  <w:style w:type="paragraph" w:styleId="Formattext">
    <w:name w:val="formattext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38">
    <w:name w:val="Обычный3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2">
    <w:name w:val="Содержимое таблицы"/>
    <w:basedOn w:val="Normal"/>
    <w:qFormat/>
    <w:pPr>
      <w:widowControl w:val="false"/>
      <w:suppressLineNumbers/>
    </w:pPr>
    <w:rPr/>
  </w:style>
  <w:style w:type="paragraph" w:styleId="Style43">
    <w:name w:val="Заголовок таблицы"/>
    <w:basedOn w:val="Style42"/>
    <w:qFormat/>
    <w:pPr>
      <w:jc w:val="center"/>
    </w:pPr>
    <w:rPr>
      <w:b/>
      <w:bCs/>
    </w:rPr>
  </w:style>
  <w:style w:type="numbering" w:styleId="111">
    <w:name w:val="Стиль1"/>
    <w:qFormat/>
  </w:style>
  <w:style w:type="numbering" w:styleId="212">
    <w:name w:val="Стиль2"/>
    <w:qFormat/>
  </w:style>
  <w:style w:type="numbering" w:styleId="112">
    <w:name w:val="Нет списка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6516</TotalTime>
  <Application>AlterOffice/3.4.0.9$Linux_X86_64 LibreOffice_project/b8daf9e823b1a5463a2f48435ddc2e8696e7d4fc</Application>
  <AppVersion>15.0000</AppVersion>
  <Pages>4</Pages>
  <Words>624</Words>
  <Characters>4393</Characters>
  <CharactersWithSpaces>4878</CharactersWithSpaces>
  <Paragraphs>159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2023-05-24T06:11:00Z</dcterms:created>
  <dc:creator>Кочетов Сергей Владимирович</dc:creator>
  <dc:description/>
  <dc:language>ru-RU</dc:language>
  <cp:lastModifiedBy>savilovoa@corp.gidroogk.com</cp:lastModifiedBy>
  <dcterms:modified xsi:type="dcterms:W3CDTF">2026-08-17T17:48:16Z</dcterms:modified>
  <cp:revision>277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